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2BBC4" w14:textId="77777777" w:rsidR="002543F5" w:rsidRPr="003C134C" w:rsidRDefault="002543F5">
      <w:pPr>
        <w:rPr>
          <w:rFonts w:ascii="Arial" w:hAnsi="Arial" w:cs="Arial"/>
        </w:rPr>
      </w:pPr>
      <w:bookmarkStart w:id="0" w:name="_GoBack"/>
      <w:bookmarkEnd w:id="0"/>
    </w:p>
    <w:p w14:paraId="0B7A13BD" w14:textId="3E7ED7BA" w:rsidR="00AA5140" w:rsidRPr="000A10E5" w:rsidRDefault="003C134C" w:rsidP="003C134C">
      <w:pPr>
        <w:ind w:right="-801"/>
        <w:jc w:val="right"/>
        <w:rPr>
          <w:rFonts w:ascii="Arial" w:eastAsia="Times New Roman" w:hAnsi="Arial" w:cs="Arial"/>
          <w:sz w:val="20"/>
          <w:szCs w:val="20"/>
          <w:lang w:eastAsia="es-MX"/>
        </w:rPr>
      </w:pPr>
      <w:r w:rsidRPr="000A10E5">
        <w:rPr>
          <w:rFonts w:ascii="Arial" w:eastAsia="Times New Roman" w:hAnsi="Arial" w:cs="Arial"/>
          <w:sz w:val="20"/>
          <w:szCs w:val="20"/>
          <w:lang w:eastAsia="es-MX"/>
        </w:rPr>
        <w:t xml:space="preserve">  </w:t>
      </w:r>
      <w:r w:rsidR="00F16C83" w:rsidRPr="000A10E5">
        <w:rPr>
          <w:rFonts w:ascii="Arial" w:eastAsia="Times New Roman" w:hAnsi="Arial" w:cs="Arial"/>
          <w:sz w:val="20"/>
          <w:szCs w:val="20"/>
          <w:lang w:eastAsia="es-MX"/>
        </w:rPr>
        <w:t xml:space="preserve">León, Guanajuato </w:t>
      </w:r>
      <w:r w:rsidR="00AA5140" w:rsidRPr="000A10E5">
        <w:rPr>
          <w:rFonts w:ascii="Arial" w:eastAsia="Times New Roman" w:hAnsi="Arial" w:cs="Arial"/>
          <w:sz w:val="20"/>
          <w:szCs w:val="20"/>
          <w:lang w:eastAsia="es-MX"/>
        </w:rPr>
        <w:t>a____ de___________ del _____</w:t>
      </w:r>
      <w:r w:rsidRPr="000A10E5">
        <w:rPr>
          <w:rFonts w:ascii="Arial" w:eastAsia="Times New Roman" w:hAnsi="Arial" w:cs="Arial"/>
          <w:sz w:val="20"/>
          <w:szCs w:val="20"/>
          <w:lang w:eastAsia="es-MX"/>
        </w:rPr>
        <w:t>.</w:t>
      </w:r>
    </w:p>
    <w:tbl>
      <w:tblPr>
        <w:tblW w:w="10065" w:type="dxa"/>
        <w:tblInd w:w="-572" w:type="dxa"/>
        <w:tblCellMar>
          <w:left w:w="70" w:type="dxa"/>
          <w:right w:w="70" w:type="dxa"/>
        </w:tblCellMar>
        <w:tblLook w:val="04A0" w:firstRow="1" w:lastRow="0" w:firstColumn="1" w:lastColumn="0" w:noHBand="0" w:noVBand="1"/>
      </w:tblPr>
      <w:tblGrid>
        <w:gridCol w:w="1530"/>
        <w:gridCol w:w="3260"/>
        <w:gridCol w:w="1418"/>
        <w:gridCol w:w="3969"/>
      </w:tblGrid>
      <w:tr w:rsidR="00AA5140" w:rsidRPr="003C134C" w14:paraId="52097776" w14:textId="77777777" w:rsidTr="003E2CD9">
        <w:trPr>
          <w:trHeight w:val="31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402B7" w14:textId="77777777" w:rsidR="00AA5140" w:rsidRPr="003C134C" w:rsidRDefault="00AA5140" w:rsidP="00A72BA6">
            <w:pPr>
              <w:spacing w:after="0" w:line="240" w:lineRule="auto"/>
              <w:rPr>
                <w:rFonts w:ascii="Arial" w:eastAsia="Times New Roman" w:hAnsi="Arial" w:cs="Arial"/>
                <w:b/>
                <w:sz w:val="20"/>
                <w:szCs w:val="20"/>
                <w:lang w:eastAsia="es-MX"/>
              </w:rPr>
            </w:pPr>
            <w:r w:rsidRPr="003C134C">
              <w:rPr>
                <w:rFonts w:ascii="Arial" w:eastAsia="Times New Roman" w:hAnsi="Arial" w:cs="Arial"/>
                <w:b/>
                <w:sz w:val="20"/>
                <w:szCs w:val="20"/>
                <w:lang w:eastAsia="es-MX"/>
              </w:rPr>
              <w:t>Número de contrato:</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2F90424" w14:textId="77777777" w:rsidR="00AA5140" w:rsidRPr="003C134C" w:rsidRDefault="00AA5140" w:rsidP="00A72BA6">
            <w:pPr>
              <w:spacing w:after="0" w:line="240" w:lineRule="auto"/>
              <w:rPr>
                <w:rFonts w:ascii="Arial" w:eastAsia="Times New Roman" w:hAnsi="Arial" w:cs="Arial"/>
                <w:sz w:val="20"/>
                <w:szCs w:val="20"/>
                <w:lang w:eastAsia="es-MX"/>
              </w:rPr>
            </w:pPr>
          </w:p>
          <w:p w14:paraId="0620B4DE" w14:textId="77777777" w:rsidR="00AA5140" w:rsidRPr="003C134C" w:rsidRDefault="00AA5140" w:rsidP="00A72BA6">
            <w:pPr>
              <w:spacing w:after="0" w:line="240" w:lineRule="auto"/>
              <w:rPr>
                <w:rFonts w:ascii="Arial" w:eastAsia="Times New Roman" w:hAnsi="Arial" w:cs="Arial"/>
                <w:sz w:val="20"/>
                <w:szCs w:val="20"/>
                <w:lang w:eastAsia="es-MX"/>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FC76FAF" w14:textId="3CE9271B" w:rsidR="00AA5140" w:rsidRPr="003C134C" w:rsidRDefault="00F16C83" w:rsidP="00A72BA6">
            <w:pPr>
              <w:spacing w:after="0" w:line="240" w:lineRule="auto"/>
              <w:rPr>
                <w:rFonts w:ascii="Arial" w:eastAsia="Times New Roman" w:hAnsi="Arial" w:cs="Arial"/>
                <w:b/>
                <w:sz w:val="20"/>
                <w:szCs w:val="20"/>
                <w:lang w:eastAsia="es-MX"/>
              </w:rPr>
            </w:pPr>
            <w:r w:rsidRPr="003C134C">
              <w:rPr>
                <w:rFonts w:ascii="Arial" w:eastAsia="Times New Roman" w:hAnsi="Arial" w:cs="Arial"/>
                <w:b/>
                <w:sz w:val="20"/>
                <w:szCs w:val="20"/>
                <w:lang w:eastAsia="es-MX"/>
              </w:rPr>
              <w:t>Obra</w:t>
            </w:r>
            <w:r w:rsidR="00955929" w:rsidRPr="003C134C">
              <w:rPr>
                <w:rFonts w:ascii="Arial" w:eastAsia="Times New Roman" w:hAnsi="Arial" w:cs="Arial"/>
                <w:b/>
                <w:sz w:val="20"/>
                <w:szCs w:val="20"/>
                <w:lang w:eastAsia="es-MX"/>
              </w:rPr>
              <w:t>/ Servicio</w:t>
            </w:r>
            <w:r w:rsidR="00AA5140" w:rsidRPr="003C134C">
              <w:rPr>
                <w:rFonts w:ascii="Arial" w:eastAsia="Times New Roman" w:hAnsi="Arial" w:cs="Arial"/>
                <w:b/>
                <w:sz w:val="20"/>
                <w:szCs w:val="20"/>
                <w:lang w:eastAsia="es-MX"/>
              </w:rPr>
              <w:t>:</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1114478C" w14:textId="77777777" w:rsidR="00AA5140" w:rsidRPr="003C134C" w:rsidRDefault="00AA5140" w:rsidP="00AA5140">
            <w:pPr>
              <w:spacing w:after="0" w:line="240" w:lineRule="auto"/>
              <w:jc w:val="center"/>
              <w:rPr>
                <w:rFonts w:ascii="Arial" w:eastAsia="Times New Roman" w:hAnsi="Arial" w:cs="Arial"/>
                <w:sz w:val="20"/>
                <w:szCs w:val="20"/>
                <w:lang w:eastAsia="es-MX"/>
              </w:rPr>
            </w:pPr>
            <w:r w:rsidRPr="003C134C">
              <w:rPr>
                <w:rFonts w:ascii="Arial" w:eastAsia="Times New Roman" w:hAnsi="Arial" w:cs="Arial"/>
                <w:sz w:val="20"/>
                <w:szCs w:val="20"/>
                <w:lang w:eastAsia="es-MX"/>
              </w:rPr>
              <w:t> </w:t>
            </w:r>
          </w:p>
        </w:tc>
      </w:tr>
      <w:tr w:rsidR="00AA5140" w:rsidRPr="003C134C" w14:paraId="01B3E8F7" w14:textId="77777777" w:rsidTr="004755A2">
        <w:trPr>
          <w:trHeight w:val="52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8CD26" w14:textId="77777777" w:rsidR="00AA5140" w:rsidRPr="003C134C" w:rsidRDefault="00AA5140" w:rsidP="00A72BA6">
            <w:pPr>
              <w:spacing w:after="0" w:line="240" w:lineRule="auto"/>
              <w:rPr>
                <w:rFonts w:ascii="Arial" w:eastAsia="Times New Roman" w:hAnsi="Arial" w:cs="Arial"/>
                <w:b/>
                <w:sz w:val="20"/>
                <w:szCs w:val="20"/>
                <w:lang w:eastAsia="es-MX"/>
              </w:rPr>
            </w:pPr>
            <w:r w:rsidRPr="003C134C">
              <w:rPr>
                <w:rFonts w:ascii="Arial" w:eastAsia="Times New Roman" w:hAnsi="Arial" w:cs="Arial"/>
                <w:b/>
                <w:sz w:val="20"/>
                <w:szCs w:val="20"/>
                <w:lang w:eastAsia="es-MX"/>
              </w:rPr>
              <w:t>Contratista:</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E22F822" w14:textId="77777777" w:rsidR="00AA5140" w:rsidRPr="003C134C" w:rsidRDefault="00AA5140" w:rsidP="00A72BA6">
            <w:pPr>
              <w:spacing w:after="0" w:line="240" w:lineRule="auto"/>
              <w:rPr>
                <w:rFonts w:ascii="Arial" w:eastAsia="Times New Roman" w:hAnsi="Arial" w:cs="Arial"/>
                <w:sz w:val="20"/>
                <w:szCs w:val="20"/>
                <w:lang w:eastAsia="es-MX"/>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E95F537" w14:textId="7DB11DD9" w:rsidR="00AA5140" w:rsidRPr="003C134C" w:rsidRDefault="00AA5140" w:rsidP="00A72BA6">
            <w:pPr>
              <w:spacing w:after="0" w:line="240" w:lineRule="auto"/>
              <w:rPr>
                <w:rFonts w:ascii="Arial" w:eastAsia="Times New Roman" w:hAnsi="Arial" w:cs="Arial"/>
                <w:b/>
                <w:sz w:val="20"/>
                <w:szCs w:val="20"/>
                <w:lang w:eastAsia="es-MX"/>
              </w:rPr>
            </w:pPr>
            <w:r w:rsidRPr="003C134C">
              <w:rPr>
                <w:rFonts w:ascii="Arial" w:eastAsia="Times New Roman" w:hAnsi="Arial" w:cs="Arial"/>
                <w:b/>
                <w:sz w:val="20"/>
                <w:szCs w:val="20"/>
                <w:lang w:eastAsia="es-MX"/>
              </w:rPr>
              <w:t>Supervisor</w:t>
            </w:r>
            <w:r w:rsidR="003C134C" w:rsidRPr="003C134C">
              <w:rPr>
                <w:rFonts w:ascii="Arial" w:eastAsia="Times New Roman" w:hAnsi="Arial" w:cs="Arial"/>
                <w:b/>
                <w:sz w:val="20"/>
                <w:szCs w:val="20"/>
                <w:lang w:eastAsia="es-MX"/>
              </w:rPr>
              <w:t xml:space="preserve"> Interno/ Externo</w:t>
            </w:r>
            <w:r w:rsidRPr="003C134C">
              <w:rPr>
                <w:rFonts w:ascii="Arial" w:eastAsia="Times New Roman" w:hAnsi="Arial" w:cs="Arial"/>
                <w:b/>
                <w:sz w:val="20"/>
                <w:szCs w:val="20"/>
                <w:lang w:eastAsia="es-MX"/>
              </w:rPr>
              <w:t>:</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29ECEFAF" w14:textId="77777777" w:rsidR="00AA5140" w:rsidRPr="003C134C" w:rsidRDefault="00AA5140" w:rsidP="00AA5140">
            <w:pPr>
              <w:spacing w:after="0" w:line="240" w:lineRule="auto"/>
              <w:jc w:val="center"/>
              <w:rPr>
                <w:rFonts w:ascii="Arial" w:eastAsia="Times New Roman" w:hAnsi="Arial" w:cs="Arial"/>
                <w:sz w:val="20"/>
                <w:szCs w:val="20"/>
                <w:lang w:eastAsia="es-MX"/>
              </w:rPr>
            </w:pPr>
            <w:r w:rsidRPr="003C134C">
              <w:rPr>
                <w:rFonts w:ascii="Arial" w:eastAsia="Times New Roman" w:hAnsi="Arial" w:cs="Arial"/>
                <w:sz w:val="20"/>
                <w:szCs w:val="20"/>
                <w:lang w:eastAsia="es-MX"/>
              </w:rPr>
              <w:t> </w:t>
            </w:r>
          </w:p>
        </w:tc>
      </w:tr>
      <w:tr w:rsidR="00A72BA6" w:rsidRPr="003C134C" w14:paraId="702FFC63" w14:textId="77777777" w:rsidTr="003E2CD9">
        <w:trPr>
          <w:trHeight w:val="30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CFDC8" w14:textId="79D5139D" w:rsidR="00A72BA6" w:rsidRPr="003C134C" w:rsidRDefault="003C134C" w:rsidP="00A72BA6">
            <w:pPr>
              <w:spacing w:after="0" w:line="240" w:lineRule="auto"/>
              <w:rPr>
                <w:rFonts w:ascii="Arial" w:eastAsia="Times New Roman" w:hAnsi="Arial" w:cs="Arial"/>
                <w:b/>
                <w:sz w:val="20"/>
                <w:szCs w:val="20"/>
                <w:lang w:eastAsia="es-MX"/>
              </w:rPr>
            </w:pPr>
            <w:r w:rsidRPr="003C134C">
              <w:rPr>
                <w:rFonts w:ascii="Arial" w:eastAsia="Times New Roman" w:hAnsi="Arial" w:cs="Arial"/>
                <w:b/>
                <w:sz w:val="20"/>
                <w:szCs w:val="20"/>
                <w:lang w:eastAsia="es-MX"/>
              </w:rPr>
              <w:t>Representante legal:</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1DA0C863" w14:textId="77777777" w:rsidR="00A72BA6" w:rsidRPr="003C134C" w:rsidRDefault="00A72BA6" w:rsidP="00A72BA6">
            <w:pPr>
              <w:spacing w:after="0" w:line="240" w:lineRule="auto"/>
              <w:rPr>
                <w:rFonts w:ascii="Arial" w:eastAsia="Times New Roman" w:hAnsi="Arial" w:cs="Arial"/>
                <w:sz w:val="20"/>
                <w:szCs w:val="20"/>
                <w:lang w:eastAsia="es-MX"/>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C344991" w14:textId="77777777" w:rsidR="00A72BA6" w:rsidRPr="003C134C" w:rsidRDefault="00A72BA6" w:rsidP="00A72BA6">
            <w:pPr>
              <w:spacing w:after="0" w:line="240" w:lineRule="auto"/>
              <w:rPr>
                <w:rFonts w:ascii="Arial" w:eastAsia="Times New Roman" w:hAnsi="Arial" w:cs="Arial"/>
                <w:b/>
                <w:sz w:val="20"/>
                <w:szCs w:val="20"/>
                <w:lang w:eastAsia="es-MX"/>
              </w:rPr>
            </w:pPr>
            <w:r w:rsidRPr="003C134C">
              <w:rPr>
                <w:rFonts w:ascii="Arial" w:eastAsia="Times New Roman" w:hAnsi="Arial" w:cs="Arial"/>
                <w:b/>
                <w:sz w:val="20"/>
                <w:szCs w:val="20"/>
                <w:lang w:eastAsia="es-MX"/>
              </w:rPr>
              <w:t>Monto ejercido:</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3CF72415" w14:textId="77777777" w:rsidR="00A72BA6" w:rsidRPr="003C134C" w:rsidRDefault="00A72BA6" w:rsidP="00AA5140">
            <w:pPr>
              <w:spacing w:after="0" w:line="240" w:lineRule="auto"/>
              <w:jc w:val="center"/>
              <w:rPr>
                <w:rFonts w:ascii="Arial" w:eastAsia="Times New Roman" w:hAnsi="Arial" w:cs="Arial"/>
                <w:sz w:val="20"/>
                <w:szCs w:val="20"/>
                <w:lang w:eastAsia="es-MX"/>
              </w:rPr>
            </w:pPr>
          </w:p>
        </w:tc>
      </w:tr>
      <w:tr w:rsidR="003C134C" w:rsidRPr="003C134C" w14:paraId="6696CC15" w14:textId="77777777" w:rsidTr="003E2CD9">
        <w:trPr>
          <w:trHeight w:val="30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E381F" w14:textId="6925EA16" w:rsidR="003C134C" w:rsidRPr="003C134C" w:rsidRDefault="003C134C" w:rsidP="00A72BA6">
            <w:pPr>
              <w:spacing w:after="0" w:line="240" w:lineRule="auto"/>
              <w:rPr>
                <w:rFonts w:ascii="Arial" w:eastAsia="Times New Roman" w:hAnsi="Arial" w:cs="Arial"/>
                <w:b/>
                <w:sz w:val="20"/>
                <w:szCs w:val="20"/>
                <w:lang w:eastAsia="es-MX"/>
              </w:rPr>
            </w:pPr>
            <w:r w:rsidRPr="003C134C">
              <w:rPr>
                <w:rFonts w:ascii="Arial" w:eastAsia="Times New Roman" w:hAnsi="Arial" w:cs="Arial"/>
                <w:b/>
                <w:sz w:val="20"/>
                <w:szCs w:val="20"/>
                <w:lang w:eastAsia="es-MX"/>
              </w:rPr>
              <w:t>Monto contratado:</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22BDBE6" w14:textId="77777777" w:rsidR="003C134C" w:rsidRPr="003C134C" w:rsidRDefault="003C134C" w:rsidP="00A72BA6">
            <w:pPr>
              <w:spacing w:after="0" w:line="240" w:lineRule="auto"/>
              <w:rPr>
                <w:rFonts w:ascii="Arial" w:eastAsia="Times New Roman" w:hAnsi="Arial" w:cs="Arial"/>
                <w:sz w:val="20"/>
                <w:szCs w:val="20"/>
                <w:lang w:eastAsia="es-MX"/>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79FC9D7" w14:textId="77777777" w:rsidR="003C134C" w:rsidRPr="003C134C" w:rsidRDefault="003C134C" w:rsidP="00A72BA6">
            <w:pPr>
              <w:spacing w:after="0" w:line="240" w:lineRule="auto"/>
              <w:rPr>
                <w:rFonts w:ascii="Arial" w:eastAsia="Times New Roman" w:hAnsi="Arial" w:cs="Arial"/>
                <w:b/>
                <w:sz w:val="20"/>
                <w:szCs w:val="20"/>
                <w:lang w:eastAsia="es-MX"/>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280F1B4B" w14:textId="77777777" w:rsidR="003C134C" w:rsidRPr="003C134C" w:rsidRDefault="003C134C" w:rsidP="00AA5140">
            <w:pPr>
              <w:spacing w:after="0" w:line="240" w:lineRule="auto"/>
              <w:jc w:val="center"/>
              <w:rPr>
                <w:rFonts w:ascii="Arial" w:eastAsia="Times New Roman" w:hAnsi="Arial" w:cs="Arial"/>
                <w:sz w:val="20"/>
                <w:szCs w:val="20"/>
                <w:lang w:eastAsia="es-MX"/>
              </w:rPr>
            </w:pPr>
          </w:p>
        </w:tc>
      </w:tr>
    </w:tbl>
    <w:p w14:paraId="7BF25C18" w14:textId="77777777" w:rsidR="00AA5140" w:rsidRPr="00A72BA6" w:rsidRDefault="00AA5140">
      <w:pPr>
        <w:rPr>
          <w:rFonts w:ascii="Arial" w:hAnsi="Arial" w:cs="Arial"/>
        </w:rPr>
      </w:pPr>
    </w:p>
    <w:p w14:paraId="1BC407EC" w14:textId="7DE34D2E" w:rsidR="004D3537" w:rsidRPr="0020145D" w:rsidRDefault="00F16C83" w:rsidP="004D3537">
      <w:pPr>
        <w:spacing w:line="276" w:lineRule="auto"/>
        <w:ind w:left="-426" w:right="-518"/>
        <w:jc w:val="both"/>
        <w:rPr>
          <w:rFonts w:ascii="Arial" w:hAnsi="Arial" w:cs="Arial"/>
          <w:sz w:val="20"/>
          <w:szCs w:val="20"/>
        </w:rPr>
      </w:pPr>
      <w:r w:rsidRPr="0020145D">
        <w:rPr>
          <w:rFonts w:ascii="Arial" w:hAnsi="Arial" w:cs="Arial"/>
          <w:sz w:val="20"/>
          <w:szCs w:val="20"/>
        </w:rPr>
        <w:t>Sirva el presente para hacer constar que derivado de la revisión documental</w:t>
      </w:r>
      <w:r w:rsidR="00EF1B46" w:rsidRPr="0020145D">
        <w:rPr>
          <w:rFonts w:ascii="Arial" w:hAnsi="Arial" w:cs="Arial"/>
          <w:sz w:val="20"/>
          <w:szCs w:val="20"/>
        </w:rPr>
        <w:t xml:space="preserve"> realizada </w:t>
      </w:r>
      <w:r w:rsidR="00336EE9">
        <w:rPr>
          <w:rFonts w:ascii="Arial" w:hAnsi="Arial" w:cs="Arial"/>
          <w:sz w:val="20"/>
          <w:szCs w:val="20"/>
        </w:rPr>
        <w:t xml:space="preserve">en el presente </w:t>
      </w:r>
      <w:r w:rsidR="00CE40F3" w:rsidRPr="0020145D">
        <w:rPr>
          <w:rFonts w:ascii="Arial" w:hAnsi="Arial" w:cs="Arial"/>
          <w:sz w:val="20"/>
          <w:szCs w:val="20"/>
        </w:rPr>
        <w:t xml:space="preserve">día </w:t>
      </w:r>
      <w:r w:rsidRPr="0020145D">
        <w:rPr>
          <w:rFonts w:ascii="Arial" w:hAnsi="Arial" w:cs="Arial"/>
          <w:sz w:val="20"/>
          <w:szCs w:val="20"/>
        </w:rPr>
        <w:t>conforme al FO-DGOP/DACF-02 Revisión de Esti</w:t>
      </w:r>
      <w:r w:rsidR="00EF1B46" w:rsidRPr="0020145D">
        <w:rPr>
          <w:rFonts w:ascii="Arial" w:hAnsi="Arial" w:cs="Arial"/>
          <w:sz w:val="20"/>
          <w:szCs w:val="20"/>
        </w:rPr>
        <w:t>maciones a Contratistas</w:t>
      </w:r>
      <w:r w:rsidRPr="0020145D">
        <w:rPr>
          <w:rFonts w:ascii="Arial" w:hAnsi="Arial" w:cs="Arial"/>
          <w:sz w:val="20"/>
          <w:szCs w:val="20"/>
        </w:rPr>
        <w:t>,</w:t>
      </w:r>
      <w:r w:rsidR="003C134C">
        <w:rPr>
          <w:rFonts w:ascii="Arial" w:hAnsi="Arial" w:cs="Arial"/>
          <w:sz w:val="20"/>
          <w:szCs w:val="20"/>
        </w:rPr>
        <w:t xml:space="preserve"> esta D</w:t>
      </w:r>
      <w:r w:rsidR="00967477">
        <w:rPr>
          <w:rFonts w:ascii="Arial" w:hAnsi="Arial" w:cs="Arial"/>
          <w:sz w:val="20"/>
          <w:szCs w:val="20"/>
        </w:rPr>
        <w:t xml:space="preserve">ependencia se percató de la omisión de los documentos enlistados en el cuadro siguiente: </w:t>
      </w:r>
    </w:p>
    <w:tbl>
      <w:tblPr>
        <w:tblW w:w="10065" w:type="dxa"/>
        <w:tblInd w:w="-572" w:type="dxa"/>
        <w:tblLayout w:type="fixed"/>
        <w:tblCellMar>
          <w:left w:w="70" w:type="dxa"/>
          <w:right w:w="70" w:type="dxa"/>
        </w:tblCellMar>
        <w:tblLook w:val="04A0" w:firstRow="1" w:lastRow="0" w:firstColumn="1" w:lastColumn="0" w:noHBand="0" w:noVBand="1"/>
      </w:tblPr>
      <w:tblGrid>
        <w:gridCol w:w="5103"/>
        <w:gridCol w:w="4962"/>
      </w:tblGrid>
      <w:tr w:rsidR="00F16C83" w:rsidRPr="00F16C83" w14:paraId="1590A637" w14:textId="77777777" w:rsidTr="00EF1B46">
        <w:trPr>
          <w:trHeight w:val="269"/>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09E4F" w14:textId="77777777" w:rsidR="00F16C83" w:rsidRPr="00F16C83" w:rsidRDefault="00F16C83" w:rsidP="00F16C83">
            <w:pPr>
              <w:spacing w:after="0" w:line="240" w:lineRule="auto"/>
              <w:jc w:val="center"/>
              <w:rPr>
                <w:rFonts w:ascii="Calibri" w:eastAsia="Times New Roman" w:hAnsi="Calibri" w:cs="Times New Roman"/>
                <w:b/>
                <w:color w:val="000000"/>
                <w:lang w:eastAsia="es-MX"/>
              </w:rPr>
            </w:pPr>
            <w:r w:rsidRPr="00F16C83">
              <w:rPr>
                <w:rFonts w:ascii="Calibri" w:eastAsia="Times New Roman" w:hAnsi="Calibri" w:cs="Times New Roman"/>
                <w:b/>
                <w:color w:val="000000"/>
                <w:lang w:eastAsia="es-MX"/>
              </w:rPr>
              <w:t>Documento</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611AB" w14:textId="77777777" w:rsidR="00F16C83" w:rsidRPr="00F16C83" w:rsidRDefault="00F16C83" w:rsidP="00F16C83">
            <w:pPr>
              <w:spacing w:after="0" w:line="240" w:lineRule="auto"/>
              <w:jc w:val="center"/>
              <w:rPr>
                <w:rFonts w:ascii="Calibri" w:eastAsia="Times New Roman" w:hAnsi="Calibri" w:cs="Times New Roman"/>
                <w:b/>
                <w:color w:val="000000"/>
                <w:lang w:eastAsia="es-MX"/>
              </w:rPr>
            </w:pPr>
            <w:r w:rsidRPr="00F16C83">
              <w:rPr>
                <w:rFonts w:ascii="Calibri" w:eastAsia="Times New Roman" w:hAnsi="Calibri" w:cs="Times New Roman"/>
                <w:b/>
                <w:color w:val="000000"/>
                <w:lang w:eastAsia="es-MX"/>
              </w:rPr>
              <w:t>Observaciones</w:t>
            </w:r>
          </w:p>
        </w:tc>
      </w:tr>
      <w:tr w:rsidR="00F16C83" w:rsidRPr="00F16C83" w14:paraId="48378C61" w14:textId="77777777" w:rsidTr="0020145D">
        <w:trPr>
          <w:trHeight w:val="450"/>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69453E55" w14:textId="77777777" w:rsidR="00F16C83" w:rsidRPr="00F16C83" w:rsidRDefault="00F16C83" w:rsidP="00F16C83">
            <w:pPr>
              <w:spacing w:after="0" w:line="240" w:lineRule="auto"/>
              <w:rPr>
                <w:rFonts w:ascii="Calibri" w:eastAsia="Times New Roman" w:hAnsi="Calibri" w:cs="Times New Roman"/>
                <w:color w:val="000000"/>
                <w:lang w:eastAsia="es-MX"/>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20751F1E" w14:textId="77777777" w:rsidR="00F16C83" w:rsidRPr="00F16C83" w:rsidRDefault="00F16C83" w:rsidP="00F16C83">
            <w:pPr>
              <w:spacing w:after="0" w:line="240" w:lineRule="auto"/>
              <w:rPr>
                <w:rFonts w:ascii="Calibri" w:eastAsia="Times New Roman" w:hAnsi="Calibri" w:cs="Times New Roman"/>
                <w:color w:val="000000"/>
                <w:lang w:eastAsia="es-MX"/>
              </w:rPr>
            </w:pPr>
          </w:p>
        </w:tc>
      </w:tr>
      <w:tr w:rsidR="00F16C83" w:rsidRPr="00F16C83" w14:paraId="4599B4B9" w14:textId="77777777" w:rsidTr="00EF1B46">
        <w:trPr>
          <w:trHeight w:val="42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12DD9" w14:textId="77777777" w:rsidR="00F16C83" w:rsidRPr="00F16C83" w:rsidRDefault="00F16C83" w:rsidP="00F16C83">
            <w:pPr>
              <w:spacing w:after="0" w:line="240" w:lineRule="auto"/>
              <w:jc w:val="center"/>
              <w:rPr>
                <w:rFonts w:ascii="Calibri" w:eastAsia="Times New Roman" w:hAnsi="Calibri" w:cs="Times New Roman"/>
                <w:lang w:eastAsia="es-MX"/>
              </w:rPr>
            </w:pPr>
            <w:r w:rsidRPr="00F16C83">
              <w:rPr>
                <w:rFonts w:ascii="Calibri" w:eastAsia="Times New Roman" w:hAnsi="Calibri" w:cs="Times New Roman"/>
                <w:lang w:eastAsia="es-MX"/>
              </w:rPr>
              <w:t>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14:paraId="2C1891AF" w14:textId="77777777" w:rsidR="00F16C83" w:rsidRPr="00F16C83" w:rsidRDefault="00F16C83" w:rsidP="00F16C83">
            <w:pPr>
              <w:spacing w:after="0" w:line="240" w:lineRule="auto"/>
              <w:jc w:val="center"/>
              <w:rPr>
                <w:rFonts w:ascii="Calibri" w:eastAsia="Times New Roman" w:hAnsi="Calibri" w:cs="Times New Roman"/>
                <w:color w:val="000000"/>
                <w:lang w:eastAsia="es-MX"/>
              </w:rPr>
            </w:pPr>
            <w:r w:rsidRPr="00F16C83">
              <w:rPr>
                <w:rFonts w:ascii="Calibri" w:eastAsia="Times New Roman" w:hAnsi="Calibri" w:cs="Times New Roman"/>
                <w:color w:val="000000"/>
                <w:lang w:eastAsia="es-MX"/>
              </w:rPr>
              <w:t> </w:t>
            </w:r>
          </w:p>
        </w:tc>
      </w:tr>
      <w:tr w:rsidR="00F16C83" w:rsidRPr="00F16C83" w14:paraId="5D5DEE0A" w14:textId="77777777" w:rsidTr="00EF1B46">
        <w:trPr>
          <w:trHeight w:val="42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7085B" w14:textId="77777777" w:rsidR="00F16C83" w:rsidRPr="00F16C83" w:rsidRDefault="00F16C83" w:rsidP="00F16C83">
            <w:pPr>
              <w:spacing w:after="0" w:line="240" w:lineRule="auto"/>
              <w:jc w:val="center"/>
              <w:rPr>
                <w:rFonts w:ascii="Calibri" w:eastAsia="Times New Roman" w:hAnsi="Calibri" w:cs="Times New Roman"/>
                <w:color w:val="000000"/>
                <w:lang w:eastAsia="es-MX"/>
              </w:rPr>
            </w:pPr>
            <w:r w:rsidRPr="00F16C83">
              <w:rPr>
                <w:rFonts w:ascii="Calibri" w:eastAsia="Times New Roman" w:hAnsi="Calibri" w:cs="Times New Roman"/>
                <w:color w:val="000000"/>
                <w:lang w:eastAsia="es-MX"/>
              </w:rPr>
              <w:t>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14:paraId="6CC85B28" w14:textId="77777777" w:rsidR="00F16C83" w:rsidRPr="00F16C83" w:rsidRDefault="00F16C83" w:rsidP="00F16C83">
            <w:pPr>
              <w:spacing w:after="0" w:line="240" w:lineRule="auto"/>
              <w:jc w:val="center"/>
              <w:rPr>
                <w:rFonts w:ascii="Calibri" w:eastAsia="Times New Roman" w:hAnsi="Calibri" w:cs="Times New Roman"/>
                <w:color w:val="000000"/>
                <w:lang w:eastAsia="es-MX"/>
              </w:rPr>
            </w:pPr>
            <w:r w:rsidRPr="00F16C83">
              <w:rPr>
                <w:rFonts w:ascii="Calibri" w:eastAsia="Times New Roman" w:hAnsi="Calibri" w:cs="Times New Roman"/>
                <w:color w:val="000000"/>
                <w:lang w:eastAsia="es-MX"/>
              </w:rPr>
              <w:t> </w:t>
            </w:r>
          </w:p>
        </w:tc>
      </w:tr>
      <w:tr w:rsidR="00F16C83" w:rsidRPr="00F16C83" w14:paraId="5299DAA7" w14:textId="77777777" w:rsidTr="00EF1B46">
        <w:trPr>
          <w:trHeight w:val="42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1CDAC" w14:textId="77777777" w:rsidR="00F16C83" w:rsidRPr="00F16C83" w:rsidRDefault="00F16C83" w:rsidP="00F16C83">
            <w:pPr>
              <w:spacing w:after="0" w:line="240" w:lineRule="auto"/>
              <w:jc w:val="center"/>
              <w:rPr>
                <w:rFonts w:ascii="Calibri" w:eastAsia="Times New Roman" w:hAnsi="Calibri" w:cs="Times New Roman"/>
                <w:color w:val="000000"/>
                <w:lang w:eastAsia="es-MX"/>
              </w:rPr>
            </w:pPr>
            <w:r w:rsidRPr="00F16C83">
              <w:rPr>
                <w:rFonts w:ascii="Calibri" w:eastAsia="Times New Roman" w:hAnsi="Calibri" w:cs="Times New Roman"/>
                <w:color w:val="000000"/>
                <w:lang w:eastAsia="es-MX"/>
              </w:rPr>
              <w:t>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14:paraId="49BC29BC" w14:textId="77777777" w:rsidR="00F16C83" w:rsidRPr="00F16C83" w:rsidRDefault="00F16C83" w:rsidP="00F16C83">
            <w:pPr>
              <w:spacing w:after="0" w:line="240" w:lineRule="auto"/>
              <w:jc w:val="center"/>
              <w:rPr>
                <w:rFonts w:ascii="Calibri" w:eastAsia="Times New Roman" w:hAnsi="Calibri" w:cs="Times New Roman"/>
                <w:color w:val="000000"/>
                <w:lang w:eastAsia="es-MX"/>
              </w:rPr>
            </w:pPr>
            <w:r w:rsidRPr="00F16C83">
              <w:rPr>
                <w:rFonts w:ascii="Calibri" w:eastAsia="Times New Roman" w:hAnsi="Calibri" w:cs="Times New Roman"/>
                <w:color w:val="000000"/>
                <w:lang w:eastAsia="es-MX"/>
              </w:rPr>
              <w:t> </w:t>
            </w:r>
          </w:p>
        </w:tc>
      </w:tr>
    </w:tbl>
    <w:p w14:paraId="73660BD6" w14:textId="77777777" w:rsidR="00967477" w:rsidRPr="00743034" w:rsidRDefault="00967477">
      <w:pPr>
        <w:rPr>
          <w:rFonts w:ascii="Arial" w:hAnsi="Arial" w:cs="Arial"/>
          <w:sz w:val="20"/>
          <w:szCs w:val="20"/>
        </w:rPr>
      </w:pPr>
    </w:p>
    <w:p w14:paraId="2CE10269" w14:textId="7102E5E5" w:rsidR="00967477" w:rsidRDefault="00967477" w:rsidP="00336EE9">
      <w:pPr>
        <w:spacing w:line="276" w:lineRule="auto"/>
        <w:ind w:left="-426" w:right="-518"/>
        <w:jc w:val="both"/>
        <w:rPr>
          <w:rFonts w:ascii="Arial" w:hAnsi="Arial" w:cs="Arial"/>
          <w:sz w:val="20"/>
          <w:szCs w:val="20"/>
        </w:rPr>
      </w:pPr>
      <w:r w:rsidRPr="00743034">
        <w:rPr>
          <w:rFonts w:ascii="Arial" w:hAnsi="Arial" w:cs="Arial"/>
          <w:sz w:val="20"/>
          <w:szCs w:val="20"/>
        </w:rPr>
        <w:t>En virtud de lo anterior el contratista tendrá el p</w:t>
      </w:r>
      <w:r w:rsidR="0088676D" w:rsidRPr="00743034">
        <w:rPr>
          <w:rFonts w:ascii="Arial" w:hAnsi="Arial" w:cs="Arial"/>
          <w:sz w:val="20"/>
          <w:szCs w:val="20"/>
        </w:rPr>
        <w:t>lazo de</w:t>
      </w:r>
      <w:r w:rsidR="00342574" w:rsidRPr="00743034">
        <w:rPr>
          <w:rFonts w:ascii="Arial" w:hAnsi="Arial" w:cs="Arial"/>
          <w:sz w:val="20"/>
          <w:szCs w:val="20"/>
        </w:rPr>
        <w:t xml:space="preserve"> </w:t>
      </w:r>
      <w:r w:rsidR="0088676D" w:rsidRPr="00743034">
        <w:rPr>
          <w:rFonts w:ascii="Arial" w:hAnsi="Arial" w:cs="Arial"/>
          <w:sz w:val="20"/>
          <w:szCs w:val="20"/>
        </w:rPr>
        <w:t xml:space="preserve">5 </w:t>
      </w:r>
      <w:r w:rsidR="00087263" w:rsidRPr="00743034">
        <w:rPr>
          <w:rFonts w:ascii="Arial" w:hAnsi="Arial" w:cs="Arial"/>
          <w:sz w:val="20"/>
          <w:szCs w:val="20"/>
        </w:rPr>
        <w:t>días hábiles</w:t>
      </w:r>
      <w:r w:rsidR="0088676D" w:rsidRPr="00743034">
        <w:rPr>
          <w:rFonts w:ascii="Arial" w:hAnsi="Arial" w:cs="Arial"/>
          <w:sz w:val="20"/>
          <w:szCs w:val="20"/>
        </w:rPr>
        <w:t xml:space="preserve"> contados a partir de que tenga conocimiento del presente, para ingresar mediante oficio ante la Dirección de Administración y Control Financiero de Obra la documental requerida, lo anterior de conformidad </w:t>
      </w:r>
      <w:r w:rsidR="0088676D" w:rsidRPr="00743034">
        <w:rPr>
          <w:rFonts w:ascii="Arial" w:hAnsi="Arial" w:cs="Arial"/>
          <w:b/>
          <w:sz w:val="20"/>
          <w:szCs w:val="20"/>
        </w:rPr>
        <w:t xml:space="preserve">al  artículo </w:t>
      </w:r>
      <w:r w:rsidR="009E01AA" w:rsidRPr="00743034">
        <w:rPr>
          <w:rFonts w:ascii="Arial" w:hAnsi="Arial" w:cs="Arial"/>
          <w:b/>
          <w:sz w:val="20"/>
          <w:szCs w:val="20"/>
        </w:rPr>
        <w:t>304 primer párrafo, fracción II</w:t>
      </w:r>
      <w:r w:rsidR="00D86375">
        <w:rPr>
          <w:rFonts w:ascii="Arial" w:hAnsi="Arial" w:cs="Arial"/>
          <w:b/>
          <w:sz w:val="20"/>
          <w:szCs w:val="20"/>
        </w:rPr>
        <w:t xml:space="preserve"> del Código de Procedimientos Civiles para el Estado de Guanajuato (</w:t>
      </w:r>
      <w:r w:rsidR="009E01AA" w:rsidRPr="00743034">
        <w:rPr>
          <w:rFonts w:ascii="Arial" w:hAnsi="Arial" w:cs="Arial"/>
          <w:b/>
          <w:sz w:val="20"/>
          <w:szCs w:val="20"/>
        </w:rPr>
        <w:t xml:space="preserve">o artículo 31 primer párrafo, fracción II del </w:t>
      </w:r>
      <w:r w:rsidR="00AC38D2" w:rsidRPr="00743034">
        <w:rPr>
          <w:rFonts w:ascii="Arial" w:hAnsi="Arial" w:cs="Arial"/>
          <w:b/>
          <w:sz w:val="20"/>
          <w:szCs w:val="20"/>
        </w:rPr>
        <w:t xml:space="preserve">Código de Procedimiento y Justicia Administrativa para el Estado y los Municipios de Guanajuato </w:t>
      </w:r>
      <w:r w:rsidR="00743034" w:rsidRPr="00743034">
        <w:rPr>
          <w:rFonts w:ascii="Arial" w:hAnsi="Arial" w:cs="Arial"/>
          <w:b/>
          <w:sz w:val="20"/>
          <w:szCs w:val="20"/>
        </w:rPr>
        <w:t xml:space="preserve">o </w:t>
      </w:r>
      <w:r w:rsidR="00032339" w:rsidRPr="00743034">
        <w:rPr>
          <w:rFonts w:ascii="Arial" w:hAnsi="Arial" w:cs="Arial"/>
          <w:b/>
          <w:sz w:val="20"/>
          <w:szCs w:val="20"/>
        </w:rPr>
        <w:t>artículo 32 de la Ley Federal de</w:t>
      </w:r>
      <w:r w:rsidR="00AC38D2" w:rsidRPr="00743034">
        <w:rPr>
          <w:rFonts w:ascii="Arial" w:hAnsi="Arial" w:cs="Arial"/>
          <w:b/>
          <w:sz w:val="20"/>
          <w:szCs w:val="20"/>
        </w:rPr>
        <w:t xml:space="preserve">l Procedimiento </w:t>
      </w:r>
      <w:r w:rsidR="00AC38D2" w:rsidRPr="00D86375">
        <w:rPr>
          <w:rFonts w:ascii="Arial" w:hAnsi="Arial" w:cs="Arial"/>
          <w:b/>
          <w:sz w:val="20"/>
          <w:szCs w:val="20"/>
        </w:rPr>
        <w:t>Administrativo</w:t>
      </w:r>
      <w:r w:rsidR="00032339" w:rsidRPr="00D86375">
        <w:rPr>
          <w:rFonts w:ascii="Arial" w:hAnsi="Arial" w:cs="Arial"/>
          <w:b/>
          <w:sz w:val="20"/>
          <w:szCs w:val="20"/>
        </w:rPr>
        <w:t xml:space="preserve"> </w:t>
      </w:r>
      <w:r w:rsidR="00743034" w:rsidRPr="00D86375">
        <w:rPr>
          <w:rFonts w:ascii="Arial" w:hAnsi="Arial" w:cs="Arial"/>
          <w:b/>
          <w:sz w:val="20"/>
          <w:szCs w:val="20"/>
        </w:rPr>
        <w:t xml:space="preserve">según sea el origen del recurso), </w:t>
      </w:r>
      <w:r w:rsidRPr="00336EE9">
        <w:rPr>
          <w:rFonts w:ascii="Arial" w:hAnsi="Arial" w:cs="Arial"/>
          <w:sz w:val="20"/>
          <w:szCs w:val="20"/>
        </w:rPr>
        <w:t>para hacer la entrega de dichos documentos, estableciéndose como fecha límite el día       /      /      .</w:t>
      </w:r>
      <w:r w:rsidR="00336EE9" w:rsidRPr="00336EE9">
        <w:rPr>
          <w:rFonts w:ascii="Arial" w:hAnsi="Arial" w:cs="Arial"/>
          <w:sz w:val="20"/>
          <w:szCs w:val="20"/>
        </w:rPr>
        <w:t xml:space="preserve"> </w:t>
      </w:r>
    </w:p>
    <w:p w14:paraId="065B71C6" w14:textId="1052A04C" w:rsidR="000305CF" w:rsidRDefault="00D86375" w:rsidP="000305CF">
      <w:pPr>
        <w:spacing w:line="276" w:lineRule="auto"/>
        <w:ind w:left="-426" w:right="-518"/>
        <w:jc w:val="both"/>
        <w:rPr>
          <w:rFonts w:ascii="Arial" w:hAnsi="Arial" w:cs="Arial"/>
          <w:sz w:val="20"/>
        </w:rPr>
      </w:pPr>
      <w:r>
        <w:rPr>
          <w:rFonts w:ascii="Arial" w:hAnsi="Arial" w:cs="Arial"/>
          <w:sz w:val="20"/>
        </w:rPr>
        <w:t xml:space="preserve">Asimismo se le hace de su conocimiento que </w:t>
      </w:r>
      <w:r w:rsidR="004D3537" w:rsidRPr="0020145D">
        <w:rPr>
          <w:rFonts w:ascii="Arial" w:hAnsi="Arial" w:cs="Arial"/>
          <w:sz w:val="20"/>
        </w:rPr>
        <w:t>e</w:t>
      </w:r>
      <w:r w:rsidR="00DC7237" w:rsidRPr="0020145D">
        <w:rPr>
          <w:rFonts w:ascii="Arial" w:hAnsi="Arial" w:cs="Arial"/>
          <w:sz w:val="20"/>
        </w:rPr>
        <w:t xml:space="preserve">n el supuesto de </w:t>
      </w:r>
      <w:r w:rsidR="001B309E" w:rsidRPr="0020145D">
        <w:rPr>
          <w:rFonts w:ascii="Arial" w:hAnsi="Arial" w:cs="Arial"/>
          <w:sz w:val="20"/>
        </w:rPr>
        <w:t xml:space="preserve">no entregar </w:t>
      </w:r>
      <w:r w:rsidR="00DC7237" w:rsidRPr="0020145D">
        <w:rPr>
          <w:rFonts w:ascii="Arial" w:hAnsi="Arial" w:cs="Arial"/>
          <w:sz w:val="20"/>
        </w:rPr>
        <w:t>la documentación antes mencionada en tiempo y forma, la contratista se hará acreedora a u</w:t>
      </w:r>
      <w:r w:rsidR="004D3537" w:rsidRPr="0020145D">
        <w:rPr>
          <w:rFonts w:ascii="Arial" w:hAnsi="Arial" w:cs="Arial"/>
          <w:sz w:val="20"/>
        </w:rPr>
        <w:t xml:space="preserve">na </w:t>
      </w:r>
      <w:r w:rsidR="001B309E" w:rsidRPr="0020145D">
        <w:rPr>
          <w:rFonts w:ascii="Arial" w:hAnsi="Arial" w:cs="Arial"/>
          <w:sz w:val="20"/>
        </w:rPr>
        <w:t>sanción administrativa</w:t>
      </w:r>
      <w:r>
        <w:rPr>
          <w:rFonts w:ascii="Arial" w:hAnsi="Arial" w:cs="Arial"/>
          <w:sz w:val="20"/>
        </w:rPr>
        <w:t xml:space="preserve"> y se procederá a realizar el finiquito de manera unila</w:t>
      </w:r>
      <w:r w:rsidR="00EE7EBC">
        <w:rPr>
          <w:rFonts w:ascii="Arial" w:hAnsi="Arial" w:cs="Arial"/>
          <w:sz w:val="20"/>
        </w:rPr>
        <w:t>teral, de acuerdo a lo señalado</w:t>
      </w:r>
      <w:r w:rsidR="00EA6279">
        <w:rPr>
          <w:rFonts w:ascii="Arial" w:hAnsi="Arial" w:cs="Arial"/>
          <w:sz w:val="20"/>
        </w:rPr>
        <w:t xml:space="preserve"> en los ordinales 111 segundo párrafo y 125 de la Ley de Obra Pública y Servicios Relacionados con la Misma para el Estado y los Municipios de Guanajuato</w:t>
      </w:r>
      <w:r w:rsidR="00EE7EBC">
        <w:rPr>
          <w:rFonts w:ascii="Arial" w:hAnsi="Arial" w:cs="Arial"/>
          <w:sz w:val="20"/>
        </w:rPr>
        <w:t xml:space="preserve">    </w:t>
      </w:r>
      <w:r w:rsidR="00EE7EBC" w:rsidRPr="000305CF">
        <w:rPr>
          <w:rFonts w:ascii="Arial" w:hAnsi="Arial" w:cs="Arial"/>
          <w:b/>
          <w:sz w:val="20"/>
        </w:rPr>
        <w:t>(</w:t>
      </w:r>
      <w:r w:rsidR="00EA6279" w:rsidRPr="000305CF">
        <w:rPr>
          <w:rFonts w:ascii="Arial" w:hAnsi="Arial" w:cs="Arial"/>
          <w:b/>
          <w:sz w:val="20"/>
        </w:rPr>
        <w:t xml:space="preserve">o artículos 106 segundo párrafo, 107 y 118 de la Abrogada Ley de Obra Pública y Servicios Relacionados con la Misma para el Estado </w:t>
      </w:r>
      <w:r w:rsidR="000305CF" w:rsidRPr="000305CF">
        <w:rPr>
          <w:rFonts w:ascii="Arial" w:hAnsi="Arial" w:cs="Arial"/>
          <w:b/>
          <w:sz w:val="20"/>
        </w:rPr>
        <w:t>y los Municipios de Guanajuato, en la Ley de Obras Públicas y Servicios Relacionados con las Mismas no hay fundamento).</w:t>
      </w:r>
    </w:p>
    <w:p w14:paraId="094225F8" w14:textId="6F6BC7E5" w:rsidR="00DC7237" w:rsidRDefault="00DC7237" w:rsidP="000305CF">
      <w:pPr>
        <w:spacing w:line="276" w:lineRule="auto"/>
        <w:ind w:left="-426" w:right="-518"/>
        <w:jc w:val="both"/>
        <w:rPr>
          <w:rFonts w:ascii="Arial" w:hAnsi="Arial" w:cs="Arial"/>
          <w:sz w:val="20"/>
        </w:rPr>
      </w:pPr>
      <w:r w:rsidRPr="0020145D">
        <w:rPr>
          <w:rFonts w:ascii="Arial" w:hAnsi="Arial" w:cs="Arial"/>
          <w:sz w:val="20"/>
        </w:rPr>
        <w:t>En la carátula de finiquito se verán reflejadas tanto la sanción por elaboración del finiquito unilatera</w:t>
      </w:r>
      <w:r w:rsidR="004D3537" w:rsidRPr="0020145D">
        <w:rPr>
          <w:rFonts w:ascii="Arial" w:hAnsi="Arial" w:cs="Arial"/>
          <w:sz w:val="20"/>
        </w:rPr>
        <w:t xml:space="preserve">l, como la multa administrativa, en los términos del artículo 111 y </w:t>
      </w:r>
      <w:r w:rsidR="008352AB" w:rsidRPr="0020145D">
        <w:rPr>
          <w:rFonts w:ascii="Arial" w:hAnsi="Arial" w:cs="Arial"/>
          <w:sz w:val="20"/>
        </w:rPr>
        <w:t>125</w:t>
      </w:r>
      <w:r w:rsidRPr="0020145D">
        <w:rPr>
          <w:rFonts w:ascii="Arial" w:hAnsi="Arial" w:cs="Arial"/>
          <w:sz w:val="20"/>
        </w:rPr>
        <w:t xml:space="preserve"> de la Ley de Obra Pública y Servicios Relacionados con la misma para el Estad</w:t>
      </w:r>
      <w:r w:rsidR="004D3537" w:rsidRPr="0020145D">
        <w:rPr>
          <w:rFonts w:ascii="Arial" w:hAnsi="Arial" w:cs="Arial"/>
          <w:sz w:val="20"/>
        </w:rPr>
        <w:t xml:space="preserve">o y los Municipios de Guanajuato. </w:t>
      </w:r>
    </w:p>
    <w:p w14:paraId="49B742E1" w14:textId="77777777" w:rsidR="00032339" w:rsidRDefault="00032339" w:rsidP="005C31A0">
      <w:pPr>
        <w:spacing w:line="276" w:lineRule="auto"/>
        <w:ind w:left="-426" w:right="-518"/>
        <w:jc w:val="both"/>
        <w:rPr>
          <w:rFonts w:ascii="Arial" w:hAnsi="Arial" w:cs="Arial"/>
          <w:sz w:val="20"/>
        </w:rPr>
      </w:pPr>
    </w:p>
    <w:p w14:paraId="168D9CE3" w14:textId="77777777" w:rsidR="00032339" w:rsidRDefault="00032339" w:rsidP="00FD1535">
      <w:pPr>
        <w:ind w:left="-426" w:right="-518"/>
        <w:rPr>
          <w:b/>
          <w:color w:val="002060"/>
        </w:rPr>
      </w:pPr>
    </w:p>
    <w:p w14:paraId="51C88090" w14:textId="77777777" w:rsidR="00342574" w:rsidRPr="000A10E5" w:rsidRDefault="00342574" w:rsidP="00FD1535">
      <w:pPr>
        <w:ind w:left="-426" w:right="-518"/>
        <w:rPr>
          <w:rFonts w:ascii="Arial" w:hAnsi="Arial" w:cs="Arial"/>
          <w:b/>
          <w:color w:val="002060"/>
          <w:sz w:val="20"/>
          <w:szCs w:val="20"/>
        </w:rPr>
      </w:pPr>
      <w:r w:rsidRPr="000A10E5">
        <w:rPr>
          <w:rFonts w:ascii="Arial" w:hAnsi="Arial" w:cs="Arial"/>
          <w:b/>
          <w:color w:val="002060"/>
          <w:sz w:val="20"/>
          <w:szCs w:val="20"/>
        </w:rPr>
        <w:t>LEY ESTATAL DE OBRA PÚBLICA ABROGADA. (APLICABLE HASTA EL DÍA 20 DE JUNIO DEL 2018)</w:t>
      </w:r>
    </w:p>
    <w:p w14:paraId="13F8F4D3" w14:textId="77777777" w:rsidR="00342574" w:rsidRPr="000A10E5" w:rsidRDefault="00342574" w:rsidP="00FD1535">
      <w:pPr>
        <w:ind w:left="-426" w:right="-518"/>
        <w:jc w:val="both"/>
        <w:rPr>
          <w:rFonts w:ascii="Arial" w:hAnsi="Arial" w:cs="Arial"/>
          <w:color w:val="002060"/>
          <w:sz w:val="20"/>
          <w:szCs w:val="20"/>
        </w:rPr>
      </w:pPr>
      <w:r w:rsidRPr="000A10E5">
        <w:rPr>
          <w:rFonts w:ascii="Arial" w:hAnsi="Arial" w:cs="Arial"/>
          <w:color w:val="002060"/>
          <w:sz w:val="20"/>
          <w:szCs w:val="20"/>
        </w:rPr>
        <w:t>Contra éste oficio notificado con fundamento en el artículo 129 de la Ley de Obra Pública y Servicios relacionados con la misma para el Estado y los Municipios de Guanajuato, podrá presentar el recurso de revocación ante la Dirección General de Obra Pública dentro del término de diez días hábiles, contados a partir del día siguiente hábil al de la notificación del acto u omisión, tomando en consideración los requisitos exigidos en el artículo 130 de la Ley de Obra Pública y Servicios relacionados con la misma para el Estado y los Municipios de Guanajuato.</w:t>
      </w:r>
    </w:p>
    <w:p w14:paraId="50D4F454" w14:textId="77777777" w:rsidR="00342574" w:rsidRPr="000A10E5" w:rsidRDefault="00342574" w:rsidP="00FD1535">
      <w:pPr>
        <w:ind w:left="-426" w:right="-518"/>
        <w:jc w:val="both"/>
        <w:rPr>
          <w:rFonts w:ascii="Arial" w:hAnsi="Arial" w:cs="Arial"/>
          <w:color w:val="002060"/>
          <w:sz w:val="20"/>
          <w:szCs w:val="20"/>
        </w:rPr>
      </w:pPr>
      <w:r w:rsidRPr="000A10E5">
        <w:rPr>
          <w:rFonts w:ascii="Arial" w:hAnsi="Arial" w:cs="Arial"/>
          <w:color w:val="002060"/>
          <w:sz w:val="20"/>
          <w:szCs w:val="20"/>
        </w:rPr>
        <w:t>De igual manera podrán interponer el recurso de inconformidad previsto en el artículo 226 del Código de Procedimiento y Justicia Administrativa para el Estado y los Municipios de Guanajuato, el cual deberá presentar ante el superior jerárquico de la autoridad administrativa que lo emitió, dentro de los quince días siguientes en que surta efectos la notificación o que tenga conocimiento del mismo, tomando en cuenta lo determinado en los artículos 227, 228 y 229 del Código de Procedimiento y Justicia Administrativa para el Estado y los Municipios de Guanajuato.</w:t>
      </w:r>
    </w:p>
    <w:p w14:paraId="14AE24C4" w14:textId="77777777" w:rsidR="00342574" w:rsidRPr="000A10E5" w:rsidRDefault="00342574" w:rsidP="00FD1535">
      <w:pPr>
        <w:ind w:left="-426" w:right="-518"/>
        <w:jc w:val="both"/>
        <w:rPr>
          <w:rFonts w:ascii="Arial" w:hAnsi="Arial" w:cs="Arial"/>
          <w:color w:val="002060"/>
          <w:sz w:val="20"/>
          <w:szCs w:val="20"/>
        </w:rPr>
      </w:pPr>
      <w:r w:rsidRPr="000A10E5">
        <w:rPr>
          <w:rFonts w:ascii="Arial" w:hAnsi="Arial" w:cs="Arial"/>
          <w:color w:val="002060"/>
          <w:sz w:val="20"/>
          <w:szCs w:val="20"/>
        </w:rPr>
        <w:t>En caso que crea necesario, podrá presentar la demanda respectiva ante el Tribunal de Justicia Administrativa del Estado de Guanajuato, dentro de los treinta días siguientes a aquel en que haya surtido efectos la notificación del presente o aquel en que se haya ostentado sabedor de su contenido o de su ejecución con apego a lo establecido en los artículos 263, 264, 265 y 266 del Código de Procedimiento y Justicia Administrativa para el Estado y los Municipios de Guanajuato.</w:t>
      </w:r>
    </w:p>
    <w:p w14:paraId="77C53C68" w14:textId="77777777" w:rsidR="00342574" w:rsidRPr="000A10E5" w:rsidRDefault="00342574" w:rsidP="00FD1535">
      <w:pPr>
        <w:ind w:left="-426" w:right="-518"/>
        <w:jc w:val="both"/>
        <w:rPr>
          <w:rFonts w:ascii="Arial" w:hAnsi="Arial" w:cs="Arial"/>
          <w:sz w:val="20"/>
          <w:szCs w:val="20"/>
        </w:rPr>
      </w:pPr>
    </w:p>
    <w:p w14:paraId="64AB4D60" w14:textId="77777777" w:rsidR="00342574" w:rsidRPr="000A10E5" w:rsidRDefault="00342574" w:rsidP="00FD1535">
      <w:pPr>
        <w:ind w:left="-426" w:right="-518"/>
        <w:rPr>
          <w:rFonts w:ascii="Arial" w:hAnsi="Arial" w:cs="Arial"/>
          <w:b/>
          <w:color w:val="C45911" w:themeColor="accent2" w:themeShade="BF"/>
          <w:sz w:val="20"/>
          <w:szCs w:val="20"/>
        </w:rPr>
      </w:pPr>
      <w:r w:rsidRPr="000A10E5">
        <w:rPr>
          <w:rFonts w:ascii="Arial" w:hAnsi="Arial" w:cs="Arial"/>
          <w:b/>
          <w:color w:val="C45911" w:themeColor="accent2" w:themeShade="BF"/>
          <w:sz w:val="20"/>
          <w:szCs w:val="20"/>
        </w:rPr>
        <w:t>LEY ESTATAL DE OBRA PÚBLICA NUEVA (APLICABLE DESDE EL MES DE JUNIO DEL 2018)</w:t>
      </w:r>
    </w:p>
    <w:p w14:paraId="1AC455C9" w14:textId="77777777" w:rsidR="00342574" w:rsidRPr="000A10E5" w:rsidRDefault="00342574" w:rsidP="00FD1535">
      <w:pPr>
        <w:ind w:left="-426" w:right="-518"/>
        <w:jc w:val="both"/>
        <w:rPr>
          <w:rFonts w:ascii="Arial" w:hAnsi="Arial" w:cs="Arial"/>
          <w:color w:val="C45911" w:themeColor="accent2" w:themeShade="BF"/>
          <w:sz w:val="20"/>
          <w:szCs w:val="20"/>
        </w:rPr>
      </w:pPr>
      <w:r w:rsidRPr="000A10E5">
        <w:rPr>
          <w:rFonts w:ascii="Arial" w:hAnsi="Arial" w:cs="Arial"/>
          <w:color w:val="C45911" w:themeColor="accent2" w:themeShade="BF"/>
          <w:sz w:val="20"/>
          <w:szCs w:val="20"/>
        </w:rPr>
        <w:t>Contra éste oficio notificado con fundamento en el artículo 135 de la Ley de Obra Pública y Servicios relacionados con la misma para el Estado y los Municipios de Guanajuato, podrá presentar el recurso de revocación ante la Dirección General de Obra Pública dentro del término de diez días hábiles, contados a partir del día siguiente hábil al de la notificación del acto u omisión, tomando en consideración los requisitos exigidos en el artículo 137 de la Ley de Obra Pública y Servicios relacionados con la misma para el Estado y los Municipios de Guanajuato.</w:t>
      </w:r>
    </w:p>
    <w:p w14:paraId="791BC7CC" w14:textId="77777777" w:rsidR="00342574" w:rsidRPr="000A10E5" w:rsidRDefault="00342574" w:rsidP="00FD1535">
      <w:pPr>
        <w:ind w:left="-426" w:right="-518"/>
        <w:jc w:val="both"/>
        <w:rPr>
          <w:rFonts w:ascii="Arial" w:hAnsi="Arial" w:cs="Arial"/>
          <w:color w:val="C45911" w:themeColor="accent2" w:themeShade="BF"/>
          <w:sz w:val="20"/>
          <w:szCs w:val="20"/>
        </w:rPr>
      </w:pPr>
      <w:r w:rsidRPr="000A10E5">
        <w:rPr>
          <w:rFonts w:ascii="Arial" w:hAnsi="Arial" w:cs="Arial"/>
          <w:color w:val="C45911" w:themeColor="accent2" w:themeShade="BF"/>
          <w:sz w:val="20"/>
          <w:szCs w:val="20"/>
        </w:rPr>
        <w:t>De igual manera podrán interponer el recurso de inconformidad previsto en el artículo 226 del Código de Procedimiento y Justicia Administrativa para el Estado y los Municipios de Guanajuato, el cual deberá presentar ante el superior jerárquico de la autoridad administrativa que lo emitió, dentro de los quince días siguientes en que surta efectos la notificación o que tenga conocimiento del mismo, tomando en cuenta lo determinado en los artículos 227, 228 y 229 del Código de Procedimiento y Justicia Administrativa para el Estado y los Municipios de Guanajuato.</w:t>
      </w:r>
    </w:p>
    <w:p w14:paraId="39CCDDC3" w14:textId="77777777" w:rsidR="00342574" w:rsidRPr="000A10E5" w:rsidRDefault="00342574" w:rsidP="00FD1535">
      <w:pPr>
        <w:ind w:left="-426" w:right="-518"/>
        <w:jc w:val="both"/>
        <w:rPr>
          <w:rFonts w:ascii="Arial" w:hAnsi="Arial" w:cs="Arial"/>
          <w:color w:val="C45911" w:themeColor="accent2" w:themeShade="BF"/>
          <w:sz w:val="20"/>
          <w:szCs w:val="20"/>
        </w:rPr>
      </w:pPr>
      <w:r w:rsidRPr="000A10E5">
        <w:rPr>
          <w:rFonts w:ascii="Arial" w:hAnsi="Arial" w:cs="Arial"/>
          <w:color w:val="C45911" w:themeColor="accent2" w:themeShade="BF"/>
          <w:sz w:val="20"/>
          <w:szCs w:val="20"/>
        </w:rPr>
        <w:t>En caso que crea necesario, podrá presentar la demanda respectiva ante el Tribunal de Justicia Administrativa del Estado de Guanajuato, dentro de los treinta días siguientes a aquel en que haya surtido efectos la notificación del presente o aquel en que se haya ostentado sabedor de su contenido o de su ejecución con apego a lo establecido en los artículos 263, 264, 265 y 266 del Código de Procedimiento y Justicia Administrativa para el Estado y los Municipios de Guanajuato.</w:t>
      </w:r>
    </w:p>
    <w:p w14:paraId="0364570A" w14:textId="77777777" w:rsidR="00342574" w:rsidRPr="000A10E5" w:rsidRDefault="00342574" w:rsidP="00FD1535">
      <w:pPr>
        <w:ind w:left="-426" w:right="-518"/>
        <w:jc w:val="both"/>
        <w:rPr>
          <w:rFonts w:ascii="Arial" w:hAnsi="Arial" w:cs="Arial"/>
          <w:color w:val="385623" w:themeColor="accent6" w:themeShade="80"/>
          <w:sz w:val="20"/>
          <w:szCs w:val="20"/>
        </w:rPr>
      </w:pPr>
    </w:p>
    <w:p w14:paraId="3B6BBBE7" w14:textId="77777777" w:rsidR="00342574" w:rsidRPr="000A10E5" w:rsidRDefault="00342574" w:rsidP="00FD1535">
      <w:pPr>
        <w:ind w:left="-426" w:right="-518"/>
        <w:jc w:val="both"/>
        <w:rPr>
          <w:rFonts w:ascii="Arial" w:hAnsi="Arial" w:cs="Arial"/>
          <w:b/>
          <w:color w:val="385623" w:themeColor="accent6" w:themeShade="80"/>
          <w:sz w:val="20"/>
          <w:szCs w:val="20"/>
        </w:rPr>
      </w:pPr>
      <w:r w:rsidRPr="000A10E5">
        <w:rPr>
          <w:rFonts w:ascii="Arial" w:hAnsi="Arial" w:cs="Arial"/>
          <w:b/>
          <w:color w:val="385623" w:themeColor="accent6" w:themeShade="80"/>
          <w:sz w:val="20"/>
          <w:szCs w:val="20"/>
        </w:rPr>
        <w:t>LEY FEDERAL DE OBRA PÚBLICA.</w:t>
      </w:r>
    </w:p>
    <w:p w14:paraId="2F145945" w14:textId="77777777" w:rsidR="00342574" w:rsidRPr="000A10E5" w:rsidRDefault="00342574" w:rsidP="00FD1535">
      <w:pPr>
        <w:ind w:left="-426" w:right="-518"/>
        <w:jc w:val="both"/>
        <w:rPr>
          <w:rFonts w:ascii="Arial" w:hAnsi="Arial" w:cs="Arial"/>
          <w:color w:val="385623" w:themeColor="accent6" w:themeShade="80"/>
          <w:sz w:val="20"/>
          <w:szCs w:val="20"/>
        </w:rPr>
      </w:pPr>
      <w:r w:rsidRPr="000A10E5">
        <w:rPr>
          <w:rFonts w:ascii="Arial" w:hAnsi="Arial" w:cs="Arial"/>
          <w:color w:val="385623" w:themeColor="accent6" w:themeShade="80"/>
          <w:sz w:val="20"/>
          <w:szCs w:val="20"/>
        </w:rPr>
        <w:t xml:space="preserve">Contra éste oficio notificado, podrá presentar ante la Secretaría de la Función Pública el recurso de inconformidad de conformidad a lo estipulado en el artículo 83 de la Ley de Obras Públicas y Servicios relacionados con las mismas, debe presentarse por escrito directamente en la oficina de la Secretaría de la </w:t>
      </w:r>
      <w:r w:rsidRPr="000A10E5">
        <w:rPr>
          <w:rFonts w:ascii="Arial" w:hAnsi="Arial" w:cs="Arial"/>
          <w:color w:val="385623" w:themeColor="accent6" w:themeShade="80"/>
          <w:sz w:val="20"/>
          <w:szCs w:val="20"/>
        </w:rPr>
        <w:lastRenderedPageBreak/>
        <w:t>Función Pública o a través de Compra Net, contará con seis días hábiles para la presentación del recurso de inconformidad de acuerdo a las fracciones estipuladas en el artículo 83 de la propia Ley de Obras Públicas y Servicios relacionados con las mismas, deberá tomar en consideración lo señalado en el artículo 84 tercer párrafo de la Ley de Obras Públicas y Servicios relacionados con las mismas.</w:t>
      </w:r>
    </w:p>
    <w:p w14:paraId="3AB1896D" w14:textId="77777777" w:rsidR="00342574" w:rsidRPr="000A10E5" w:rsidRDefault="00342574" w:rsidP="00FD1535">
      <w:pPr>
        <w:ind w:left="-426" w:right="-518"/>
        <w:jc w:val="both"/>
        <w:rPr>
          <w:rFonts w:ascii="Arial" w:hAnsi="Arial" w:cs="Arial"/>
          <w:color w:val="385623" w:themeColor="accent6" w:themeShade="80"/>
          <w:sz w:val="20"/>
          <w:szCs w:val="20"/>
        </w:rPr>
      </w:pPr>
      <w:r w:rsidRPr="000A10E5">
        <w:rPr>
          <w:rFonts w:ascii="Arial" w:hAnsi="Arial" w:cs="Arial"/>
          <w:color w:val="385623" w:themeColor="accent6" w:themeShade="80"/>
          <w:sz w:val="20"/>
          <w:szCs w:val="20"/>
        </w:rPr>
        <w:t>De igual manera, podrá presentar la demanda respectiva ante el Tribunal Federal de Justicia Fiscal y Administrativa, ya sea en la vía tradicional, por escrito ante la Sala Regional competente o, en línea, a través del Sistema de Justicia en Línea, dentro de los plazos determinados por el artículo 13 de la Ley Federal de Procedimiento Contencioso Administrativo párrafo tercero fracción I, II y III.  Para la presentación de la demanda deberá considerar lo redactado en el artículo 14 de la propia Ley Federal de Procedimiento Contencioso Administrativo.</w:t>
      </w:r>
    </w:p>
    <w:p w14:paraId="057CD2AA" w14:textId="77777777" w:rsidR="00342574" w:rsidRDefault="00342574" w:rsidP="000A10E5">
      <w:pPr>
        <w:spacing w:line="276" w:lineRule="auto"/>
        <w:ind w:right="-518"/>
        <w:jc w:val="both"/>
        <w:rPr>
          <w:rFonts w:ascii="Arial" w:hAnsi="Arial" w:cs="Arial"/>
          <w:sz w:val="20"/>
        </w:rPr>
      </w:pPr>
    </w:p>
    <w:p w14:paraId="20AA8373" w14:textId="77777777" w:rsidR="00342574" w:rsidRDefault="00342574" w:rsidP="005C31A0">
      <w:pPr>
        <w:spacing w:line="276" w:lineRule="auto"/>
        <w:ind w:left="-426" w:right="-518"/>
        <w:jc w:val="both"/>
        <w:rPr>
          <w:rFonts w:ascii="Arial" w:hAnsi="Arial" w:cs="Arial"/>
          <w:sz w:val="20"/>
        </w:rPr>
      </w:pPr>
    </w:p>
    <w:p w14:paraId="48819563" w14:textId="77777777" w:rsidR="00342574" w:rsidRDefault="00342574" w:rsidP="005C31A0">
      <w:pPr>
        <w:spacing w:line="276" w:lineRule="auto"/>
        <w:ind w:left="-426" w:right="-518"/>
        <w:jc w:val="both"/>
        <w:rPr>
          <w:rFonts w:ascii="Arial" w:hAnsi="Arial" w:cs="Arial"/>
          <w:sz w:val="20"/>
        </w:rPr>
      </w:pPr>
    </w:p>
    <w:p w14:paraId="56B380D2" w14:textId="7662FE5A" w:rsidR="00342574" w:rsidRDefault="00342574" w:rsidP="000A10E5">
      <w:pPr>
        <w:spacing w:line="276" w:lineRule="auto"/>
        <w:ind w:right="-518"/>
        <w:jc w:val="both"/>
        <w:rPr>
          <w:rFonts w:ascii="Arial" w:hAnsi="Arial" w:cs="Arial"/>
          <w:sz w:val="20"/>
        </w:rPr>
      </w:pPr>
    </w:p>
    <w:p w14:paraId="3F61EBD4" w14:textId="75ADF8C0" w:rsidR="00421D48" w:rsidRDefault="00403F88" w:rsidP="005C31A0">
      <w:pPr>
        <w:spacing w:line="276" w:lineRule="auto"/>
        <w:ind w:left="-426" w:right="-518"/>
        <w:jc w:val="both"/>
        <w:rPr>
          <w:rFonts w:ascii="Arial" w:hAnsi="Arial" w:cs="Arial"/>
          <w:sz w:val="20"/>
        </w:rPr>
      </w:pPr>
      <w:r w:rsidRPr="005C31A0">
        <w:rPr>
          <w:rFonts w:ascii="Arial" w:hAnsi="Arial" w:cs="Arial"/>
          <w:noProof/>
          <w:lang w:eastAsia="es-MX"/>
        </w:rPr>
        <mc:AlternateContent>
          <mc:Choice Requires="wps">
            <w:drawing>
              <wp:anchor distT="45720" distB="45720" distL="114300" distR="114300" simplePos="0" relativeHeight="251665408" behindDoc="0" locked="0" layoutInCell="1" allowOverlap="1" wp14:anchorId="11B0CEA3" wp14:editId="081564F1">
                <wp:simplePos x="0" y="0"/>
                <wp:positionH relativeFrom="margin">
                  <wp:posOffset>3101340</wp:posOffset>
                </wp:positionH>
                <wp:positionV relativeFrom="margin">
                  <wp:posOffset>4323344</wp:posOffset>
                </wp:positionV>
                <wp:extent cx="2819400" cy="386080"/>
                <wp:effectExtent l="0" t="0" r="0" b="190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86080"/>
                        </a:xfrm>
                        <a:prstGeom prst="rect">
                          <a:avLst/>
                        </a:prstGeom>
                        <a:solidFill>
                          <a:srgbClr val="FFFFFF"/>
                        </a:solidFill>
                        <a:ln w="9525">
                          <a:noFill/>
                          <a:miter lim="800000"/>
                          <a:headEnd/>
                          <a:tailEnd/>
                        </a:ln>
                      </wps:spPr>
                      <wps:txbx>
                        <w:txbxContent>
                          <w:p w14:paraId="6C7C9784" w14:textId="77777777" w:rsidR="008352AB" w:rsidRPr="0020145D" w:rsidRDefault="008352AB" w:rsidP="003E2CD9">
                            <w:pPr>
                              <w:spacing w:after="0"/>
                              <w:jc w:val="center"/>
                              <w:rPr>
                                <w:rFonts w:ascii="Arial" w:hAnsi="Arial" w:cs="Arial"/>
                                <w:b/>
                                <w:sz w:val="20"/>
                              </w:rPr>
                            </w:pPr>
                            <w:r w:rsidRPr="0020145D">
                              <w:rPr>
                                <w:rFonts w:ascii="Arial" w:hAnsi="Arial" w:cs="Arial"/>
                                <w:b/>
                                <w:sz w:val="20"/>
                              </w:rPr>
                              <w:t>REVISOR DE ESTIMACIONES</w:t>
                            </w:r>
                          </w:p>
                          <w:p w14:paraId="02CDA269" w14:textId="77777777" w:rsidR="00CE40F3" w:rsidRPr="0020145D" w:rsidRDefault="0020145D" w:rsidP="003E2CD9">
                            <w:pPr>
                              <w:spacing w:after="0"/>
                              <w:jc w:val="center"/>
                              <w:rPr>
                                <w:sz w:val="20"/>
                              </w:rPr>
                            </w:pPr>
                            <w:r>
                              <w:rPr>
                                <w:sz w:val="20"/>
                              </w:rPr>
                              <w:t xml:space="preserve"> De la </w:t>
                            </w:r>
                            <w:r w:rsidR="00CE40F3" w:rsidRPr="0020145D">
                              <w:rPr>
                                <w:sz w:val="20"/>
                              </w:rPr>
                              <w:t xml:space="preserve">Dirección de Administración y Control Financiero de Obra </w:t>
                            </w:r>
                            <w:r>
                              <w:rPr>
                                <w:sz w:val="20"/>
                              </w:rPr>
                              <w:t>adscrita a la Dirección General de Obra Pública.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B0CEA3" id="_x0000_t202" coordsize="21600,21600" o:spt="202" path="m,l,21600r21600,l21600,xe">
                <v:stroke joinstyle="miter"/>
                <v:path gradientshapeok="t" o:connecttype="rect"/>
              </v:shapetype>
              <v:shape id="Cuadro de texto 2" o:spid="_x0000_s1026" type="#_x0000_t202" style="position:absolute;left:0;text-align:left;margin-left:244.2pt;margin-top:340.4pt;width:222pt;height:30.4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RIwIAACI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" stroked="f">
                <v:textbox style="mso-fit-shape-to-text:t">
                  <w:txbxContent>
                    <w:p w14:paraId="6C7C9784" w14:textId="77777777" w:rsidR="008352AB" w:rsidRPr="0020145D" w:rsidRDefault="008352AB" w:rsidP="003E2CD9">
                      <w:pPr>
                        <w:spacing w:after="0"/>
                        <w:jc w:val="center"/>
                        <w:rPr>
                          <w:rFonts w:ascii="Arial" w:hAnsi="Arial" w:cs="Arial"/>
                          <w:b/>
                          <w:sz w:val="20"/>
                        </w:rPr>
                      </w:pPr>
                      <w:r w:rsidRPr="0020145D">
                        <w:rPr>
                          <w:rFonts w:ascii="Arial" w:hAnsi="Arial" w:cs="Arial"/>
                          <w:b/>
                          <w:sz w:val="20"/>
                        </w:rPr>
                        <w:t>REVISOR DE ESTIMACIONES</w:t>
                      </w:r>
                    </w:p>
                    <w:p w14:paraId="02CDA269" w14:textId="77777777" w:rsidR="00CE40F3" w:rsidRPr="0020145D" w:rsidRDefault="0020145D" w:rsidP="003E2CD9">
                      <w:pPr>
                        <w:spacing w:after="0"/>
                        <w:jc w:val="center"/>
                        <w:rPr>
                          <w:sz w:val="20"/>
                        </w:rPr>
                      </w:pPr>
                      <w:r>
                        <w:rPr>
                          <w:sz w:val="20"/>
                        </w:rPr>
                        <w:t xml:space="preserve"> De la </w:t>
                      </w:r>
                      <w:r w:rsidR="00CE40F3" w:rsidRPr="0020145D">
                        <w:rPr>
                          <w:sz w:val="20"/>
                        </w:rPr>
                        <w:t xml:space="preserve">Dirección de Administración y Control Financiero de Obra </w:t>
                      </w:r>
                      <w:r>
                        <w:rPr>
                          <w:sz w:val="20"/>
                        </w:rPr>
                        <w:t>adscrita a la Dirección General de Obra Pública.</w:t>
                      </w:r>
                    </w:p>
                  </w:txbxContent>
                </v:textbox>
                <w10:wrap type="square" anchorx="margin" anchory="margin"/>
              </v:shape>
            </w:pict>
          </mc:Fallback>
        </mc:AlternateContent>
      </w:r>
      <w:r w:rsidRPr="005C31A0">
        <w:rPr>
          <w:rFonts w:ascii="Arial" w:hAnsi="Arial" w:cs="Arial"/>
          <w:noProof/>
          <w:lang w:eastAsia="es-MX"/>
        </w:rPr>
        <mc:AlternateContent>
          <mc:Choice Requires="wps">
            <w:drawing>
              <wp:anchor distT="45720" distB="45720" distL="114300" distR="114300" simplePos="0" relativeHeight="251663360" behindDoc="0" locked="0" layoutInCell="1" allowOverlap="1" wp14:anchorId="0BB7DF44" wp14:editId="23F7688A">
                <wp:simplePos x="0" y="0"/>
                <wp:positionH relativeFrom="margin">
                  <wp:posOffset>0</wp:posOffset>
                </wp:positionH>
                <wp:positionV relativeFrom="margin">
                  <wp:posOffset>4318264</wp:posOffset>
                </wp:positionV>
                <wp:extent cx="2221865" cy="386080"/>
                <wp:effectExtent l="0" t="0" r="3175"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386080"/>
                        </a:xfrm>
                        <a:prstGeom prst="rect">
                          <a:avLst/>
                        </a:prstGeom>
                        <a:solidFill>
                          <a:srgbClr val="FFFFFF"/>
                        </a:solidFill>
                        <a:ln w="9525">
                          <a:noFill/>
                          <a:miter lim="800000"/>
                          <a:headEnd/>
                          <a:tailEnd/>
                        </a:ln>
                      </wps:spPr>
                      <wps:txbx>
                        <w:txbxContent>
                          <w:p w14:paraId="0ED8EC40" w14:textId="77777777" w:rsidR="005C31A0" w:rsidRPr="0020145D" w:rsidRDefault="005C31A0" w:rsidP="005C31A0">
                            <w:pPr>
                              <w:jc w:val="center"/>
                              <w:rPr>
                                <w:rFonts w:ascii="Arial" w:hAnsi="Arial" w:cs="Arial"/>
                                <w:b/>
                                <w:sz w:val="20"/>
                              </w:rPr>
                            </w:pPr>
                            <w:r w:rsidRPr="0020145D">
                              <w:rPr>
                                <w:rFonts w:ascii="Arial" w:hAnsi="Arial" w:cs="Arial"/>
                                <w:b/>
                                <w:sz w:val="20"/>
                              </w:rPr>
                              <w:t>CONTRATISTA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B7DF44" id="_x0000_s1027" type="#_x0000_t202" style="position:absolute;left:0;text-align:left;margin-left:0;margin-top:340pt;width:174.95pt;height:30.4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" stroked="f">
                <v:textbox style="mso-fit-shape-to-text:t">
                  <w:txbxContent>
                    <w:p w14:paraId="0ED8EC40" w14:textId="77777777" w:rsidR="005C31A0" w:rsidRPr="0020145D" w:rsidRDefault="005C31A0" w:rsidP="005C31A0">
                      <w:pPr>
                        <w:jc w:val="center"/>
                        <w:rPr>
                          <w:rFonts w:ascii="Arial" w:hAnsi="Arial" w:cs="Arial"/>
                          <w:b/>
                          <w:sz w:val="20"/>
                        </w:rPr>
                      </w:pPr>
                      <w:r w:rsidRPr="0020145D">
                        <w:rPr>
                          <w:rFonts w:ascii="Arial" w:hAnsi="Arial" w:cs="Arial"/>
                          <w:b/>
                          <w:sz w:val="20"/>
                        </w:rPr>
                        <w:t>CONTRATISTA</w:t>
                      </w:r>
                    </w:p>
                  </w:txbxContent>
                </v:textbox>
                <w10:wrap type="square" anchorx="margin" anchory="margin"/>
              </v:shape>
            </w:pict>
          </mc:Fallback>
        </mc:AlternateContent>
      </w:r>
      <w:r>
        <w:rPr>
          <w:rFonts w:ascii="Arial" w:hAnsi="Arial" w:cs="Arial"/>
          <w:noProof/>
          <w:lang w:eastAsia="es-MX"/>
        </w:rPr>
        <mc:AlternateContent>
          <mc:Choice Requires="wps">
            <w:drawing>
              <wp:anchor distT="0" distB="0" distL="114300" distR="114300" simplePos="0" relativeHeight="251661312" behindDoc="0" locked="0" layoutInCell="1" allowOverlap="1" wp14:anchorId="182C2E67" wp14:editId="518F0BD5">
                <wp:simplePos x="0" y="0"/>
                <wp:positionH relativeFrom="column">
                  <wp:posOffset>3520440</wp:posOffset>
                </wp:positionH>
                <wp:positionV relativeFrom="paragraph">
                  <wp:posOffset>95346</wp:posOffset>
                </wp:positionV>
                <wp:extent cx="2159635" cy="0"/>
                <wp:effectExtent l="0" t="0" r="31115" b="19050"/>
                <wp:wrapNone/>
                <wp:docPr id="3" name="Conector recto 3"/>
                <wp:cNvGraphicFramePr/>
                <a:graphic xmlns:a="http://schemas.openxmlformats.org/drawingml/2006/main">
                  <a:graphicData uri="http://schemas.microsoft.com/office/word/2010/wordprocessingShape">
                    <wps:wsp>
                      <wps:cNvCnPr/>
                      <wps:spPr>
                        <a:xfrm flipV="1">
                          <a:off x="0" y="0"/>
                          <a:ext cx="2159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1AD65"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2pt,7.5pt" to="4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" strokecolor="black [3200]" strokeweight=".5pt">
                <v:stroke joinstyle="miter"/>
              </v:line>
            </w:pict>
          </mc:Fallback>
        </mc:AlternateContent>
      </w:r>
      <w:r>
        <w:rPr>
          <w:rFonts w:ascii="Arial" w:hAnsi="Arial" w:cs="Arial"/>
          <w:noProof/>
          <w:lang w:eastAsia="es-MX"/>
        </w:rPr>
        <mc:AlternateContent>
          <mc:Choice Requires="wps">
            <w:drawing>
              <wp:anchor distT="0" distB="0" distL="114300" distR="114300" simplePos="0" relativeHeight="251659264" behindDoc="0" locked="0" layoutInCell="1" allowOverlap="1" wp14:anchorId="2A2CB92E" wp14:editId="46B3BE25">
                <wp:simplePos x="0" y="0"/>
                <wp:positionH relativeFrom="column">
                  <wp:posOffset>52705</wp:posOffset>
                </wp:positionH>
                <wp:positionV relativeFrom="paragraph">
                  <wp:posOffset>89739</wp:posOffset>
                </wp:positionV>
                <wp:extent cx="2159635" cy="0"/>
                <wp:effectExtent l="0" t="0" r="31115" b="19050"/>
                <wp:wrapNone/>
                <wp:docPr id="1" name="Conector recto 1"/>
                <wp:cNvGraphicFramePr/>
                <a:graphic xmlns:a="http://schemas.openxmlformats.org/drawingml/2006/main">
                  <a:graphicData uri="http://schemas.microsoft.com/office/word/2010/wordprocessingShape">
                    <wps:wsp>
                      <wps:cNvCnPr/>
                      <wps:spPr>
                        <a:xfrm flipV="1">
                          <a:off x="0" y="0"/>
                          <a:ext cx="2159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4588C"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7.05pt" to="174.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" strokecolor="black [3200]" strokeweight=".5pt">
                <v:stroke joinstyle="miter"/>
              </v:line>
            </w:pict>
          </mc:Fallback>
        </mc:AlternateContent>
      </w:r>
    </w:p>
    <w:p w14:paraId="2AA1014E" w14:textId="432C1BE0" w:rsidR="00421D48" w:rsidRDefault="00421D48" w:rsidP="005C31A0">
      <w:pPr>
        <w:spacing w:line="276" w:lineRule="auto"/>
        <w:ind w:left="-426" w:right="-518"/>
        <w:jc w:val="both"/>
        <w:rPr>
          <w:rFonts w:ascii="Arial" w:hAnsi="Arial" w:cs="Arial"/>
          <w:sz w:val="20"/>
        </w:rPr>
      </w:pPr>
    </w:p>
    <w:p w14:paraId="7DBBC647" w14:textId="70F4F02C" w:rsidR="00421D48" w:rsidRDefault="00421D48" w:rsidP="005C31A0">
      <w:pPr>
        <w:spacing w:line="276" w:lineRule="auto"/>
        <w:ind w:left="-426" w:right="-518"/>
        <w:jc w:val="both"/>
        <w:rPr>
          <w:rFonts w:ascii="Arial" w:hAnsi="Arial" w:cs="Arial"/>
          <w:sz w:val="20"/>
        </w:rPr>
      </w:pPr>
    </w:p>
    <w:p w14:paraId="27B293CC" w14:textId="51464DD0" w:rsidR="00421D48" w:rsidRPr="0020145D" w:rsidRDefault="00421D48" w:rsidP="005C31A0">
      <w:pPr>
        <w:spacing w:line="276" w:lineRule="auto"/>
        <w:ind w:left="-426" w:right="-518"/>
        <w:jc w:val="both"/>
        <w:rPr>
          <w:rFonts w:ascii="Arial" w:hAnsi="Arial" w:cs="Arial"/>
          <w:sz w:val="20"/>
        </w:rPr>
      </w:pPr>
    </w:p>
    <w:p w14:paraId="08DCB249" w14:textId="3C2F5785" w:rsidR="004D3537" w:rsidRDefault="004D3537" w:rsidP="0020145D">
      <w:pPr>
        <w:spacing w:line="276" w:lineRule="auto"/>
        <w:ind w:right="-518"/>
        <w:jc w:val="both"/>
        <w:rPr>
          <w:rFonts w:ascii="Arial" w:hAnsi="Arial" w:cs="Arial"/>
        </w:rPr>
      </w:pPr>
    </w:p>
    <w:p w14:paraId="15B03E57" w14:textId="11035BBE" w:rsidR="005C31A0" w:rsidRDefault="005C31A0" w:rsidP="00DC7237">
      <w:pPr>
        <w:spacing w:line="360" w:lineRule="auto"/>
        <w:ind w:left="-426" w:right="-518"/>
        <w:jc w:val="both"/>
        <w:rPr>
          <w:rFonts w:ascii="Arial" w:hAnsi="Arial" w:cs="Arial"/>
        </w:rPr>
      </w:pPr>
    </w:p>
    <w:p w14:paraId="25543C57" w14:textId="77777777" w:rsidR="005C31A0" w:rsidRDefault="005C31A0" w:rsidP="005C31A0">
      <w:pPr>
        <w:spacing w:line="360" w:lineRule="auto"/>
        <w:ind w:right="-518"/>
        <w:jc w:val="both"/>
        <w:rPr>
          <w:rFonts w:ascii="Arial" w:hAnsi="Arial" w:cs="Arial"/>
        </w:rPr>
        <w:sectPr w:rsidR="005C31A0">
          <w:headerReference w:type="default" r:id="rId6"/>
          <w:footerReference w:type="default" r:id="rId7"/>
          <w:pgSz w:w="12240" w:h="15840"/>
          <w:pgMar w:top="1417" w:right="1701" w:bottom="1417" w:left="1701" w:header="708" w:footer="708" w:gutter="0"/>
          <w:cols w:space="708"/>
          <w:docGrid w:linePitch="360"/>
        </w:sectPr>
      </w:pPr>
    </w:p>
    <w:p w14:paraId="0B6D7F35" w14:textId="08E2DD92" w:rsidR="005C31A0" w:rsidRDefault="005C31A0" w:rsidP="000A10E5">
      <w:pPr>
        <w:spacing w:line="360" w:lineRule="auto"/>
        <w:ind w:left="-426" w:right="-518"/>
        <w:jc w:val="center"/>
        <w:rPr>
          <w:rFonts w:ascii="Arial" w:hAnsi="Arial" w:cs="Arial"/>
        </w:rPr>
        <w:sectPr w:rsidR="005C31A0" w:rsidSect="005C31A0">
          <w:type w:val="continuous"/>
          <w:pgSz w:w="12240" w:h="15840"/>
          <w:pgMar w:top="1417" w:right="1701" w:bottom="1417" w:left="1701" w:header="708" w:footer="708" w:gutter="0"/>
          <w:cols w:num="2" w:space="708"/>
          <w:docGrid w:linePitch="360"/>
        </w:sectPr>
      </w:pPr>
      <w:r>
        <w:rPr>
          <w:rFonts w:ascii="Arial" w:hAnsi="Arial" w:cs="Arial"/>
        </w:rPr>
        <w:t xml:space="preserve">   </w:t>
      </w:r>
      <w:r w:rsidR="00DC7237">
        <w:rPr>
          <w:rFonts w:ascii="Arial" w:hAnsi="Arial" w:cs="Arial"/>
        </w:rPr>
        <w:t xml:space="preserve">                                 </w:t>
      </w:r>
    </w:p>
    <w:p w14:paraId="5CD92EE2" w14:textId="77777777" w:rsidR="000A10E5" w:rsidRDefault="000A10E5" w:rsidP="000A10E5">
      <w:pPr>
        <w:spacing w:line="360" w:lineRule="auto"/>
        <w:ind w:right="-142"/>
        <w:jc w:val="both"/>
        <w:rPr>
          <w:rFonts w:ascii="Arial" w:hAnsi="Arial" w:cs="Arial"/>
        </w:rPr>
      </w:pPr>
    </w:p>
    <w:p w14:paraId="50F5F78F" w14:textId="77777777" w:rsidR="000A10E5" w:rsidRDefault="000A10E5" w:rsidP="000A10E5">
      <w:pPr>
        <w:spacing w:line="360" w:lineRule="auto"/>
        <w:ind w:right="-142"/>
        <w:jc w:val="both"/>
        <w:rPr>
          <w:rFonts w:ascii="Arial" w:hAnsi="Arial" w:cs="Arial"/>
        </w:rPr>
      </w:pPr>
    </w:p>
    <w:p w14:paraId="0727136D" w14:textId="77777777" w:rsidR="000A10E5" w:rsidRDefault="000A10E5" w:rsidP="000A10E5">
      <w:pPr>
        <w:spacing w:line="360" w:lineRule="auto"/>
        <w:ind w:right="-142"/>
        <w:jc w:val="both"/>
        <w:rPr>
          <w:rFonts w:ascii="Arial" w:hAnsi="Arial" w:cs="Arial"/>
        </w:rPr>
      </w:pPr>
    </w:p>
    <w:p w14:paraId="0120F459" w14:textId="77777777" w:rsidR="000A10E5" w:rsidRDefault="000A10E5" w:rsidP="000A10E5">
      <w:pPr>
        <w:spacing w:line="360" w:lineRule="auto"/>
        <w:ind w:right="-142"/>
        <w:jc w:val="both"/>
        <w:rPr>
          <w:rFonts w:ascii="Arial" w:hAnsi="Arial" w:cs="Arial"/>
        </w:rPr>
      </w:pPr>
    </w:p>
    <w:p w14:paraId="684AB333" w14:textId="77777777" w:rsidR="000A10E5" w:rsidRDefault="000A10E5" w:rsidP="000A10E5">
      <w:pPr>
        <w:spacing w:line="360" w:lineRule="auto"/>
        <w:ind w:right="-142"/>
        <w:jc w:val="both"/>
        <w:rPr>
          <w:rFonts w:ascii="Arial" w:hAnsi="Arial" w:cs="Arial"/>
        </w:rPr>
      </w:pPr>
    </w:p>
    <w:p w14:paraId="14C9A690" w14:textId="77777777" w:rsidR="000A10E5" w:rsidRDefault="000A10E5" w:rsidP="000A10E5">
      <w:pPr>
        <w:spacing w:line="360" w:lineRule="auto"/>
        <w:ind w:right="-142"/>
        <w:jc w:val="both"/>
        <w:rPr>
          <w:rFonts w:ascii="Arial" w:hAnsi="Arial" w:cs="Arial"/>
        </w:rPr>
      </w:pPr>
    </w:p>
    <w:p w14:paraId="12E86926" w14:textId="77777777" w:rsidR="000A10E5" w:rsidRDefault="000A10E5" w:rsidP="0020145D">
      <w:pPr>
        <w:spacing w:line="360" w:lineRule="auto"/>
        <w:ind w:left="-426" w:right="-142"/>
        <w:jc w:val="both"/>
        <w:rPr>
          <w:rFonts w:ascii="Arial" w:hAnsi="Arial" w:cs="Arial"/>
        </w:rPr>
      </w:pPr>
    </w:p>
    <w:p w14:paraId="30C275B6" w14:textId="77777777" w:rsidR="000A10E5" w:rsidRDefault="000A10E5" w:rsidP="000A10E5">
      <w:pPr>
        <w:autoSpaceDE w:val="0"/>
        <w:autoSpaceDN w:val="0"/>
        <w:adjustRightInd w:val="0"/>
        <w:ind w:left="-567" w:right="-141"/>
        <w:contextualSpacing/>
        <w:jc w:val="both"/>
        <w:rPr>
          <w:rFonts w:ascii="Arial" w:hAnsi="Arial" w:cs="Arial"/>
          <w:sz w:val="18"/>
          <w:szCs w:val="18"/>
        </w:rPr>
      </w:pPr>
      <w:r w:rsidRPr="00EC3D33">
        <w:rPr>
          <w:rFonts w:ascii="Arial" w:hAnsi="Arial" w:cs="Arial"/>
          <w:sz w:val="18"/>
          <w:szCs w:val="18"/>
        </w:rPr>
        <w:t>Esta Dirección ha integrado un expediente unitario con motivo de la obra contratada, el cual puede ser consultado en días y horas hábiles (lunes a viernes de 8:00 am a 3:30 pm) en la Dirección de Administración y Control Financiero de Obra, unidad adscrita a la Dirección General de Obra Pública, ubicada en Blvd. Torres Landa Ote. 1701-b, Predio el Tlacuache.</w:t>
      </w:r>
    </w:p>
    <w:p w14:paraId="02B5C0C4" w14:textId="255113DE" w:rsidR="00DC7237" w:rsidRPr="00DC7237" w:rsidRDefault="00403F88" w:rsidP="000A10E5">
      <w:pPr>
        <w:spacing w:line="360" w:lineRule="auto"/>
        <w:ind w:left="708" w:right="-142" w:hanging="708"/>
        <w:jc w:val="both"/>
        <w:rPr>
          <w:rFonts w:ascii="Arial" w:hAnsi="Arial" w:cs="Arial"/>
        </w:rPr>
      </w:pPr>
      <w:r w:rsidRPr="005C31A0">
        <w:rPr>
          <w:rFonts w:ascii="Arial" w:hAnsi="Arial" w:cs="Arial"/>
          <w:noProof/>
          <w:lang w:eastAsia="es-MX"/>
        </w:rPr>
        <mc:AlternateContent>
          <mc:Choice Requires="wps">
            <w:drawing>
              <wp:anchor distT="45720" distB="45720" distL="114300" distR="114300" simplePos="0" relativeHeight="251669504" behindDoc="0" locked="0" layoutInCell="1" allowOverlap="1" wp14:anchorId="3273E3B2" wp14:editId="49882611">
                <wp:simplePos x="0" y="0"/>
                <wp:positionH relativeFrom="margin">
                  <wp:align>center</wp:align>
                </wp:positionH>
                <wp:positionV relativeFrom="margin">
                  <wp:posOffset>6415813</wp:posOffset>
                </wp:positionV>
                <wp:extent cx="2819400" cy="386080"/>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86080"/>
                        </a:xfrm>
                        <a:prstGeom prst="rect">
                          <a:avLst/>
                        </a:prstGeom>
                        <a:solidFill>
                          <a:srgbClr val="FFFFFF"/>
                        </a:solidFill>
                        <a:ln w="9525">
                          <a:noFill/>
                          <a:miter lim="800000"/>
                          <a:headEnd/>
                          <a:tailEnd/>
                        </a:ln>
                      </wps:spPr>
                      <wps:txbx>
                        <w:txbxContent>
                          <w:p w14:paraId="003E5D30" w14:textId="319987B1" w:rsidR="00403F88" w:rsidRPr="0020145D" w:rsidRDefault="00403F88" w:rsidP="00403F88">
                            <w:pPr>
                              <w:spacing w:after="0"/>
                              <w:jc w:val="center"/>
                              <w:rPr>
                                <w:rFonts w:ascii="Arial" w:hAnsi="Arial" w:cs="Arial"/>
                                <w:b/>
                                <w:sz w:val="20"/>
                              </w:rPr>
                            </w:pPr>
                            <w:r>
                              <w:rPr>
                                <w:rFonts w:ascii="Arial" w:hAnsi="Arial" w:cs="Arial"/>
                                <w:b/>
                                <w:sz w:val="20"/>
                              </w:rPr>
                              <w:t>COORDINADORA DE ESTIMACIONES</w:t>
                            </w:r>
                          </w:p>
                          <w:p w14:paraId="7389B21B" w14:textId="77777777" w:rsidR="00403F88" w:rsidRPr="0020145D" w:rsidRDefault="00403F88" w:rsidP="00403F88">
                            <w:pPr>
                              <w:spacing w:after="0"/>
                              <w:jc w:val="center"/>
                              <w:rPr>
                                <w:sz w:val="20"/>
                              </w:rPr>
                            </w:pPr>
                            <w:r>
                              <w:rPr>
                                <w:sz w:val="20"/>
                              </w:rPr>
                              <w:t xml:space="preserve"> De la </w:t>
                            </w:r>
                            <w:r w:rsidRPr="0020145D">
                              <w:rPr>
                                <w:sz w:val="20"/>
                              </w:rPr>
                              <w:t xml:space="preserve">Dirección de Administración y Control Financiero de Obra </w:t>
                            </w:r>
                            <w:r>
                              <w:rPr>
                                <w:sz w:val="20"/>
                              </w:rPr>
                              <w:t>adscrita a la Dirección General de Obra Pública.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73E3B2" id="_x0000_s1028" type="#_x0000_t202" style="position:absolute;left:0;text-align:left;margin-left:0;margin-top:505.2pt;width:222pt;height:30.4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" stroked="f">
                <v:textbox style="mso-fit-shape-to-text:t">
                  <w:txbxContent>
                    <w:p w14:paraId="003E5D30" w14:textId="319987B1" w:rsidR="00403F88" w:rsidRPr="0020145D" w:rsidRDefault="00403F88" w:rsidP="00403F88">
                      <w:pPr>
                        <w:spacing w:after="0"/>
                        <w:jc w:val="center"/>
                        <w:rPr>
                          <w:rFonts w:ascii="Arial" w:hAnsi="Arial" w:cs="Arial"/>
                          <w:b/>
                          <w:sz w:val="20"/>
                        </w:rPr>
                      </w:pPr>
                      <w:r>
                        <w:rPr>
                          <w:rFonts w:ascii="Arial" w:hAnsi="Arial" w:cs="Arial"/>
                          <w:b/>
                          <w:sz w:val="20"/>
                        </w:rPr>
                        <w:t>COORDINADORA DE ESTIMACIONES</w:t>
                      </w:r>
                    </w:p>
                    <w:p w14:paraId="7389B21B" w14:textId="77777777" w:rsidR="00403F88" w:rsidRPr="0020145D" w:rsidRDefault="00403F88" w:rsidP="00403F88">
                      <w:pPr>
                        <w:spacing w:after="0"/>
                        <w:jc w:val="center"/>
                        <w:rPr>
                          <w:sz w:val="20"/>
                        </w:rPr>
                      </w:pPr>
                      <w:r>
                        <w:rPr>
                          <w:sz w:val="20"/>
                        </w:rPr>
                        <w:t xml:space="preserve"> De la </w:t>
                      </w:r>
                      <w:r w:rsidRPr="0020145D">
                        <w:rPr>
                          <w:sz w:val="20"/>
                        </w:rPr>
                        <w:t xml:space="preserve">Dirección de Administración y Control Financiero de Obra </w:t>
                      </w:r>
                      <w:r>
                        <w:rPr>
                          <w:sz w:val="20"/>
                        </w:rPr>
                        <w:t>adscrita a la Dirección General de Obra Pública.</w:t>
                      </w:r>
                    </w:p>
                  </w:txbxContent>
                </v:textbox>
                <w10:wrap type="square" anchorx="margin" anchory="margin"/>
              </v:shape>
            </w:pict>
          </mc:Fallback>
        </mc:AlternateContent>
      </w:r>
      <w:r>
        <w:rPr>
          <w:rFonts w:ascii="Arial" w:hAnsi="Arial" w:cs="Arial"/>
          <w:noProof/>
          <w:lang w:eastAsia="es-MX"/>
        </w:rPr>
        <mc:AlternateContent>
          <mc:Choice Requires="wps">
            <w:drawing>
              <wp:anchor distT="0" distB="0" distL="114300" distR="114300" simplePos="0" relativeHeight="251667456" behindDoc="0" locked="0" layoutInCell="1" allowOverlap="1" wp14:anchorId="25190F20" wp14:editId="13E65200">
                <wp:simplePos x="0" y="0"/>
                <wp:positionH relativeFrom="margin">
                  <wp:posOffset>1710690</wp:posOffset>
                </wp:positionH>
                <wp:positionV relativeFrom="margin">
                  <wp:posOffset>6277981</wp:posOffset>
                </wp:positionV>
                <wp:extent cx="2159635" cy="0"/>
                <wp:effectExtent l="0" t="0" r="31115" b="19050"/>
                <wp:wrapSquare wrapText="bothSides"/>
                <wp:docPr id="2" name="Conector recto 2"/>
                <wp:cNvGraphicFramePr/>
                <a:graphic xmlns:a="http://schemas.openxmlformats.org/drawingml/2006/main">
                  <a:graphicData uri="http://schemas.microsoft.com/office/word/2010/wordprocessingShape">
                    <wps:wsp>
                      <wps:cNvCnPr/>
                      <wps:spPr>
                        <a:xfrm flipV="1">
                          <a:off x="0" y="0"/>
                          <a:ext cx="2159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7BA72" id="Conector recto 2"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4.7pt,494.35pt" to="304.75pt,4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" strokecolor="black [3200]" strokeweight=".5pt">
                <v:stroke joinstyle="miter"/>
                <w10:wrap type="square" anchorx="margin" anchory="margin"/>
              </v:line>
            </w:pict>
          </mc:Fallback>
        </mc:AlternateContent>
      </w:r>
    </w:p>
    <w:sectPr w:rsidR="00DC7237" w:rsidRPr="00DC7237" w:rsidSect="0020145D">
      <w:type w:val="continuous"/>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98375" w14:textId="77777777" w:rsidR="00735DB0" w:rsidRDefault="00735DB0" w:rsidP="00AA5140">
      <w:pPr>
        <w:spacing w:after="0" w:line="240" w:lineRule="auto"/>
      </w:pPr>
      <w:r>
        <w:separator/>
      </w:r>
    </w:p>
  </w:endnote>
  <w:endnote w:type="continuationSeparator" w:id="0">
    <w:p w14:paraId="2057AF7D" w14:textId="77777777" w:rsidR="00735DB0" w:rsidRDefault="00735DB0" w:rsidP="00AA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935425"/>
      <w:docPartObj>
        <w:docPartGallery w:val="Page Numbers (Bottom of Page)"/>
        <w:docPartUnique/>
      </w:docPartObj>
    </w:sdtPr>
    <w:sdtEndPr/>
    <w:sdtContent>
      <w:sdt>
        <w:sdtPr>
          <w:id w:val="-1769616900"/>
          <w:docPartObj>
            <w:docPartGallery w:val="Page Numbers (Top of Page)"/>
            <w:docPartUnique/>
          </w:docPartObj>
        </w:sdtPr>
        <w:sdtEndPr/>
        <w:sdtContent>
          <w:p w14:paraId="293D1004" w14:textId="63918645" w:rsidR="00FB338D" w:rsidRDefault="00FB338D">
            <w:pPr>
              <w:pStyle w:val="Piedepgina"/>
              <w:jc w:val="right"/>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3399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33995">
              <w:rPr>
                <w:b/>
                <w:bCs/>
                <w:noProof/>
              </w:rPr>
              <w:t>3</w:t>
            </w:r>
            <w:r>
              <w:rPr>
                <w:b/>
                <w:bCs/>
                <w:sz w:val="24"/>
                <w:szCs w:val="24"/>
              </w:rPr>
              <w:fldChar w:fldCharType="end"/>
            </w:r>
          </w:p>
          <w:p w14:paraId="76C55BAD" w14:textId="0B0F444A" w:rsidR="00FB338D" w:rsidRDefault="00FB338D">
            <w:pPr>
              <w:pStyle w:val="Piedepgina"/>
              <w:jc w:val="right"/>
            </w:pPr>
            <w:r w:rsidRPr="00FB338D">
              <w:rPr>
                <w:bCs/>
                <w:sz w:val="24"/>
                <w:szCs w:val="24"/>
              </w:rPr>
              <w:t>FO-DGOP/DACF-14</w:t>
            </w:r>
          </w:p>
        </w:sdtContent>
      </w:sdt>
    </w:sdtContent>
  </w:sdt>
  <w:p w14:paraId="05DBF12A" w14:textId="7EA76472" w:rsidR="00FB338D" w:rsidRPr="00FB338D" w:rsidRDefault="00FB338D" w:rsidP="00FB338D">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83A86" w14:textId="77777777" w:rsidR="00735DB0" w:rsidRDefault="00735DB0" w:rsidP="00AA5140">
      <w:pPr>
        <w:spacing w:after="0" w:line="240" w:lineRule="auto"/>
      </w:pPr>
      <w:r>
        <w:separator/>
      </w:r>
    </w:p>
  </w:footnote>
  <w:footnote w:type="continuationSeparator" w:id="0">
    <w:p w14:paraId="34C9EEB7" w14:textId="77777777" w:rsidR="00735DB0" w:rsidRDefault="00735DB0" w:rsidP="00AA5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9AB26" w14:textId="77777777" w:rsidR="00AA5140" w:rsidRPr="00A72BA6" w:rsidRDefault="00AA5140" w:rsidP="00F16C83">
    <w:pPr>
      <w:pStyle w:val="Encabezado"/>
      <w:spacing w:line="360" w:lineRule="auto"/>
      <w:jc w:val="center"/>
      <w:rPr>
        <w:rFonts w:ascii="Arial" w:hAnsi="Arial" w:cs="Arial"/>
        <w:b/>
      </w:rPr>
    </w:pPr>
    <w:r w:rsidRPr="00A72BA6">
      <w:rPr>
        <w:rFonts w:ascii="Arial" w:hAnsi="Arial" w:cs="Arial"/>
        <w:noProof/>
        <w:lang w:eastAsia="es-MX"/>
      </w:rPr>
      <w:drawing>
        <wp:anchor distT="0" distB="0" distL="114300" distR="114300" simplePos="0" relativeHeight="251658240" behindDoc="0" locked="0" layoutInCell="1" allowOverlap="1" wp14:anchorId="476243F5" wp14:editId="1FD5E9F1">
          <wp:simplePos x="0" y="0"/>
          <wp:positionH relativeFrom="margin">
            <wp:posOffset>-184785</wp:posOffset>
          </wp:positionH>
          <wp:positionV relativeFrom="margin">
            <wp:posOffset>-594995</wp:posOffset>
          </wp:positionV>
          <wp:extent cx="419100" cy="561975"/>
          <wp:effectExtent l="0" t="0" r="0" b="9525"/>
          <wp:wrapSquare wrapText="bothSides"/>
          <wp:docPr id="20"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561975"/>
                  </a:xfrm>
                  <a:prstGeom prst="rect">
                    <a:avLst/>
                  </a:prstGeom>
                </pic:spPr>
              </pic:pic>
            </a:graphicData>
          </a:graphic>
          <wp14:sizeRelH relativeFrom="margin">
            <wp14:pctWidth>0</wp14:pctWidth>
          </wp14:sizeRelH>
          <wp14:sizeRelV relativeFrom="margin">
            <wp14:pctHeight>0</wp14:pctHeight>
          </wp14:sizeRelV>
        </wp:anchor>
      </w:drawing>
    </w:r>
    <w:r w:rsidRPr="00A72BA6">
      <w:rPr>
        <w:rFonts w:ascii="Arial" w:hAnsi="Arial" w:cs="Arial"/>
        <w:b/>
        <w:sz w:val="24"/>
      </w:rPr>
      <w:t>Dirección General de Obra Pública</w:t>
    </w:r>
  </w:p>
  <w:p w14:paraId="4CF7B4E9" w14:textId="6C6AA165" w:rsidR="00A47FD7" w:rsidRPr="00A72BA6" w:rsidRDefault="001B309E" w:rsidP="00A47FD7">
    <w:pPr>
      <w:pStyle w:val="Encabezado"/>
      <w:jc w:val="center"/>
      <w:rPr>
        <w:rFonts w:ascii="Arial" w:hAnsi="Arial" w:cs="Arial"/>
        <w:b/>
      </w:rPr>
    </w:pPr>
    <w:r>
      <w:rPr>
        <w:rFonts w:ascii="Arial" w:hAnsi="Arial" w:cs="Arial"/>
        <w:b/>
      </w:rPr>
      <w:t>Solicitud de documentación faltante</w:t>
    </w:r>
    <w:r w:rsidR="00AA5140" w:rsidRPr="00A72BA6">
      <w:rPr>
        <w:rFonts w:ascii="Arial" w:hAnsi="Arial" w:cs="Arial"/>
        <w:b/>
      </w:rPr>
      <w:t xml:space="preserve"> </w:t>
    </w:r>
    <w:r w:rsidR="00A47FD7">
      <w:rPr>
        <w:rFonts w:ascii="Arial" w:hAnsi="Arial" w:cs="Arial"/>
        <w:b/>
      </w:rPr>
      <w:t>para Finiquito</w:t>
    </w:r>
  </w:p>
  <w:p w14:paraId="55E41BE5" w14:textId="23B594E1" w:rsidR="00AA5140" w:rsidRPr="00FB338D" w:rsidRDefault="00AA5140" w:rsidP="003E2CD9">
    <w:pPr>
      <w:pStyle w:val="Encabezado"/>
      <w:jc w:val="center"/>
      <w:rPr>
        <w:rFonts w:ascii="Arial" w:hAnsi="Arial" w:cs="Arial"/>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40"/>
    <w:rsid w:val="000305CF"/>
    <w:rsid w:val="00032339"/>
    <w:rsid w:val="00087263"/>
    <w:rsid w:val="00092AF4"/>
    <w:rsid w:val="000A10E5"/>
    <w:rsid w:val="000C74F8"/>
    <w:rsid w:val="000D474C"/>
    <w:rsid w:val="000E5BDA"/>
    <w:rsid w:val="001A3A72"/>
    <w:rsid w:val="001B309E"/>
    <w:rsid w:val="001E45C6"/>
    <w:rsid w:val="001E6047"/>
    <w:rsid w:val="0020145D"/>
    <w:rsid w:val="002543F5"/>
    <w:rsid w:val="00336EE9"/>
    <w:rsid w:val="00342574"/>
    <w:rsid w:val="00354527"/>
    <w:rsid w:val="003C134C"/>
    <w:rsid w:val="003E2CD9"/>
    <w:rsid w:val="00403F88"/>
    <w:rsid w:val="00421D48"/>
    <w:rsid w:val="00446E1F"/>
    <w:rsid w:val="004755A2"/>
    <w:rsid w:val="004D3537"/>
    <w:rsid w:val="005C31A0"/>
    <w:rsid w:val="007339CA"/>
    <w:rsid w:val="00735DB0"/>
    <w:rsid w:val="00743034"/>
    <w:rsid w:val="00791986"/>
    <w:rsid w:val="008352AB"/>
    <w:rsid w:val="0088676D"/>
    <w:rsid w:val="00904D33"/>
    <w:rsid w:val="00955929"/>
    <w:rsid w:val="00967477"/>
    <w:rsid w:val="009E01AA"/>
    <w:rsid w:val="00A1631A"/>
    <w:rsid w:val="00A47FD7"/>
    <w:rsid w:val="00A72BA6"/>
    <w:rsid w:val="00A77CB4"/>
    <w:rsid w:val="00AA5140"/>
    <w:rsid w:val="00AC38D2"/>
    <w:rsid w:val="00AE2E3A"/>
    <w:rsid w:val="00C71D3A"/>
    <w:rsid w:val="00C80FEA"/>
    <w:rsid w:val="00CE40F3"/>
    <w:rsid w:val="00D763B9"/>
    <w:rsid w:val="00D86375"/>
    <w:rsid w:val="00DC7237"/>
    <w:rsid w:val="00E62F31"/>
    <w:rsid w:val="00EA6279"/>
    <w:rsid w:val="00EE7EBC"/>
    <w:rsid w:val="00EF1B46"/>
    <w:rsid w:val="00F16C83"/>
    <w:rsid w:val="00F33995"/>
    <w:rsid w:val="00FB338D"/>
    <w:rsid w:val="00FD1535"/>
    <w:rsid w:val="00FE4C42"/>
    <w:rsid w:val="00FF01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42B9E"/>
  <w15:chartTrackingRefBased/>
  <w15:docId w15:val="{6A42E9A5-6102-4E3E-8C63-E4C6098C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5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5140"/>
  </w:style>
  <w:style w:type="paragraph" w:styleId="Piedepgina">
    <w:name w:val="footer"/>
    <w:basedOn w:val="Normal"/>
    <w:link w:val="PiedepginaCar"/>
    <w:uiPriority w:val="99"/>
    <w:unhideWhenUsed/>
    <w:rsid w:val="00AA5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5140"/>
  </w:style>
  <w:style w:type="paragraph" w:styleId="Textodeglobo">
    <w:name w:val="Balloon Text"/>
    <w:basedOn w:val="Normal"/>
    <w:link w:val="TextodegloboCar"/>
    <w:uiPriority w:val="99"/>
    <w:semiHidden/>
    <w:unhideWhenUsed/>
    <w:rsid w:val="00A163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631A"/>
    <w:rPr>
      <w:rFonts w:ascii="Segoe UI" w:hAnsi="Segoe UI" w:cs="Segoe UI"/>
      <w:sz w:val="18"/>
      <w:szCs w:val="18"/>
    </w:rPr>
  </w:style>
  <w:style w:type="character" w:styleId="Refdecomentario">
    <w:name w:val="annotation reference"/>
    <w:basedOn w:val="Fuentedeprrafopredeter"/>
    <w:uiPriority w:val="99"/>
    <w:semiHidden/>
    <w:unhideWhenUsed/>
    <w:rsid w:val="00336EE9"/>
    <w:rPr>
      <w:sz w:val="16"/>
      <w:szCs w:val="16"/>
    </w:rPr>
  </w:style>
  <w:style w:type="paragraph" w:styleId="Textocomentario">
    <w:name w:val="annotation text"/>
    <w:basedOn w:val="Normal"/>
    <w:link w:val="TextocomentarioCar"/>
    <w:uiPriority w:val="99"/>
    <w:semiHidden/>
    <w:unhideWhenUsed/>
    <w:rsid w:val="00336E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6EE9"/>
    <w:rPr>
      <w:sz w:val="20"/>
      <w:szCs w:val="20"/>
    </w:rPr>
  </w:style>
  <w:style w:type="paragraph" w:styleId="Asuntodelcomentario">
    <w:name w:val="annotation subject"/>
    <w:basedOn w:val="Textocomentario"/>
    <w:next w:val="Textocomentario"/>
    <w:link w:val="AsuntodelcomentarioCar"/>
    <w:uiPriority w:val="99"/>
    <w:semiHidden/>
    <w:unhideWhenUsed/>
    <w:rsid w:val="00336EE9"/>
    <w:rPr>
      <w:b/>
      <w:bCs/>
    </w:rPr>
  </w:style>
  <w:style w:type="character" w:customStyle="1" w:styleId="AsuntodelcomentarioCar">
    <w:name w:val="Asunto del comentario Car"/>
    <w:basedOn w:val="TextocomentarioCar"/>
    <w:link w:val="Asuntodelcomentario"/>
    <w:uiPriority w:val="99"/>
    <w:semiHidden/>
    <w:rsid w:val="00336EE9"/>
    <w:rPr>
      <w:b/>
      <w:bCs/>
      <w:sz w:val="20"/>
      <w:szCs w:val="20"/>
    </w:rPr>
  </w:style>
  <w:style w:type="table" w:customStyle="1" w:styleId="TableNormal1">
    <w:name w:val="Table Normal1"/>
    <w:rsid w:val="00FB338D"/>
    <w:pPr>
      <w:spacing w:after="0" w:line="240" w:lineRule="auto"/>
    </w:pPr>
    <w:rPr>
      <w:rFonts w:ascii="Times New Roman" w:eastAsia="Times New Roman" w:hAnsi="Times New Roman" w:cs="Times New Roman"/>
      <w:sz w:val="20"/>
      <w:szCs w:val="20"/>
      <w:lang w:eastAsia="es-ES_trad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883934">
      <w:bodyDiv w:val="1"/>
      <w:marLeft w:val="0"/>
      <w:marRight w:val="0"/>
      <w:marTop w:val="0"/>
      <w:marBottom w:val="0"/>
      <w:divBdr>
        <w:top w:val="none" w:sz="0" w:space="0" w:color="auto"/>
        <w:left w:val="none" w:sz="0" w:space="0" w:color="auto"/>
        <w:bottom w:val="none" w:sz="0" w:space="0" w:color="auto"/>
        <w:right w:val="none" w:sz="0" w:space="0" w:color="auto"/>
      </w:divBdr>
    </w:div>
    <w:div w:id="157878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1126</Words>
  <Characters>6199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FO-DGOP/DACF-14 Solicitud de documentación faltante de finiquito</vt:lpstr>
    </vt:vector>
  </TitlesOfParts>
  <Manager>Dirección General de Obra Pública </Manager>
  <Company>Dirección de Administración y Control Financiero de Obra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FO-DGOP/DACF-14 Solicitud de documentación faltante de finiquito</dc:title>
  <dc:subject>Manual de Procesos y Procedimientos</dc:subject>
  <dc:creator>H. Ayuntamiento de León </dc:creator>
  <cp:keywords/>
  <dc:description>Elaboró: AMGT/NDDJ/APHGB/SGLM_x000d_
Revisó: KYBG/EMP_x000d_
Autorizó: EGA/LEBG/CACG_x000d_
12.02.201</dc:description>
  <cp:lastModifiedBy>Andrea Alcacio Gonzalez</cp:lastModifiedBy>
  <cp:revision>6</cp:revision>
  <cp:lastPrinted>2021-01-26T15:02:00Z</cp:lastPrinted>
  <dcterms:created xsi:type="dcterms:W3CDTF">2020-11-20T15:21:00Z</dcterms:created>
  <dcterms:modified xsi:type="dcterms:W3CDTF">2021-03-19T17:44:00Z</dcterms:modified>
  <cp:category>formato </cp:category>
</cp:coreProperties>
</file>