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BB876F" w14:textId="77777777" w:rsidR="00D17B9E" w:rsidRPr="00794EB9" w:rsidRDefault="00D17B9E" w:rsidP="00535989">
      <w:pPr>
        <w:spacing w:line="276" w:lineRule="auto"/>
        <w:jc w:val="both"/>
        <w:rPr>
          <w:rFonts w:ascii="Arial" w:hAnsi="Arial" w:cs="Arial"/>
          <w:b/>
          <w:bCs/>
          <w:sz w:val="22"/>
          <w:szCs w:val="22"/>
        </w:rPr>
      </w:pPr>
    </w:p>
    <w:p w14:paraId="4D47A103" w14:textId="77777777" w:rsidR="00D17B9E" w:rsidRPr="00794EB9" w:rsidRDefault="00D17B9E" w:rsidP="00535989">
      <w:pPr>
        <w:spacing w:line="276" w:lineRule="auto"/>
        <w:ind w:left="-284"/>
        <w:jc w:val="both"/>
        <w:rPr>
          <w:rFonts w:ascii="Arial" w:hAnsi="Arial" w:cs="Arial"/>
          <w:b/>
          <w:bCs/>
          <w:sz w:val="22"/>
          <w:szCs w:val="22"/>
        </w:rPr>
      </w:pPr>
    </w:p>
    <w:p w14:paraId="4FF8DB50" w14:textId="707A8B84" w:rsidR="00F844E0" w:rsidRPr="00794EB9" w:rsidRDefault="00222A91" w:rsidP="00535989">
      <w:pPr>
        <w:spacing w:line="276" w:lineRule="auto"/>
        <w:ind w:left="-284"/>
        <w:jc w:val="both"/>
        <w:rPr>
          <w:rFonts w:ascii="Arial" w:hAnsi="Arial" w:cs="Arial"/>
          <w:sz w:val="22"/>
          <w:szCs w:val="22"/>
        </w:rPr>
      </w:pPr>
      <w:r w:rsidRPr="00794EB9">
        <w:rPr>
          <w:rFonts w:ascii="Arial" w:hAnsi="Arial" w:cs="Arial"/>
          <w:b/>
          <w:bCs/>
          <w:sz w:val="22"/>
          <w:szCs w:val="22"/>
        </w:rPr>
        <w:t xml:space="preserve">EL HONORABLE AYUNTAMIENTO CONSTITUCIONAL DEL MUNICIPIO DE LEÓN, ESTADO DE GUANAJUATO, CON FUNDAMENTO EN </w:t>
      </w:r>
      <w:r w:rsidRPr="00794EB9">
        <w:rPr>
          <w:rFonts w:ascii="Arial" w:hAnsi="Arial" w:cs="Arial"/>
          <w:b/>
          <w:sz w:val="22"/>
          <w:szCs w:val="22"/>
        </w:rPr>
        <w:t xml:space="preserve">LOS ARTÍCULOS </w:t>
      </w:r>
      <w:r w:rsidR="006C1689" w:rsidRPr="00794EB9">
        <w:rPr>
          <w:rFonts w:ascii="Arial" w:hAnsi="Arial" w:cs="Arial"/>
          <w:b/>
          <w:sz w:val="22"/>
          <w:szCs w:val="22"/>
          <w:lang w:val="es-MX"/>
        </w:rPr>
        <w:t>26 y 115 DE LA CONSTITUCIÓN POLÍTICA DE LOS ESTADOS UNIDOS MEXICANOS; 117 DE LA CONSTITUCIÓN POLÍTICA PARA EL ESTADO DE GUANAJUATO;</w:t>
      </w:r>
      <w:r w:rsidR="006C1689" w:rsidRPr="00794EB9">
        <w:rPr>
          <w:rFonts w:ascii="Arial" w:hAnsi="Arial" w:cs="Arial"/>
          <w:b/>
          <w:sz w:val="22"/>
          <w:szCs w:val="22"/>
        </w:rPr>
        <w:t xml:space="preserve"> 76 FRACCIÓN I, INCISO d), 99 FRACCIÓN </w:t>
      </w:r>
      <w:r w:rsidR="006C1689" w:rsidRPr="00E8197F">
        <w:rPr>
          <w:rFonts w:ascii="Arial" w:hAnsi="Arial" w:cs="Arial"/>
          <w:b/>
          <w:sz w:val="22"/>
          <w:szCs w:val="22"/>
        </w:rPr>
        <w:t>I</w:t>
      </w:r>
      <w:r w:rsidR="00A0274C" w:rsidRPr="00E8197F">
        <w:rPr>
          <w:rFonts w:ascii="Arial" w:hAnsi="Arial" w:cs="Arial"/>
          <w:b/>
          <w:sz w:val="22"/>
          <w:szCs w:val="22"/>
        </w:rPr>
        <w:t>I</w:t>
      </w:r>
      <w:r w:rsidR="006C1689" w:rsidRPr="00E8197F">
        <w:rPr>
          <w:rFonts w:ascii="Arial" w:hAnsi="Arial" w:cs="Arial"/>
          <w:b/>
          <w:sz w:val="22"/>
          <w:szCs w:val="22"/>
        </w:rPr>
        <w:t>,</w:t>
      </w:r>
      <w:r w:rsidR="006C1689" w:rsidRPr="00794EB9">
        <w:rPr>
          <w:rFonts w:ascii="Arial" w:hAnsi="Arial" w:cs="Arial"/>
          <w:b/>
          <w:sz w:val="22"/>
          <w:szCs w:val="22"/>
        </w:rPr>
        <w:t xml:space="preserve"> 102 y 103 DE LA LEY ORGÁNICA MUNICIPAL PARA EL ESTADO DE GUANAJUATO</w:t>
      </w:r>
      <w:r w:rsidR="00F844E0" w:rsidRPr="00794EB9">
        <w:rPr>
          <w:rFonts w:ascii="Arial" w:hAnsi="Arial" w:cs="Arial"/>
          <w:b/>
          <w:bCs/>
          <w:sz w:val="22"/>
          <w:szCs w:val="22"/>
        </w:rPr>
        <w:t>;</w:t>
      </w:r>
      <w:r w:rsidRPr="00794EB9">
        <w:rPr>
          <w:rFonts w:ascii="Arial" w:hAnsi="Arial" w:cs="Arial"/>
          <w:b/>
          <w:bCs/>
          <w:sz w:val="22"/>
          <w:szCs w:val="22"/>
        </w:rPr>
        <w:t xml:space="preserve"> EN SESIÓN ORDINARIA CELEBRADA EL </w:t>
      </w:r>
      <w:r w:rsidR="001D2A17" w:rsidRPr="00794EB9">
        <w:rPr>
          <w:rFonts w:ascii="Arial" w:hAnsi="Arial" w:cs="Arial"/>
          <w:b/>
          <w:bCs/>
          <w:sz w:val="22"/>
          <w:szCs w:val="22"/>
        </w:rPr>
        <w:t xml:space="preserve">16 </w:t>
      </w:r>
      <w:r w:rsidRPr="00794EB9">
        <w:rPr>
          <w:rFonts w:ascii="Arial" w:hAnsi="Arial" w:cs="Arial"/>
          <w:b/>
          <w:bCs/>
          <w:sz w:val="22"/>
          <w:szCs w:val="22"/>
        </w:rPr>
        <w:t xml:space="preserve">DE </w:t>
      </w:r>
      <w:r w:rsidR="001D2A17" w:rsidRPr="00794EB9">
        <w:rPr>
          <w:rFonts w:ascii="Arial" w:hAnsi="Arial" w:cs="Arial"/>
          <w:b/>
          <w:bCs/>
          <w:sz w:val="22"/>
          <w:szCs w:val="22"/>
        </w:rPr>
        <w:t>DICIEMBRE</w:t>
      </w:r>
      <w:r w:rsidRPr="00794EB9">
        <w:rPr>
          <w:rFonts w:ascii="Arial" w:hAnsi="Arial" w:cs="Arial"/>
          <w:b/>
          <w:bCs/>
          <w:sz w:val="22"/>
          <w:szCs w:val="22"/>
        </w:rPr>
        <w:t xml:space="preserve"> DE 20</w:t>
      </w:r>
      <w:r w:rsidR="001D2A17" w:rsidRPr="00794EB9">
        <w:rPr>
          <w:rFonts w:ascii="Arial" w:hAnsi="Arial" w:cs="Arial"/>
          <w:b/>
          <w:bCs/>
          <w:sz w:val="22"/>
          <w:szCs w:val="22"/>
        </w:rPr>
        <w:t>21</w:t>
      </w:r>
      <w:r w:rsidRPr="00794EB9">
        <w:rPr>
          <w:rFonts w:ascii="Arial" w:hAnsi="Arial" w:cs="Arial"/>
          <w:b/>
          <w:bCs/>
          <w:sz w:val="22"/>
          <w:szCs w:val="22"/>
        </w:rPr>
        <w:t xml:space="preserve">, </w:t>
      </w:r>
      <w:r w:rsidR="00F844E0" w:rsidRPr="00794EB9">
        <w:rPr>
          <w:rFonts w:ascii="Arial" w:hAnsi="Arial" w:cs="Arial"/>
          <w:b/>
          <w:sz w:val="22"/>
          <w:szCs w:val="22"/>
        </w:rPr>
        <w:t>APROBÓ EL SIGUIENTE</w:t>
      </w:r>
      <w:r w:rsidRPr="00794EB9">
        <w:rPr>
          <w:rFonts w:ascii="Arial" w:hAnsi="Arial" w:cs="Arial"/>
          <w:b/>
          <w:sz w:val="22"/>
          <w:szCs w:val="22"/>
        </w:rPr>
        <w:t>:</w:t>
      </w:r>
      <w:r w:rsidRPr="00794EB9">
        <w:rPr>
          <w:rFonts w:ascii="Arial" w:hAnsi="Arial" w:cs="Arial"/>
          <w:sz w:val="22"/>
          <w:szCs w:val="22"/>
        </w:rPr>
        <w:t xml:space="preserve"> </w:t>
      </w:r>
    </w:p>
    <w:p w14:paraId="19026322" w14:textId="77777777" w:rsidR="00F844E0" w:rsidRPr="00794EB9" w:rsidRDefault="00F844E0" w:rsidP="00535989">
      <w:pPr>
        <w:spacing w:line="276" w:lineRule="auto"/>
        <w:ind w:left="-284"/>
        <w:jc w:val="both"/>
        <w:rPr>
          <w:rFonts w:ascii="Arial" w:hAnsi="Arial" w:cs="Arial"/>
          <w:sz w:val="22"/>
          <w:szCs w:val="22"/>
        </w:rPr>
      </w:pPr>
    </w:p>
    <w:p w14:paraId="0BA1C561" w14:textId="77777777" w:rsidR="00D17B9E" w:rsidRPr="00794EB9" w:rsidRDefault="00D17B9E" w:rsidP="00535989">
      <w:pPr>
        <w:spacing w:line="276" w:lineRule="auto"/>
        <w:ind w:left="-284"/>
        <w:jc w:val="both"/>
        <w:rPr>
          <w:rFonts w:ascii="Arial" w:hAnsi="Arial" w:cs="Arial"/>
          <w:sz w:val="22"/>
          <w:szCs w:val="22"/>
        </w:rPr>
      </w:pPr>
    </w:p>
    <w:p w14:paraId="581DCC4A" w14:textId="77777777" w:rsidR="00D17B9E" w:rsidRPr="00794EB9" w:rsidRDefault="00D17B9E" w:rsidP="00535989">
      <w:pPr>
        <w:spacing w:line="276" w:lineRule="auto"/>
        <w:ind w:left="-284"/>
        <w:jc w:val="both"/>
        <w:rPr>
          <w:rFonts w:ascii="Arial" w:hAnsi="Arial" w:cs="Arial"/>
          <w:sz w:val="22"/>
          <w:szCs w:val="22"/>
        </w:rPr>
      </w:pPr>
    </w:p>
    <w:p w14:paraId="0A33199D" w14:textId="77777777" w:rsidR="006C1689" w:rsidRPr="00794EB9" w:rsidRDefault="006C1689" w:rsidP="00535989">
      <w:pPr>
        <w:spacing w:line="276" w:lineRule="auto"/>
        <w:ind w:left="-284"/>
        <w:jc w:val="both"/>
        <w:rPr>
          <w:rFonts w:ascii="Arial" w:hAnsi="Arial" w:cs="Arial"/>
          <w:sz w:val="22"/>
          <w:szCs w:val="22"/>
        </w:rPr>
      </w:pPr>
    </w:p>
    <w:p w14:paraId="656A50A2" w14:textId="77777777" w:rsidR="006C1689" w:rsidRPr="00794EB9" w:rsidRDefault="00F844E0" w:rsidP="00535989">
      <w:pPr>
        <w:spacing w:line="276" w:lineRule="auto"/>
        <w:ind w:left="-284"/>
        <w:jc w:val="center"/>
        <w:rPr>
          <w:rFonts w:ascii="Arial" w:hAnsi="Arial" w:cs="Arial"/>
          <w:b/>
          <w:bCs/>
          <w:sz w:val="22"/>
          <w:szCs w:val="22"/>
        </w:rPr>
      </w:pPr>
      <w:r w:rsidRPr="00794EB9">
        <w:rPr>
          <w:rFonts w:ascii="Arial" w:hAnsi="Arial" w:cs="Arial"/>
          <w:b/>
          <w:bCs/>
          <w:sz w:val="22"/>
          <w:szCs w:val="22"/>
        </w:rPr>
        <w:t>A C U E R D O</w:t>
      </w:r>
    </w:p>
    <w:p w14:paraId="3AA44453" w14:textId="77777777" w:rsidR="006C1689" w:rsidRPr="00794EB9" w:rsidRDefault="006C1689" w:rsidP="00535989">
      <w:pPr>
        <w:spacing w:line="276" w:lineRule="auto"/>
        <w:ind w:left="-284"/>
        <w:jc w:val="both"/>
        <w:rPr>
          <w:rFonts w:ascii="Arial" w:hAnsi="Arial" w:cs="Arial"/>
          <w:b/>
          <w:bCs/>
          <w:sz w:val="22"/>
          <w:szCs w:val="22"/>
        </w:rPr>
      </w:pPr>
    </w:p>
    <w:p w14:paraId="4ADDE617" w14:textId="77777777" w:rsidR="00D17B9E" w:rsidRPr="00794EB9" w:rsidRDefault="00D17B9E" w:rsidP="00535989">
      <w:pPr>
        <w:spacing w:line="276" w:lineRule="auto"/>
        <w:ind w:left="-284"/>
        <w:jc w:val="both"/>
        <w:rPr>
          <w:rFonts w:ascii="Arial" w:hAnsi="Arial" w:cs="Arial"/>
          <w:b/>
          <w:bCs/>
          <w:sz w:val="22"/>
          <w:szCs w:val="22"/>
        </w:rPr>
      </w:pPr>
    </w:p>
    <w:p w14:paraId="3DD0D433" w14:textId="77777777" w:rsidR="00D17B9E" w:rsidRPr="00794EB9" w:rsidRDefault="00D17B9E" w:rsidP="00535989">
      <w:pPr>
        <w:spacing w:line="276" w:lineRule="auto"/>
        <w:ind w:left="-284"/>
        <w:jc w:val="both"/>
        <w:rPr>
          <w:rFonts w:ascii="Arial" w:hAnsi="Arial" w:cs="Arial"/>
          <w:b/>
          <w:bCs/>
          <w:sz w:val="22"/>
          <w:szCs w:val="22"/>
        </w:rPr>
      </w:pPr>
    </w:p>
    <w:p w14:paraId="0F698C2F" w14:textId="77777777" w:rsidR="006C1689" w:rsidRPr="00794EB9" w:rsidRDefault="006C1689" w:rsidP="00535989">
      <w:pPr>
        <w:spacing w:line="276" w:lineRule="auto"/>
        <w:ind w:left="-284"/>
        <w:jc w:val="both"/>
        <w:rPr>
          <w:rFonts w:ascii="Arial" w:hAnsi="Arial" w:cs="Arial"/>
          <w:b/>
          <w:bCs/>
          <w:sz w:val="22"/>
          <w:szCs w:val="22"/>
        </w:rPr>
      </w:pPr>
    </w:p>
    <w:p w14:paraId="27B0DFB6" w14:textId="05BD430D" w:rsidR="00CA64D7" w:rsidRPr="00794EB9" w:rsidRDefault="006C1689" w:rsidP="00D74213">
      <w:pPr>
        <w:spacing w:line="276" w:lineRule="auto"/>
        <w:ind w:left="-284"/>
        <w:jc w:val="both"/>
        <w:rPr>
          <w:rFonts w:ascii="Arial" w:eastAsia="Calibri" w:hAnsi="Arial" w:cs="Arial"/>
          <w:sz w:val="22"/>
          <w:szCs w:val="22"/>
          <w:lang w:val="es-MX" w:eastAsia="en-US"/>
        </w:rPr>
      </w:pPr>
      <w:r w:rsidRPr="00794EB9">
        <w:rPr>
          <w:rFonts w:ascii="Arial" w:eastAsia="Calibri" w:hAnsi="Arial" w:cs="Arial"/>
          <w:b/>
          <w:sz w:val="22"/>
          <w:szCs w:val="22"/>
          <w:lang w:val="es-MX" w:eastAsia="en-US"/>
        </w:rPr>
        <w:t>PRIMERO.</w:t>
      </w:r>
      <w:bookmarkStart w:id="0" w:name="OLE_LINK8"/>
      <w:r w:rsidRPr="00794EB9">
        <w:rPr>
          <w:rFonts w:ascii="Arial" w:eastAsia="Calibri" w:hAnsi="Arial" w:cs="Arial"/>
          <w:sz w:val="22"/>
          <w:szCs w:val="22"/>
          <w:lang w:val="es-MX" w:eastAsia="en-US"/>
        </w:rPr>
        <w:t xml:space="preserve"> </w:t>
      </w:r>
      <w:bookmarkEnd w:id="0"/>
      <w:r w:rsidR="00CA64D7" w:rsidRPr="00794EB9">
        <w:rPr>
          <w:rFonts w:ascii="Arial" w:hAnsi="Arial" w:cs="Arial"/>
          <w:sz w:val="22"/>
          <w:szCs w:val="22"/>
        </w:rPr>
        <w:t xml:space="preserve">Se </w:t>
      </w:r>
      <w:r w:rsidR="00CA64D7" w:rsidRPr="00794EB9">
        <w:rPr>
          <w:rFonts w:ascii="Arial" w:hAnsi="Arial" w:cs="Arial"/>
          <w:b/>
          <w:i/>
          <w:sz w:val="22"/>
          <w:szCs w:val="22"/>
        </w:rPr>
        <w:t>aprueba</w:t>
      </w:r>
      <w:r w:rsidR="00CA64D7" w:rsidRPr="00794EB9">
        <w:rPr>
          <w:rFonts w:ascii="Arial" w:hAnsi="Arial" w:cs="Arial"/>
          <w:sz w:val="22"/>
          <w:szCs w:val="22"/>
        </w:rPr>
        <w:t xml:space="preserve"> el </w:t>
      </w:r>
      <w:r w:rsidR="00CA64D7" w:rsidRPr="00794EB9">
        <w:rPr>
          <w:rFonts w:ascii="Arial" w:hAnsi="Arial" w:cs="Arial"/>
          <w:b/>
          <w:sz w:val="22"/>
          <w:szCs w:val="22"/>
        </w:rPr>
        <w:t>“Programa de Gobierno Municipal 2021-2024”</w:t>
      </w:r>
      <w:r w:rsidR="00CA64D7" w:rsidRPr="00794EB9">
        <w:rPr>
          <w:rFonts w:ascii="Arial" w:hAnsi="Arial" w:cs="Arial"/>
          <w:sz w:val="22"/>
          <w:szCs w:val="22"/>
        </w:rPr>
        <w:t>, en los términos del documento anexo, mismo que forma parte integral del presente Acuerdo.</w:t>
      </w:r>
    </w:p>
    <w:p w14:paraId="3A358222" w14:textId="77777777" w:rsidR="004E0074" w:rsidRPr="00794EB9" w:rsidRDefault="004E0074" w:rsidP="00CA64D7">
      <w:pPr>
        <w:spacing w:line="276" w:lineRule="auto"/>
        <w:ind w:left="-284"/>
        <w:jc w:val="both"/>
        <w:rPr>
          <w:rFonts w:ascii="Arial" w:eastAsia="Calibri" w:hAnsi="Arial" w:cs="Arial"/>
          <w:b/>
          <w:sz w:val="22"/>
          <w:szCs w:val="22"/>
          <w:lang w:eastAsia="en-US"/>
        </w:rPr>
      </w:pPr>
    </w:p>
    <w:p w14:paraId="31CE199C" w14:textId="77777777" w:rsidR="00D17B9E" w:rsidRPr="00794EB9" w:rsidRDefault="00D17B9E" w:rsidP="00CA64D7">
      <w:pPr>
        <w:spacing w:line="276" w:lineRule="auto"/>
        <w:ind w:left="-284"/>
        <w:jc w:val="both"/>
        <w:rPr>
          <w:rFonts w:ascii="Arial" w:eastAsia="Calibri" w:hAnsi="Arial" w:cs="Arial"/>
          <w:b/>
          <w:sz w:val="22"/>
          <w:szCs w:val="22"/>
          <w:lang w:val="es-MX" w:eastAsia="en-US"/>
        </w:rPr>
      </w:pPr>
    </w:p>
    <w:p w14:paraId="4AB9458C" w14:textId="0AB8B746" w:rsidR="00D17B9E" w:rsidRPr="00794EB9" w:rsidRDefault="00D17B9E" w:rsidP="00CA64D7">
      <w:pPr>
        <w:spacing w:line="276" w:lineRule="auto"/>
        <w:ind w:left="-284"/>
        <w:jc w:val="both"/>
        <w:rPr>
          <w:rFonts w:ascii="Arial" w:eastAsia="Calibri" w:hAnsi="Arial" w:cs="Arial"/>
          <w:b/>
          <w:sz w:val="22"/>
          <w:szCs w:val="22"/>
          <w:lang w:val="es-MX" w:eastAsia="en-US"/>
        </w:rPr>
      </w:pPr>
    </w:p>
    <w:p w14:paraId="6B5BABAE" w14:textId="36D61558" w:rsidR="00794EB9" w:rsidRPr="00794EB9" w:rsidRDefault="00794EB9" w:rsidP="00CA64D7">
      <w:pPr>
        <w:spacing w:line="276" w:lineRule="auto"/>
        <w:ind w:left="-284"/>
        <w:jc w:val="both"/>
        <w:rPr>
          <w:rFonts w:ascii="Arial" w:eastAsia="Calibri" w:hAnsi="Arial" w:cs="Arial"/>
          <w:b/>
          <w:sz w:val="22"/>
          <w:szCs w:val="22"/>
          <w:lang w:val="es-MX" w:eastAsia="en-US"/>
        </w:rPr>
      </w:pPr>
    </w:p>
    <w:p w14:paraId="4DFD906F" w14:textId="139AC666" w:rsidR="00794EB9" w:rsidRPr="00794EB9" w:rsidRDefault="00794EB9" w:rsidP="00CA64D7">
      <w:pPr>
        <w:spacing w:line="276" w:lineRule="auto"/>
        <w:ind w:left="-284"/>
        <w:jc w:val="both"/>
        <w:rPr>
          <w:rFonts w:ascii="Arial" w:eastAsia="Calibri" w:hAnsi="Arial" w:cs="Arial"/>
          <w:b/>
          <w:sz w:val="22"/>
          <w:szCs w:val="22"/>
          <w:lang w:val="es-MX" w:eastAsia="en-US"/>
        </w:rPr>
      </w:pPr>
    </w:p>
    <w:p w14:paraId="33B9E2E4" w14:textId="7D420244" w:rsidR="00794EB9" w:rsidRPr="00794EB9" w:rsidRDefault="00794EB9" w:rsidP="00CA64D7">
      <w:pPr>
        <w:spacing w:line="276" w:lineRule="auto"/>
        <w:ind w:left="-284"/>
        <w:jc w:val="both"/>
        <w:rPr>
          <w:rFonts w:ascii="Arial" w:eastAsia="Calibri" w:hAnsi="Arial" w:cs="Arial"/>
          <w:b/>
          <w:sz w:val="22"/>
          <w:szCs w:val="22"/>
          <w:lang w:val="es-MX" w:eastAsia="en-US"/>
        </w:rPr>
      </w:pPr>
    </w:p>
    <w:p w14:paraId="685DE8CE" w14:textId="75B91BA5" w:rsidR="00794EB9" w:rsidRPr="00794EB9" w:rsidRDefault="00794EB9" w:rsidP="00CA64D7">
      <w:pPr>
        <w:spacing w:line="276" w:lineRule="auto"/>
        <w:ind w:left="-284"/>
        <w:jc w:val="both"/>
        <w:rPr>
          <w:rFonts w:ascii="Arial" w:eastAsia="Calibri" w:hAnsi="Arial" w:cs="Arial"/>
          <w:b/>
          <w:sz w:val="22"/>
          <w:szCs w:val="22"/>
          <w:lang w:val="es-MX" w:eastAsia="en-US"/>
        </w:rPr>
      </w:pPr>
    </w:p>
    <w:p w14:paraId="59668FF6" w14:textId="4EADB67E" w:rsidR="00794EB9" w:rsidRPr="00794EB9" w:rsidRDefault="00794EB9" w:rsidP="00CA64D7">
      <w:pPr>
        <w:spacing w:line="276" w:lineRule="auto"/>
        <w:ind w:left="-284"/>
        <w:jc w:val="both"/>
        <w:rPr>
          <w:rFonts w:ascii="Arial" w:eastAsia="Calibri" w:hAnsi="Arial" w:cs="Arial"/>
          <w:b/>
          <w:sz w:val="22"/>
          <w:szCs w:val="22"/>
          <w:lang w:val="es-MX" w:eastAsia="en-US"/>
        </w:rPr>
      </w:pPr>
    </w:p>
    <w:p w14:paraId="793EEFB7" w14:textId="7E7F278D" w:rsidR="00794EB9" w:rsidRPr="00794EB9" w:rsidRDefault="00794EB9" w:rsidP="00CA64D7">
      <w:pPr>
        <w:spacing w:line="276" w:lineRule="auto"/>
        <w:ind w:left="-284"/>
        <w:jc w:val="both"/>
        <w:rPr>
          <w:rFonts w:ascii="Arial" w:eastAsia="Calibri" w:hAnsi="Arial" w:cs="Arial"/>
          <w:b/>
          <w:sz w:val="22"/>
          <w:szCs w:val="22"/>
          <w:lang w:val="es-MX" w:eastAsia="en-US"/>
        </w:rPr>
      </w:pPr>
    </w:p>
    <w:p w14:paraId="6F1D57F6" w14:textId="53C46F6D" w:rsidR="00794EB9" w:rsidRPr="00794EB9" w:rsidRDefault="00794EB9" w:rsidP="00CA64D7">
      <w:pPr>
        <w:spacing w:line="276" w:lineRule="auto"/>
        <w:ind w:left="-284"/>
        <w:jc w:val="both"/>
        <w:rPr>
          <w:rFonts w:ascii="Arial" w:eastAsia="Calibri" w:hAnsi="Arial" w:cs="Arial"/>
          <w:b/>
          <w:sz w:val="22"/>
          <w:szCs w:val="22"/>
          <w:lang w:val="es-MX" w:eastAsia="en-US"/>
        </w:rPr>
      </w:pPr>
    </w:p>
    <w:p w14:paraId="31F39A91" w14:textId="697D6AB7" w:rsidR="00794EB9" w:rsidRPr="00794EB9" w:rsidRDefault="00794EB9" w:rsidP="00CA64D7">
      <w:pPr>
        <w:spacing w:line="276" w:lineRule="auto"/>
        <w:ind w:left="-284"/>
        <w:jc w:val="both"/>
        <w:rPr>
          <w:rFonts w:ascii="Arial" w:eastAsia="Calibri" w:hAnsi="Arial" w:cs="Arial"/>
          <w:b/>
          <w:sz w:val="22"/>
          <w:szCs w:val="22"/>
          <w:lang w:val="es-MX" w:eastAsia="en-US"/>
        </w:rPr>
      </w:pPr>
    </w:p>
    <w:p w14:paraId="0B73D79C" w14:textId="76232913" w:rsidR="00794EB9" w:rsidRPr="00794EB9" w:rsidRDefault="00794EB9" w:rsidP="00CA64D7">
      <w:pPr>
        <w:spacing w:line="276" w:lineRule="auto"/>
        <w:ind w:left="-284"/>
        <w:jc w:val="both"/>
        <w:rPr>
          <w:rFonts w:ascii="Arial" w:eastAsia="Calibri" w:hAnsi="Arial" w:cs="Arial"/>
          <w:b/>
          <w:sz w:val="22"/>
          <w:szCs w:val="22"/>
          <w:lang w:val="es-MX" w:eastAsia="en-US"/>
        </w:rPr>
      </w:pPr>
    </w:p>
    <w:p w14:paraId="3DEBC0F4" w14:textId="18561EA5" w:rsidR="00794EB9" w:rsidRPr="00794EB9" w:rsidRDefault="00794EB9" w:rsidP="00CA64D7">
      <w:pPr>
        <w:spacing w:line="276" w:lineRule="auto"/>
        <w:ind w:left="-284"/>
        <w:jc w:val="both"/>
        <w:rPr>
          <w:rFonts w:ascii="Arial" w:eastAsia="Calibri" w:hAnsi="Arial" w:cs="Arial"/>
          <w:b/>
          <w:sz w:val="22"/>
          <w:szCs w:val="22"/>
          <w:lang w:val="es-MX" w:eastAsia="en-US"/>
        </w:rPr>
      </w:pPr>
    </w:p>
    <w:p w14:paraId="3AE256CA" w14:textId="18285BBA" w:rsidR="00794EB9" w:rsidRPr="00794EB9" w:rsidRDefault="00794EB9" w:rsidP="00CA64D7">
      <w:pPr>
        <w:spacing w:line="276" w:lineRule="auto"/>
        <w:ind w:left="-284"/>
        <w:jc w:val="both"/>
        <w:rPr>
          <w:rFonts w:ascii="Arial" w:eastAsia="Calibri" w:hAnsi="Arial" w:cs="Arial"/>
          <w:b/>
          <w:sz w:val="22"/>
          <w:szCs w:val="22"/>
          <w:lang w:val="es-MX" w:eastAsia="en-US"/>
        </w:rPr>
      </w:pPr>
    </w:p>
    <w:p w14:paraId="5F53A7F7" w14:textId="275F8DD1" w:rsidR="00794EB9" w:rsidRPr="00794EB9" w:rsidRDefault="00794EB9" w:rsidP="00CA64D7">
      <w:pPr>
        <w:spacing w:line="276" w:lineRule="auto"/>
        <w:ind w:left="-284"/>
        <w:jc w:val="both"/>
        <w:rPr>
          <w:rFonts w:ascii="Arial" w:eastAsia="Calibri" w:hAnsi="Arial" w:cs="Arial"/>
          <w:b/>
          <w:sz w:val="22"/>
          <w:szCs w:val="22"/>
          <w:lang w:val="es-MX" w:eastAsia="en-US"/>
        </w:rPr>
      </w:pPr>
    </w:p>
    <w:p w14:paraId="17D051A9" w14:textId="2DD985DB" w:rsidR="00794EB9" w:rsidRPr="00794EB9" w:rsidRDefault="00794EB9" w:rsidP="00CA64D7">
      <w:pPr>
        <w:spacing w:line="276" w:lineRule="auto"/>
        <w:ind w:left="-284"/>
        <w:jc w:val="both"/>
        <w:rPr>
          <w:rFonts w:ascii="Arial" w:eastAsia="Calibri" w:hAnsi="Arial" w:cs="Arial"/>
          <w:b/>
          <w:sz w:val="22"/>
          <w:szCs w:val="22"/>
          <w:lang w:val="es-MX" w:eastAsia="en-US"/>
        </w:rPr>
      </w:pPr>
    </w:p>
    <w:p w14:paraId="0CF0E4A6" w14:textId="10806FBA" w:rsidR="00794EB9" w:rsidRPr="00794EB9" w:rsidRDefault="00794EB9" w:rsidP="00CA64D7">
      <w:pPr>
        <w:spacing w:line="276" w:lineRule="auto"/>
        <w:ind w:left="-284"/>
        <w:jc w:val="both"/>
        <w:rPr>
          <w:rFonts w:ascii="Arial" w:eastAsia="Calibri" w:hAnsi="Arial" w:cs="Arial"/>
          <w:b/>
          <w:sz w:val="22"/>
          <w:szCs w:val="22"/>
          <w:lang w:val="es-MX" w:eastAsia="en-US"/>
        </w:rPr>
      </w:pPr>
    </w:p>
    <w:p w14:paraId="2A4AE79F" w14:textId="16A48951" w:rsidR="00794EB9" w:rsidRPr="00794EB9" w:rsidRDefault="00794EB9" w:rsidP="00CA64D7">
      <w:pPr>
        <w:spacing w:line="276" w:lineRule="auto"/>
        <w:ind w:left="-284"/>
        <w:jc w:val="both"/>
        <w:rPr>
          <w:rFonts w:ascii="Arial" w:eastAsia="Calibri" w:hAnsi="Arial" w:cs="Arial"/>
          <w:b/>
          <w:sz w:val="22"/>
          <w:szCs w:val="22"/>
          <w:lang w:val="es-MX" w:eastAsia="en-US"/>
        </w:rPr>
      </w:pPr>
    </w:p>
    <w:p w14:paraId="4134B800" w14:textId="1E83AE18" w:rsidR="00794EB9" w:rsidRPr="00794EB9" w:rsidRDefault="00794EB9" w:rsidP="00CA64D7">
      <w:pPr>
        <w:spacing w:line="276" w:lineRule="auto"/>
        <w:ind w:left="-284"/>
        <w:jc w:val="both"/>
        <w:rPr>
          <w:rFonts w:ascii="Arial" w:eastAsia="Calibri" w:hAnsi="Arial" w:cs="Arial"/>
          <w:b/>
          <w:sz w:val="22"/>
          <w:szCs w:val="22"/>
          <w:lang w:val="es-MX" w:eastAsia="en-US"/>
        </w:rPr>
      </w:pPr>
    </w:p>
    <w:p w14:paraId="3CBA9D3E" w14:textId="5E2F3B26" w:rsidR="00794EB9" w:rsidRPr="00794EB9" w:rsidRDefault="00794EB9" w:rsidP="00CA64D7">
      <w:pPr>
        <w:spacing w:line="276" w:lineRule="auto"/>
        <w:ind w:left="-284"/>
        <w:jc w:val="both"/>
        <w:rPr>
          <w:rFonts w:ascii="Arial" w:eastAsia="Calibri" w:hAnsi="Arial" w:cs="Arial"/>
          <w:b/>
          <w:sz w:val="22"/>
          <w:szCs w:val="22"/>
          <w:lang w:val="es-MX" w:eastAsia="en-US"/>
        </w:rPr>
      </w:pPr>
    </w:p>
    <w:p w14:paraId="54FD02A9" w14:textId="095BEFC7" w:rsidR="00794EB9" w:rsidRPr="00794EB9" w:rsidRDefault="00794EB9" w:rsidP="00CA64D7">
      <w:pPr>
        <w:spacing w:line="276" w:lineRule="auto"/>
        <w:ind w:left="-284"/>
        <w:jc w:val="both"/>
        <w:rPr>
          <w:rFonts w:ascii="Arial" w:eastAsia="Calibri" w:hAnsi="Arial" w:cs="Arial"/>
          <w:b/>
          <w:sz w:val="22"/>
          <w:szCs w:val="22"/>
          <w:lang w:val="es-MX" w:eastAsia="en-US"/>
        </w:rPr>
      </w:pPr>
    </w:p>
    <w:p w14:paraId="270A6BBA" w14:textId="28473600" w:rsidR="00794EB9" w:rsidRDefault="00794EB9" w:rsidP="00CA64D7">
      <w:pPr>
        <w:spacing w:line="276" w:lineRule="auto"/>
        <w:ind w:left="-284"/>
        <w:jc w:val="both"/>
        <w:rPr>
          <w:rFonts w:ascii="Arial" w:eastAsia="Calibri" w:hAnsi="Arial" w:cs="Arial"/>
          <w:b/>
          <w:sz w:val="22"/>
          <w:szCs w:val="22"/>
          <w:lang w:val="es-MX" w:eastAsia="en-US"/>
        </w:rPr>
      </w:pPr>
    </w:p>
    <w:p w14:paraId="4EEF58F8" w14:textId="77777777" w:rsidR="00E8197F" w:rsidRPr="00794EB9" w:rsidRDefault="00E8197F" w:rsidP="00CA64D7">
      <w:pPr>
        <w:spacing w:line="276" w:lineRule="auto"/>
        <w:ind w:left="-284"/>
        <w:jc w:val="both"/>
        <w:rPr>
          <w:rFonts w:ascii="Arial" w:eastAsia="Calibri" w:hAnsi="Arial" w:cs="Arial"/>
          <w:b/>
          <w:sz w:val="22"/>
          <w:szCs w:val="22"/>
          <w:lang w:val="es-MX" w:eastAsia="en-US"/>
        </w:rPr>
      </w:pPr>
    </w:p>
    <w:p w14:paraId="300F56E4" w14:textId="77777777" w:rsidR="00794EB9" w:rsidRPr="00794EB9" w:rsidRDefault="00794EB9" w:rsidP="00CA64D7">
      <w:pPr>
        <w:spacing w:line="276" w:lineRule="auto"/>
        <w:ind w:left="-284"/>
        <w:jc w:val="both"/>
        <w:rPr>
          <w:rFonts w:ascii="Arial" w:eastAsia="Calibri" w:hAnsi="Arial" w:cs="Arial"/>
          <w:b/>
          <w:sz w:val="22"/>
          <w:szCs w:val="22"/>
          <w:lang w:val="es-MX" w:eastAsia="en-US"/>
        </w:rPr>
      </w:pPr>
    </w:p>
    <w:p w14:paraId="000A1B84" w14:textId="77777777" w:rsidR="00794EB9" w:rsidRPr="00794EB9" w:rsidRDefault="00794EB9" w:rsidP="00794EB9">
      <w:pPr>
        <w:jc w:val="center"/>
        <w:rPr>
          <w:rFonts w:ascii="Arial" w:hAnsi="Arial" w:cs="Arial"/>
          <w:sz w:val="22"/>
          <w:szCs w:val="22"/>
        </w:rPr>
      </w:pPr>
      <w:r w:rsidRPr="00794EB9">
        <w:rPr>
          <w:rFonts w:ascii="Arial" w:hAnsi="Arial" w:cs="Arial"/>
          <w:b/>
          <w:sz w:val="22"/>
          <w:szCs w:val="22"/>
        </w:rPr>
        <w:lastRenderedPageBreak/>
        <w:t>PROGRAMA DE GOBIERNO MUNICIPAL DE LEÓN, GUANAJUATO 2021-2024</w:t>
      </w:r>
    </w:p>
    <w:p w14:paraId="1ECE4E41" w14:textId="77777777" w:rsidR="00794EB9" w:rsidRPr="00794EB9" w:rsidRDefault="00794EB9" w:rsidP="00794EB9">
      <w:pPr>
        <w:ind w:hanging="2"/>
        <w:jc w:val="center"/>
        <w:rPr>
          <w:rFonts w:ascii="Arial" w:hAnsi="Arial" w:cs="Arial"/>
          <w:b/>
          <w:sz w:val="22"/>
          <w:szCs w:val="22"/>
        </w:rPr>
      </w:pPr>
      <w:r w:rsidRPr="00794EB9">
        <w:rPr>
          <w:rFonts w:ascii="Arial" w:hAnsi="Arial" w:cs="Arial"/>
          <w:b/>
          <w:sz w:val="22"/>
          <w:szCs w:val="22"/>
        </w:rPr>
        <w:t>-versión integral-</w:t>
      </w:r>
    </w:p>
    <w:p w14:paraId="6B9CC909" w14:textId="77777777" w:rsidR="00794EB9" w:rsidRPr="00794EB9" w:rsidRDefault="00794EB9" w:rsidP="00794EB9">
      <w:pPr>
        <w:ind w:hanging="2"/>
        <w:rPr>
          <w:rFonts w:ascii="Arial" w:hAnsi="Arial" w:cs="Arial"/>
          <w:sz w:val="22"/>
          <w:szCs w:val="22"/>
        </w:rPr>
      </w:pPr>
    </w:p>
    <w:p w14:paraId="78D9594C" w14:textId="77777777" w:rsidR="00794EB9" w:rsidRPr="00794EB9" w:rsidRDefault="00794EB9" w:rsidP="00794EB9">
      <w:pPr>
        <w:rPr>
          <w:rFonts w:ascii="Arial" w:hAnsi="Arial" w:cs="Arial"/>
          <w:b/>
          <w:sz w:val="22"/>
          <w:szCs w:val="22"/>
        </w:rPr>
      </w:pPr>
      <w:r w:rsidRPr="00794EB9">
        <w:rPr>
          <w:rFonts w:ascii="Arial" w:hAnsi="Arial" w:cs="Arial"/>
          <w:b/>
          <w:sz w:val="22"/>
          <w:szCs w:val="22"/>
        </w:rPr>
        <w:t>PRESENTACIÓN</w:t>
      </w:r>
    </w:p>
    <w:p w14:paraId="4543C2B4" w14:textId="77777777" w:rsidR="00794EB9" w:rsidRPr="00794EB9" w:rsidRDefault="00794EB9" w:rsidP="00794EB9">
      <w:pPr>
        <w:rPr>
          <w:rFonts w:ascii="Arial" w:hAnsi="Arial" w:cs="Arial"/>
          <w:sz w:val="22"/>
          <w:szCs w:val="22"/>
        </w:rPr>
      </w:pPr>
    </w:p>
    <w:p w14:paraId="5391443D" w14:textId="77777777" w:rsidR="00794EB9" w:rsidRPr="00794EB9" w:rsidRDefault="00794EB9" w:rsidP="00794EB9">
      <w:pPr>
        <w:pStyle w:val="PoromisinA"/>
        <w:tabs>
          <w:tab w:val="left" w:pos="426"/>
        </w:tabs>
        <w:jc w:val="both"/>
        <w:rPr>
          <w:rFonts w:ascii="Arial" w:hAnsi="Arial" w:cs="Arial"/>
          <w:color w:val="auto"/>
        </w:rPr>
      </w:pPr>
      <w:r w:rsidRPr="00794EB9">
        <w:rPr>
          <w:rFonts w:ascii="Arial" w:hAnsi="Arial" w:cs="Arial"/>
          <w:color w:val="auto"/>
        </w:rPr>
        <w:t>León es nuestra casa común. Es nuestra tierra, nuestra historia, nuestro presente y nuestro futuro, nuestros sueños y anhelos. Es la casa de quienes amamos y de todos los que la habitamos. Nosotros somos León. Con la fuerza de todos haremos de León una ciudad viva, donde vivamos tranquilos, vivamos sanos y vivamos mejor. Esta es nuestra meta, nuestro propósito, nuestro compromiso.</w:t>
      </w:r>
    </w:p>
    <w:p w14:paraId="06F3B1A1" w14:textId="77777777" w:rsidR="00794EB9" w:rsidRPr="00794EB9" w:rsidRDefault="00794EB9" w:rsidP="00794EB9">
      <w:pPr>
        <w:pStyle w:val="PoromisinA"/>
        <w:tabs>
          <w:tab w:val="left" w:pos="426"/>
        </w:tabs>
        <w:jc w:val="both"/>
        <w:rPr>
          <w:rFonts w:ascii="Arial" w:hAnsi="Arial" w:cs="Arial"/>
          <w:color w:val="auto"/>
        </w:rPr>
      </w:pPr>
    </w:p>
    <w:p w14:paraId="4DF21C51" w14:textId="77777777" w:rsidR="00794EB9" w:rsidRPr="00794EB9" w:rsidRDefault="00794EB9" w:rsidP="00794EB9">
      <w:pPr>
        <w:pStyle w:val="PoromisinA"/>
        <w:tabs>
          <w:tab w:val="left" w:pos="426"/>
        </w:tabs>
        <w:jc w:val="both"/>
        <w:rPr>
          <w:rFonts w:ascii="Arial" w:hAnsi="Arial" w:cs="Arial"/>
          <w:color w:val="auto"/>
        </w:rPr>
      </w:pPr>
      <w:r w:rsidRPr="00794EB9">
        <w:rPr>
          <w:rFonts w:ascii="Arial" w:hAnsi="Arial" w:cs="Arial"/>
          <w:color w:val="auto"/>
        </w:rPr>
        <w:t>Una ciudad viva es posible con ciudadanos comprometidos con el bien común, la dignidad de las personas, el estado de derecho. Es preciso que los ciudadanos se vuelvan protagonistas en la construcción de León como ciudad viva, que tomen sus responsabilidades y ejerzan sus derechos y libertades en los asuntos públicos; que exijan a sus autoridades que cumplan sus responsabilidades y compromisos. Necesitamos ciudadanos críticos, convencidos de que los problemas y conflictos se pueden resolver con diálogo, con argumentos racionales y buscando el consenso con las autoridades. Esto dará legitimidad a las grandes decisiones que busquen el bien común.</w:t>
      </w:r>
    </w:p>
    <w:p w14:paraId="5C353D6B" w14:textId="77777777" w:rsidR="00794EB9" w:rsidRPr="00794EB9" w:rsidRDefault="00794EB9" w:rsidP="00794EB9">
      <w:pPr>
        <w:pStyle w:val="PoromisinA"/>
        <w:tabs>
          <w:tab w:val="left" w:pos="426"/>
        </w:tabs>
        <w:jc w:val="both"/>
        <w:rPr>
          <w:rFonts w:ascii="Arial" w:hAnsi="Arial" w:cs="Arial"/>
          <w:color w:val="auto"/>
        </w:rPr>
      </w:pPr>
    </w:p>
    <w:p w14:paraId="01822497" w14:textId="77777777" w:rsidR="00794EB9" w:rsidRPr="00794EB9" w:rsidRDefault="00794EB9" w:rsidP="00794EB9">
      <w:pPr>
        <w:pStyle w:val="PoromisinA"/>
        <w:tabs>
          <w:tab w:val="left" w:pos="426"/>
        </w:tabs>
        <w:jc w:val="both"/>
        <w:rPr>
          <w:rFonts w:ascii="Arial" w:hAnsi="Arial" w:cs="Arial"/>
          <w:color w:val="auto"/>
        </w:rPr>
      </w:pPr>
      <w:r w:rsidRPr="00794EB9">
        <w:rPr>
          <w:rFonts w:ascii="Arial" w:hAnsi="Arial" w:cs="Arial"/>
          <w:color w:val="auto"/>
        </w:rPr>
        <w:t>El municipio es la autoridad más cercana donde los ciudadanos realizan su vida cotidiana. Los servicios básicos tienen ahí su dinámica mediante un orden jurídico y administrativo que permite a las familias y a las personas el cumplimiento de sus deberes y el ejercicio de sus derechos. Los municipios son el rostro que refleja la vida de los pueblos, las comunidades y las ciudades. De ahí la necesidad de su fortalecimiento y relevancia. Son los verdaderos resortes del cambio que requiere el país. A través del municipio es factible defender, mejorar, reconstruir y renovar la casa común. El municipio es el punto de partida para darle otro rumbo a nuestro país.</w:t>
      </w:r>
    </w:p>
    <w:p w14:paraId="78C26BDA" w14:textId="77777777" w:rsidR="00794EB9" w:rsidRPr="00794EB9" w:rsidRDefault="00794EB9" w:rsidP="00794EB9">
      <w:pPr>
        <w:pStyle w:val="PoromisinA"/>
        <w:tabs>
          <w:tab w:val="left" w:pos="426"/>
        </w:tabs>
        <w:jc w:val="both"/>
        <w:rPr>
          <w:rFonts w:ascii="Arial" w:hAnsi="Arial" w:cs="Arial"/>
          <w:color w:val="auto"/>
        </w:rPr>
      </w:pPr>
    </w:p>
    <w:p w14:paraId="55B07079" w14:textId="77777777" w:rsidR="00794EB9" w:rsidRPr="00794EB9" w:rsidRDefault="00794EB9" w:rsidP="00794EB9">
      <w:pPr>
        <w:pStyle w:val="PoromisinA"/>
        <w:tabs>
          <w:tab w:val="left" w:pos="426"/>
        </w:tabs>
        <w:jc w:val="both"/>
        <w:rPr>
          <w:rFonts w:ascii="Arial" w:hAnsi="Arial" w:cs="Arial"/>
          <w:color w:val="auto"/>
        </w:rPr>
      </w:pPr>
      <w:r w:rsidRPr="00794EB9">
        <w:rPr>
          <w:rFonts w:ascii="Arial" w:hAnsi="Arial" w:cs="Arial"/>
          <w:color w:val="auto"/>
        </w:rPr>
        <w:t xml:space="preserve">La pandemia del COVID-19 ha paralizado las dinámicas de desarrollo y crecimiento global y del país. Nuestra ciudad no está exenta de sus efectos: la salud de los leoneses está amenazada (como la de todos los mexicanos), la recesión económica es una realidad patente. Ante esta crisis que hoy se vive, debemos dejar de lado la polarización, el radicalismo y las posturas extremas. Nosotros estamos convencidos de que necesitamos la moderación, la tolerancia y el respeto del otro y de la diversidad. No podemos caer o lanzarnos a la ley de la selva o a la anarquía. Eso es la antípoda de la sana política. El municipio es la palanca de impulso, dinámica y fuerza para fortalecer el país y ordenarlo hacia el bien común. </w:t>
      </w:r>
    </w:p>
    <w:p w14:paraId="6CD7B516" w14:textId="77777777" w:rsidR="00794EB9" w:rsidRPr="00794EB9" w:rsidRDefault="00794EB9" w:rsidP="00794EB9">
      <w:pPr>
        <w:pStyle w:val="PoromisinA"/>
        <w:tabs>
          <w:tab w:val="left" w:pos="426"/>
        </w:tabs>
        <w:jc w:val="both"/>
        <w:rPr>
          <w:rFonts w:ascii="Arial" w:hAnsi="Arial" w:cs="Arial"/>
          <w:color w:val="auto"/>
        </w:rPr>
      </w:pPr>
      <w:r w:rsidRPr="00794EB9">
        <w:rPr>
          <w:rFonts w:ascii="Arial" w:hAnsi="Arial" w:cs="Arial"/>
          <w:color w:val="auto"/>
        </w:rPr>
        <w:t xml:space="preserve"> </w:t>
      </w:r>
    </w:p>
    <w:p w14:paraId="2A4AF2BF" w14:textId="77777777" w:rsidR="00794EB9" w:rsidRPr="00794EB9" w:rsidRDefault="00794EB9" w:rsidP="00794EB9">
      <w:pPr>
        <w:pStyle w:val="PoromisinA"/>
        <w:tabs>
          <w:tab w:val="left" w:pos="426"/>
        </w:tabs>
        <w:jc w:val="both"/>
        <w:rPr>
          <w:rFonts w:ascii="Arial" w:hAnsi="Arial" w:cs="Arial"/>
          <w:color w:val="auto"/>
        </w:rPr>
      </w:pPr>
      <w:r w:rsidRPr="00794EB9">
        <w:rPr>
          <w:rFonts w:ascii="Arial" w:hAnsi="Arial" w:cs="Arial"/>
          <w:color w:val="auto"/>
        </w:rPr>
        <w:t>De ahí la relevancia de nuestra tarea. Los leoneses hemos logrado grandes avances en nuestra historia a través del diálogo y de una convicción auténtica de cambiar las cosas para bien. Estamos convencidos de que para que haya un verdadero desarrollo humano y social es preciso colocar a la persona en el centro de la acción política y social del municipio. Vivir tranquilo, vivir sano y vivir mejor sólo tienen sentido si se enfocan a todos los habitantes de la ciudad, en especial a los más necesitados.</w:t>
      </w:r>
    </w:p>
    <w:p w14:paraId="184F56A4" w14:textId="77777777" w:rsidR="00794EB9" w:rsidRPr="00794EB9" w:rsidRDefault="00794EB9" w:rsidP="00794EB9">
      <w:pPr>
        <w:pStyle w:val="PoromisinA"/>
        <w:tabs>
          <w:tab w:val="left" w:pos="426"/>
        </w:tabs>
        <w:jc w:val="both"/>
        <w:rPr>
          <w:rFonts w:ascii="Arial" w:hAnsi="Arial" w:cs="Arial"/>
          <w:color w:val="auto"/>
        </w:rPr>
      </w:pPr>
    </w:p>
    <w:p w14:paraId="36BB8F78" w14:textId="77777777" w:rsidR="00794EB9" w:rsidRPr="00794EB9" w:rsidRDefault="00794EB9" w:rsidP="00794EB9">
      <w:pPr>
        <w:pStyle w:val="PoromisinA"/>
        <w:tabs>
          <w:tab w:val="left" w:pos="426"/>
        </w:tabs>
        <w:jc w:val="both"/>
        <w:rPr>
          <w:rFonts w:ascii="Arial" w:hAnsi="Arial" w:cs="Arial"/>
          <w:color w:val="auto"/>
        </w:rPr>
      </w:pPr>
      <w:r w:rsidRPr="00794EB9">
        <w:rPr>
          <w:rFonts w:ascii="Arial" w:hAnsi="Arial" w:cs="Arial"/>
          <w:color w:val="auto"/>
        </w:rPr>
        <w:t>De esa manera los ciudadanos y las familias podrán alcanzar sus propósitos, generar valor y orientarse hacia una cultura de bienestar. La movilidad social será factible sólo con el respeto a la biodiversidad y nuestra incorporación a ella.</w:t>
      </w:r>
    </w:p>
    <w:p w14:paraId="547BC9C8" w14:textId="77777777" w:rsidR="00794EB9" w:rsidRPr="00794EB9" w:rsidRDefault="00794EB9" w:rsidP="00794EB9">
      <w:pPr>
        <w:pStyle w:val="PoromisinA"/>
        <w:tabs>
          <w:tab w:val="left" w:pos="426"/>
        </w:tabs>
        <w:jc w:val="both"/>
        <w:rPr>
          <w:rFonts w:ascii="Arial" w:hAnsi="Arial" w:cs="Arial"/>
          <w:color w:val="auto"/>
        </w:rPr>
      </w:pPr>
    </w:p>
    <w:p w14:paraId="2BF8D9AB" w14:textId="77777777" w:rsidR="00794EB9" w:rsidRPr="00794EB9" w:rsidRDefault="00794EB9" w:rsidP="00794EB9">
      <w:pPr>
        <w:pStyle w:val="PoromisinA"/>
        <w:tabs>
          <w:tab w:val="left" w:pos="426"/>
        </w:tabs>
        <w:jc w:val="both"/>
        <w:rPr>
          <w:rFonts w:ascii="Arial" w:hAnsi="Arial" w:cs="Arial"/>
          <w:color w:val="auto"/>
        </w:rPr>
      </w:pPr>
      <w:r w:rsidRPr="00794EB9">
        <w:rPr>
          <w:rFonts w:ascii="Arial" w:hAnsi="Arial" w:cs="Arial"/>
          <w:color w:val="auto"/>
        </w:rPr>
        <w:lastRenderedPageBreak/>
        <w:t>Para el logro de todo lo anterior se necesita generar consensos. Realizar un ejercicio constante de cara a la ciudadanía. Se tiene la inteligencia requerida para establecer acuerdos y alianzas con la sociedad, con los actores políticos, sociales y económicos. Se cuenta con la experiencia para dar resultados y la firme voluntad de hacerlo en el tiempo que lo requiera la ciudad, las familias y las personas. Es necesario realizar los cambios pertinentes que harán a este municipio aún más grande. Los objetivos son claros, y se expresan en este documento que condensa el trabajo conjunto e interdisciplinario; pero sólo será posible con la participación de todos.</w:t>
      </w:r>
    </w:p>
    <w:p w14:paraId="04C35110" w14:textId="77777777" w:rsidR="00794EB9" w:rsidRPr="00794EB9" w:rsidRDefault="00794EB9" w:rsidP="00794EB9">
      <w:pPr>
        <w:rPr>
          <w:rFonts w:ascii="Arial" w:hAnsi="Arial" w:cs="Arial"/>
          <w:b/>
          <w:sz w:val="22"/>
          <w:szCs w:val="22"/>
          <w:lang w:val="es-ES_tradnl"/>
        </w:rPr>
      </w:pPr>
    </w:p>
    <w:p w14:paraId="5409816B" w14:textId="77777777" w:rsidR="00794EB9" w:rsidRPr="00794EB9" w:rsidRDefault="00794EB9" w:rsidP="00794EB9">
      <w:pPr>
        <w:pStyle w:val="TtuloPG"/>
        <w:pBdr>
          <w:top w:val="single" w:sz="4" w:space="1" w:color="auto"/>
          <w:left w:val="single" w:sz="4" w:space="4" w:color="auto"/>
          <w:bottom w:val="single" w:sz="4" w:space="1" w:color="auto"/>
          <w:right w:val="single" w:sz="4" w:space="4" w:color="auto"/>
        </w:pBdr>
        <w:rPr>
          <w:color w:val="auto"/>
          <w:sz w:val="22"/>
          <w:szCs w:val="22"/>
        </w:rPr>
      </w:pPr>
      <w:r w:rsidRPr="00794EB9">
        <w:rPr>
          <w:color w:val="auto"/>
          <w:sz w:val="22"/>
          <w:szCs w:val="22"/>
        </w:rPr>
        <w:t>I. INTRODUCCIÓN</w:t>
      </w:r>
    </w:p>
    <w:p w14:paraId="0BB6BEF7" w14:textId="77777777" w:rsidR="00794EB9" w:rsidRPr="00794EB9" w:rsidRDefault="00794EB9" w:rsidP="00794EB9">
      <w:pPr>
        <w:rPr>
          <w:rFonts w:ascii="Arial" w:hAnsi="Arial" w:cs="Arial"/>
          <w:sz w:val="22"/>
          <w:szCs w:val="22"/>
          <w:lang w:val="es-ES_tradnl"/>
        </w:rPr>
      </w:pPr>
    </w:p>
    <w:p w14:paraId="7CC8BC14" w14:textId="77777777" w:rsidR="00794EB9" w:rsidRPr="00794EB9" w:rsidRDefault="00794EB9" w:rsidP="00794EB9">
      <w:pPr>
        <w:pStyle w:val="PoromisinA"/>
        <w:tabs>
          <w:tab w:val="left" w:pos="426"/>
        </w:tabs>
        <w:ind w:hanging="2"/>
        <w:jc w:val="both"/>
        <w:rPr>
          <w:rFonts w:ascii="Arial" w:hAnsi="Arial" w:cs="Arial"/>
          <w:color w:val="auto"/>
        </w:rPr>
      </w:pPr>
      <w:r w:rsidRPr="00794EB9">
        <w:rPr>
          <w:rFonts w:ascii="Arial" w:hAnsi="Arial" w:cs="Arial"/>
          <w:color w:val="auto"/>
        </w:rPr>
        <w:t>El Programa de Gobierno Municipal de León, Guanajuato, 2021-2024, es el instrumento en el que se plasma el trabajo a realizar para este trienio por parte del Ayuntamiento y la administración pública municipal a fin de alcanzar conjuntamente la visión y objetivos a los que aspiran y requieren las y los leoneses, mediante la ejecución de proyectos y acciones concretos para lograr el desarrollo del municipio de León en los diferentes ámbitos sociales.</w:t>
      </w:r>
    </w:p>
    <w:p w14:paraId="3BE44DDE" w14:textId="77777777" w:rsidR="00794EB9" w:rsidRPr="00794EB9" w:rsidRDefault="00794EB9" w:rsidP="00794EB9">
      <w:pPr>
        <w:pStyle w:val="PoromisinA"/>
        <w:tabs>
          <w:tab w:val="left" w:pos="426"/>
        </w:tabs>
        <w:ind w:hanging="2"/>
        <w:jc w:val="both"/>
        <w:rPr>
          <w:rFonts w:ascii="Arial" w:hAnsi="Arial" w:cs="Arial"/>
          <w:color w:val="auto"/>
        </w:rPr>
      </w:pPr>
    </w:p>
    <w:p w14:paraId="408C0834" w14:textId="77777777" w:rsidR="00794EB9" w:rsidRPr="00794EB9" w:rsidRDefault="00794EB9" w:rsidP="00794EB9">
      <w:pPr>
        <w:pStyle w:val="PoromisinA"/>
        <w:tabs>
          <w:tab w:val="left" w:pos="426"/>
        </w:tabs>
        <w:ind w:hanging="2"/>
        <w:jc w:val="both"/>
        <w:rPr>
          <w:rStyle w:val="Ninguno"/>
          <w:rFonts w:ascii="Arial" w:eastAsia="Avenir Book" w:hAnsi="Arial" w:cs="Arial"/>
          <w:color w:val="auto"/>
        </w:rPr>
      </w:pPr>
      <w:r w:rsidRPr="00794EB9">
        <w:rPr>
          <w:rStyle w:val="Ninguno"/>
          <w:rFonts w:ascii="Arial" w:eastAsia="Avenir Book" w:hAnsi="Arial" w:cs="Arial"/>
          <w:color w:val="auto"/>
        </w:rPr>
        <w:t>El presente documento se encuentra elaborado con base en los Lineamientos Técnicos que deberán atender los municipios para obtener el dictamen de Alineación, Congruencia y Consistencia de los planes y programas al Plan Estatal de Desarrollo y al Sistema Estatal de Planeación, publicados en el Periódico Oficial del Estado de Guanajuato con fecha 11 de noviembre de 2021, por lo que la estructura del instrumento se desarrollará de la siguiente manera:</w:t>
      </w:r>
    </w:p>
    <w:p w14:paraId="57238277" w14:textId="77777777" w:rsidR="00794EB9" w:rsidRPr="00794EB9" w:rsidRDefault="00794EB9" w:rsidP="00794EB9">
      <w:pPr>
        <w:pStyle w:val="PoromisinA"/>
        <w:tabs>
          <w:tab w:val="left" w:pos="426"/>
        </w:tabs>
        <w:jc w:val="both"/>
        <w:rPr>
          <w:rStyle w:val="Ninguno"/>
          <w:rFonts w:ascii="Arial" w:eastAsia="Avenir Book" w:hAnsi="Arial" w:cs="Arial"/>
          <w:color w:val="auto"/>
        </w:rPr>
      </w:pPr>
    </w:p>
    <w:p w14:paraId="0850E554"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PRESENTACIÓN</w:t>
      </w:r>
      <w:r w:rsidRPr="00794EB9">
        <w:rPr>
          <w:rStyle w:val="Ninguno"/>
          <w:rFonts w:ascii="Arial" w:eastAsia="Avenir Book" w:hAnsi="Arial" w:cs="Arial"/>
          <w:color w:val="auto"/>
        </w:rPr>
        <w:tab/>
      </w:r>
    </w:p>
    <w:p w14:paraId="227A6FAE"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I. INTRODUCCIÓN</w:t>
      </w:r>
      <w:r w:rsidRPr="00794EB9">
        <w:rPr>
          <w:rStyle w:val="Ninguno"/>
          <w:rFonts w:ascii="Arial" w:eastAsia="Avenir Book" w:hAnsi="Arial" w:cs="Arial"/>
          <w:color w:val="auto"/>
        </w:rPr>
        <w:tab/>
      </w:r>
    </w:p>
    <w:p w14:paraId="4E1B2779"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II. MARCO DE REFERENCIA</w:t>
      </w:r>
      <w:r w:rsidRPr="00794EB9">
        <w:rPr>
          <w:rStyle w:val="Ninguno"/>
          <w:rFonts w:ascii="Arial" w:eastAsia="Avenir Book" w:hAnsi="Arial" w:cs="Arial"/>
          <w:color w:val="auto"/>
        </w:rPr>
        <w:tab/>
      </w:r>
    </w:p>
    <w:p w14:paraId="02C62ED1"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III. FILOSOFÍA DE LA ADMINISTRACIÓN MUNICIPAL</w:t>
      </w:r>
      <w:r w:rsidRPr="00794EB9">
        <w:rPr>
          <w:rStyle w:val="Ninguno"/>
          <w:rFonts w:ascii="Arial" w:eastAsia="Avenir Book" w:hAnsi="Arial" w:cs="Arial"/>
          <w:color w:val="auto"/>
        </w:rPr>
        <w:tab/>
      </w:r>
    </w:p>
    <w:p w14:paraId="07FEC3F2"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IV. DIAGNÓSTICO</w:t>
      </w:r>
    </w:p>
    <w:p w14:paraId="53AFE159"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 xml:space="preserve">V. PLANTEAMIENTO ESTRATÉGICO </w:t>
      </w:r>
      <w:r w:rsidRPr="00794EB9">
        <w:rPr>
          <w:rStyle w:val="Ninguno"/>
          <w:rFonts w:ascii="Arial" w:eastAsia="Avenir Book" w:hAnsi="Arial" w:cs="Arial"/>
          <w:color w:val="auto"/>
        </w:rPr>
        <w:tab/>
      </w:r>
    </w:p>
    <w:p w14:paraId="1D64FA47"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VI. PROGRAMAS, PROYECTOS Y ACCIONES</w:t>
      </w:r>
      <w:r w:rsidRPr="00794EB9">
        <w:rPr>
          <w:rStyle w:val="Ninguno"/>
          <w:rFonts w:ascii="Arial" w:eastAsia="Avenir Book" w:hAnsi="Arial" w:cs="Arial"/>
          <w:color w:val="auto"/>
        </w:rPr>
        <w:tab/>
      </w:r>
    </w:p>
    <w:p w14:paraId="45E23003"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VII. INDICADORES Y METAS</w:t>
      </w:r>
      <w:r w:rsidRPr="00794EB9">
        <w:rPr>
          <w:rStyle w:val="Ninguno"/>
          <w:rFonts w:ascii="Arial" w:eastAsia="Avenir Book" w:hAnsi="Arial" w:cs="Arial"/>
          <w:color w:val="auto"/>
        </w:rPr>
        <w:tab/>
      </w:r>
    </w:p>
    <w:p w14:paraId="1158C21A"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VIII. LINEAMIENTOS PARA LA EJECUCIÓN, EL SEGUIMIENTO Y LA EVALUACIÓN</w:t>
      </w:r>
    </w:p>
    <w:p w14:paraId="151B1F36"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IX. REFERENCIAS CONSULTADAS</w:t>
      </w:r>
    </w:p>
    <w:p w14:paraId="4C892432" w14:textId="77777777" w:rsidR="00794EB9" w:rsidRPr="00794EB9" w:rsidRDefault="00794EB9" w:rsidP="00794EB9">
      <w:pPr>
        <w:pStyle w:val="PoromisinA"/>
        <w:tabs>
          <w:tab w:val="left" w:pos="426"/>
        </w:tabs>
        <w:jc w:val="both"/>
        <w:rPr>
          <w:rStyle w:val="Ninguno"/>
          <w:rFonts w:ascii="Arial" w:eastAsia="Avenir Book" w:hAnsi="Arial" w:cs="Arial"/>
          <w:color w:val="auto"/>
        </w:rPr>
      </w:pPr>
    </w:p>
    <w:p w14:paraId="443E7A3D"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ANEXO 1. ALINEACIÓN DEL PLANTEAMIENTO ESTRATÉGICO GENERAL DEL PROGRAMA DE GOBIERNO MUNICIPAL DE LEÓN 2021-2024 CON LOS OBJETIVOS Y ESTRATEGIAS DE INSTRUMENTOS SUPERIORES DE PLANEACIÓN</w:t>
      </w:r>
    </w:p>
    <w:p w14:paraId="2BE45B77" w14:textId="77777777" w:rsidR="00794EB9" w:rsidRPr="00794EB9" w:rsidRDefault="00794EB9" w:rsidP="00794EB9">
      <w:pPr>
        <w:pStyle w:val="PoromisinA"/>
        <w:tabs>
          <w:tab w:val="left" w:pos="426"/>
        </w:tabs>
        <w:jc w:val="both"/>
        <w:rPr>
          <w:rStyle w:val="Ninguno"/>
          <w:rFonts w:ascii="Arial" w:eastAsia="Avenir Book" w:hAnsi="Arial" w:cs="Arial"/>
          <w:color w:val="auto"/>
        </w:rPr>
      </w:pPr>
    </w:p>
    <w:p w14:paraId="7295ADE2" w14:textId="77777777" w:rsidR="00794EB9" w:rsidRPr="00794EB9" w:rsidRDefault="00794EB9" w:rsidP="00794EB9">
      <w:pPr>
        <w:pStyle w:val="PoromisinA"/>
        <w:tabs>
          <w:tab w:val="left" w:pos="426"/>
        </w:tabs>
        <w:ind w:hanging="2"/>
        <w:jc w:val="both"/>
        <w:rPr>
          <w:rStyle w:val="Ninguno"/>
          <w:rFonts w:ascii="Arial" w:eastAsia="Avenir Book" w:hAnsi="Arial" w:cs="Arial"/>
          <w:color w:val="auto"/>
        </w:rPr>
      </w:pPr>
      <w:r w:rsidRPr="00794EB9">
        <w:rPr>
          <w:rStyle w:val="Ninguno"/>
          <w:rFonts w:ascii="Arial" w:eastAsia="Avenir Book" w:hAnsi="Arial" w:cs="Arial"/>
          <w:color w:val="auto"/>
        </w:rPr>
        <w:t>En el Marco de Referencia, se enuncian los instrumentos legales y de planeación federales, estatales y municipales que fundamentan la elaboración del presente Programa de Gobierno Municipal 2021- 2024.</w:t>
      </w:r>
    </w:p>
    <w:p w14:paraId="733CA624" w14:textId="77777777" w:rsidR="00794EB9" w:rsidRPr="00794EB9" w:rsidRDefault="00794EB9" w:rsidP="00794EB9">
      <w:pPr>
        <w:pStyle w:val="PoromisinA"/>
        <w:tabs>
          <w:tab w:val="left" w:pos="426"/>
        </w:tabs>
        <w:ind w:hanging="2"/>
        <w:jc w:val="both"/>
        <w:rPr>
          <w:rStyle w:val="Ninguno"/>
          <w:rFonts w:ascii="Arial" w:eastAsia="Avenir Book" w:hAnsi="Arial" w:cs="Arial"/>
          <w:color w:val="auto"/>
        </w:rPr>
      </w:pPr>
    </w:p>
    <w:p w14:paraId="78BEBAC5"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La visión, misión y los valores de la administración pública municipal, se describen en el capítulo III de Filosofía de la Administración Municipal. Con ellos se establece la perspectiva y el rumbo del desarrollo municipal proyectado en los próximos tres años.</w:t>
      </w:r>
    </w:p>
    <w:p w14:paraId="481015F8" w14:textId="77777777" w:rsidR="00794EB9" w:rsidRPr="00794EB9" w:rsidRDefault="00794EB9" w:rsidP="00794EB9">
      <w:pPr>
        <w:pStyle w:val="PoromisinA"/>
        <w:tabs>
          <w:tab w:val="left" w:pos="426"/>
        </w:tabs>
        <w:jc w:val="both"/>
        <w:rPr>
          <w:rStyle w:val="Ninguno"/>
          <w:rFonts w:ascii="Arial" w:eastAsia="Avenir Book" w:hAnsi="Arial" w:cs="Arial"/>
          <w:color w:val="auto"/>
        </w:rPr>
      </w:pPr>
    </w:p>
    <w:p w14:paraId="2C27B56B"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 xml:space="preserve">El Diagnóstico, en alineación con el Plan Municipal de Desarrollo, León hacia el futuro. Visión 2045 (en adelante PMD 2045) y en consecuencia con el Plan Estatal de Desarrollo. Guanajuato 2040, se realizó como resultado de un ejercicio de escucha ciudadana, sin precedente. </w:t>
      </w:r>
    </w:p>
    <w:p w14:paraId="0A679A0C" w14:textId="77777777" w:rsidR="00794EB9" w:rsidRPr="00794EB9" w:rsidRDefault="00794EB9" w:rsidP="00794EB9">
      <w:pPr>
        <w:pStyle w:val="PoromisinA"/>
        <w:tabs>
          <w:tab w:val="left" w:pos="426"/>
        </w:tabs>
        <w:jc w:val="both"/>
        <w:rPr>
          <w:rStyle w:val="Ninguno"/>
          <w:rFonts w:ascii="Arial" w:eastAsia="Avenir Book" w:hAnsi="Arial" w:cs="Arial"/>
          <w:color w:val="auto"/>
        </w:rPr>
      </w:pPr>
    </w:p>
    <w:p w14:paraId="438D7F79"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 xml:space="preserve">El planteamiento estratégico se implementó con la aplicación de la Metodología del Marco Lógico. A partir de las banderas Vivir Tranquilo, Vivir Sano y Vivir Mejor, se estableció una problemática central, identificando sus causas y efectos; para su desarrollo se procedió a abordar la problemática central de cada una de las dimensiones a trabajar, en correspondencia con las banderas centrales del programa de gobierno. </w:t>
      </w:r>
    </w:p>
    <w:p w14:paraId="266018E1" w14:textId="77777777" w:rsidR="00794EB9" w:rsidRPr="00794EB9" w:rsidRDefault="00794EB9" w:rsidP="00794EB9">
      <w:pPr>
        <w:pStyle w:val="PoromisinA"/>
        <w:tabs>
          <w:tab w:val="left" w:pos="426"/>
        </w:tabs>
        <w:jc w:val="both"/>
        <w:rPr>
          <w:rStyle w:val="Ninguno"/>
          <w:rFonts w:ascii="Arial" w:eastAsia="Avenir Book" w:hAnsi="Arial" w:cs="Arial"/>
          <w:color w:val="auto"/>
        </w:rPr>
      </w:pPr>
    </w:p>
    <w:p w14:paraId="4FA733FF"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En el capítulo VI de programas, proyectos y acciones, se fijan los objetivos, proyectos y acciones en los cuales la administración pública municipal estará enfocada para ejecutar dentro de su periodo de gestión.</w:t>
      </w:r>
    </w:p>
    <w:p w14:paraId="5C82A9AF" w14:textId="77777777" w:rsidR="00794EB9" w:rsidRPr="00794EB9" w:rsidRDefault="00794EB9" w:rsidP="00794EB9">
      <w:pPr>
        <w:pStyle w:val="PoromisinA"/>
        <w:tabs>
          <w:tab w:val="left" w:pos="426"/>
        </w:tabs>
        <w:jc w:val="both"/>
        <w:rPr>
          <w:rStyle w:val="Ninguno"/>
          <w:rFonts w:ascii="Arial" w:eastAsia="Avenir Book" w:hAnsi="Arial" w:cs="Arial"/>
          <w:color w:val="auto"/>
        </w:rPr>
      </w:pPr>
    </w:p>
    <w:p w14:paraId="1BB47592"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 xml:space="preserve">Los indicadores y metas se construyeron con la Metodología del Marco Lógico a través de una matriz de indicadores general y las fichas técnicas correspondientes, que permitirá a las dependencias y entidades del municipio ejercer el Presupuesto basado en Resultados (PbR). </w:t>
      </w:r>
    </w:p>
    <w:p w14:paraId="750F1117" w14:textId="77777777" w:rsidR="00794EB9" w:rsidRPr="00794EB9" w:rsidRDefault="00794EB9" w:rsidP="00794EB9">
      <w:pPr>
        <w:pStyle w:val="PoromisinA"/>
        <w:tabs>
          <w:tab w:val="left" w:pos="426"/>
        </w:tabs>
        <w:jc w:val="both"/>
        <w:rPr>
          <w:rStyle w:val="Ninguno"/>
          <w:rFonts w:ascii="Arial" w:eastAsia="Avenir Book" w:hAnsi="Arial" w:cs="Arial"/>
          <w:color w:val="auto"/>
        </w:rPr>
      </w:pPr>
    </w:p>
    <w:p w14:paraId="5E0FA241"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 xml:space="preserve">El último capítulo establece los lineamientos generales para la instrumentación, seguimiento y evaluación, a partir de los cuales, las dependencias y entidades de la administración pública municipal deberán establecer sus Programas Operativos Anuales (POA). Además, se describe el Modelo Aliada que permitirá medir el impacto social de acciones específicas, para valorar el efecto de las mismas en la población leonesa. </w:t>
      </w:r>
    </w:p>
    <w:p w14:paraId="18D07E0B" w14:textId="77777777" w:rsidR="00794EB9" w:rsidRPr="00794EB9" w:rsidRDefault="00794EB9" w:rsidP="00794EB9">
      <w:pPr>
        <w:pStyle w:val="TtuloPG"/>
        <w:rPr>
          <w:color w:val="auto"/>
          <w:sz w:val="22"/>
          <w:szCs w:val="22"/>
          <w:lang w:val="es-ES_tradnl"/>
        </w:rPr>
      </w:pPr>
    </w:p>
    <w:p w14:paraId="11802B17" w14:textId="77777777" w:rsidR="00794EB9" w:rsidRPr="00794EB9" w:rsidRDefault="00794EB9" w:rsidP="00794EB9">
      <w:pPr>
        <w:pStyle w:val="TtuloPG"/>
        <w:pBdr>
          <w:top w:val="single" w:sz="4" w:space="1" w:color="auto"/>
          <w:left w:val="single" w:sz="4" w:space="4" w:color="auto"/>
          <w:bottom w:val="single" w:sz="4" w:space="1" w:color="auto"/>
          <w:right w:val="single" w:sz="4" w:space="4" w:color="auto"/>
        </w:pBdr>
        <w:rPr>
          <w:color w:val="auto"/>
          <w:sz w:val="22"/>
          <w:szCs w:val="22"/>
        </w:rPr>
      </w:pPr>
      <w:r w:rsidRPr="00794EB9">
        <w:rPr>
          <w:color w:val="auto"/>
          <w:sz w:val="22"/>
          <w:szCs w:val="22"/>
        </w:rPr>
        <w:t>II. MARCO DE REFERENCIA</w:t>
      </w:r>
    </w:p>
    <w:p w14:paraId="7D01C294" w14:textId="77777777" w:rsidR="00794EB9" w:rsidRPr="00794EB9" w:rsidRDefault="00794EB9" w:rsidP="00794EB9">
      <w:pPr>
        <w:ind w:hanging="2"/>
        <w:rPr>
          <w:rFonts w:ascii="Arial" w:hAnsi="Arial" w:cs="Arial"/>
          <w:sz w:val="22"/>
          <w:szCs w:val="22"/>
        </w:rPr>
      </w:pPr>
    </w:p>
    <w:p w14:paraId="4792B4EE" w14:textId="77777777" w:rsidR="00794EB9" w:rsidRPr="00794EB9" w:rsidRDefault="00794EB9" w:rsidP="00794EB9">
      <w:pPr>
        <w:pStyle w:val="TtuloPG2"/>
        <w:ind w:left="0"/>
        <w:rPr>
          <w:color w:val="auto"/>
          <w:sz w:val="22"/>
          <w:szCs w:val="22"/>
        </w:rPr>
      </w:pPr>
      <w:r w:rsidRPr="00794EB9">
        <w:rPr>
          <w:color w:val="auto"/>
          <w:sz w:val="22"/>
          <w:szCs w:val="22"/>
        </w:rPr>
        <w:t xml:space="preserve">MARCO JURÍDICO </w:t>
      </w:r>
    </w:p>
    <w:p w14:paraId="6233F064" w14:textId="77777777" w:rsidR="00794EB9" w:rsidRPr="00794EB9" w:rsidRDefault="00794EB9" w:rsidP="00794EB9">
      <w:pPr>
        <w:ind w:hanging="2"/>
        <w:jc w:val="both"/>
        <w:rPr>
          <w:rFonts w:ascii="Arial" w:hAnsi="Arial" w:cs="Arial"/>
          <w:sz w:val="22"/>
          <w:szCs w:val="22"/>
        </w:rPr>
      </w:pPr>
    </w:p>
    <w:p w14:paraId="7D9A15AD" w14:textId="77777777" w:rsidR="00794EB9" w:rsidRPr="00794EB9" w:rsidRDefault="00794EB9" w:rsidP="00794EB9">
      <w:pPr>
        <w:pStyle w:val="Default"/>
        <w:jc w:val="both"/>
        <w:rPr>
          <w:rFonts w:ascii="Arial" w:hAnsi="Arial" w:cs="Arial"/>
          <w:b/>
          <w:color w:val="auto"/>
          <w:sz w:val="22"/>
          <w:szCs w:val="22"/>
          <w:u w:val="single"/>
        </w:rPr>
      </w:pPr>
      <w:r w:rsidRPr="00794EB9">
        <w:rPr>
          <w:rFonts w:ascii="Arial" w:hAnsi="Arial" w:cs="Arial"/>
          <w:b/>
          <w:color w:val="auto"/>
          <w:sz w:val="22"/>
          <w:szCs w:val="22"/>
          <w:u w:val="single"/>
        </w:rPr>
        <w:t xml:space="preserve">Federal </w:t>
      </w:r>
    </w:p>
    <w:p w14:paraId="1B3E7686" w14:textId="77777777" w:rsidR="00794EB9" w:rsidRPr="00794EB9" w:rsidRDefault="00794EB9" w:rsidP="00794EB9">
      <w:pPr>
        <w:pStyle w:val="Default"/>
        <w:jc w:val="both"/>
        <w:rPr>
          <w:rFonts w:ascii="Arial" w:hAnsi="Arial" w:cs="Arial"/>
          <w:color w:val="auto"/>
          <w:sz w:val="22"/>
          <w:szCs w:val="22"/>
        </w:rPr>
      </w:pPr>
    </w:p>
    <w:p w14:paraId="4655C314" w14:textId="77777777" w:rsidR="00794EB9" w:rsidRPr="00794EB9" w:rsidRDefault="00794EB9" w:rsidP="00794EB9">
      <w:pPr>
        <w:pStyle w:val="Default"/>
        <w:jc w:val="both"/>
        <w:rPr>
          <w:rFonts w:ascii="Arial" w:hAnsi="Arial" w:cs="Arial"/>
          <w:color w:val="auto"/>
          <w:sz w:val="22"/>
          <w:szCs w:val="22"/>
        </w:rPr>
      </w:pPr>
      <w:r w:rsidRPr="00794EB9">
        <w:rPr>
          <w:rFonts w:ascii="Arial" w:hAnsi="Arial" w:cs="Arial"/>
          <w:color w:val="auto"/>
          <w:sz w:val="22"/>
          <w:szCs w:val="22"/>
        </w:rPr>
        <w:t xml:space="preserve">El Programa de Gobierno 2021 – 2024 está fundamentado a nivel federal en lo establecido en el </w:t>
      </w:r>
      <w:r w:rsidRPr="00794EB9">
        <w:rPr>
          <w:rFonts w:ascii="Arial" w:hAnsi="Arial" w:cs="Arial"/>
          <w:b/>
          <w:color w:val="auto"/>
          <w:sz w:val="22"/>
          <w:szCs w:val="22"/>
        </w:rPr>
        <w:t>artículo 26 de la Constitución Política de los Estados Unidos Mexicanos</w:t>
      </w:r>
      <w:r w:rsidRPr="00794EB9">
        <w:rPr>
          <w:rFonts w:ascii="Arial" w:hAnsi="Arial" w:cs="Arial"/>
          <w:color w:val="auto"/>
          <w:sz w:val="22"/>
          <w:szCs w:val="22"/>
        </w:rPr>
        <w:t xml:space="preserve">, el cual refiere a la organización de un sistema de planeación democrática, así como, los </w:t>
      </w:r>
      <w:r w:rsidRPr="00794EB9">
        <w:rPr>
          <w:rFonts w:ascii="Arial" w:hAnsi="Arial" w:cs="Arial"/>
          <w:b/>
          <w:color w:val="auto"/>
          <w:sz w:val="22"/>
          <w:szCs w:val="22"/>
        </w:rPr>
        <w:t xml:space="preserve">artículos 2 y 20 de la Ley de Planeación </w:t>
      </w:r>
      <w:r w:rsidRPr="00794EB9">
        <w:rPr>
          <w:rFonts w:ascii="Arial" w:hAnsi="Arial" w:cs="Arial"/>
          <w:color w:val="auto"/>
          <w:sz w:val="22"/>
          <w:szCs w:val="22"/>
        </w:rPr>
        <w:t>Federal.</w:t>
      </w:r>
    </w:p>
    <w:p w14:paraId="6329AC48" w14:textId="77777777" w:rsidR="00794EB9" w:rsidRPr="00794EB9" w:rsidRDefault="00794EB9" w:rsidP="00794EB9">
      <w:pPr>
        <w:pStyle w:val="Default"/>
        <w:jc w:val="both"/>
        <w:rPr>
          <w:rFonts w:ascii="Arial" w:hAnsi="Arial" w:cs="Arial"/>
          <w:b/>
          <w:bCs/>
          <w:color w:val="auto"/>
          <w:sz w:val="22"/>
          <w:szCs w:val="22"/>
        </w:rPr>
      </w:pPr>
    </w:p>
    <w:p w14:paraId="50C33413" w14:textId="77777777" w:rsidR="00794EB9" w:rsidRPr="00794EB9" w:rsidRDefault="00794EB9" w:rsidP="00794EB9">
      <w:pPr>
        <w:ind w:left="2" w:hanging="2"/>
        <w:jc w:val="both"/>
        <w:rPr>
          <w:rFonts w:ascii="Arial" w:hAnsi="Arial" w:cs="Arial"/>
          <w:b/>
          <w:i/>
          <w:sz w:val="22"/>
          <w:szCs w:val="22"/>
        </w:rPr>
      </w:pPr>
      <w:r w:rsidRPr="00794EB9">
        <w:rPr>
          <w:rFonts w:ascii="Arial" w:hAnsi="Arial" w:cs="Arial"/>
          <w:b/>
          <w:i/>
          <w:sz w:val="22"/>
          <w:szCs w:val="22"/>
        </w:rPr>
        <w:t xml:space="preserve">Ley de Planeación </w:t>
      </w:r>
    </w:p>
    <w:p w14:paraId="6BB1A8A6" w14:textId="77777777" w:rsidR="00794EB9" w:rsidRPr="00794EB9" w:rsidRDefault="00794EB9" w:rsidP="00794EB9">
      <w:pPr>
        <w:pStyle w:val="Default"/>
        <w:jc w:val="both"/>
        <w:rPr>
          <w:rFonts w:ascii="Arial" w:hAnsi="Arial" w:cs="Arial"/>
          <w:color w:val="auto"/>
          <w:sz w:val="22"/>
          <w:szCs w:val="22"/>
        </w:rPr>
      </w:pPr>
    </w:p>
    <w:p w14:paraId="199FC9CA" w14:textId="77777777" w:rsidR="00794EB9" w:rsidRPr="00794EB9" w:rsidRDefault="00794EB9" w:rsidP="00794EB9">
      <w:pPr>
        <w:ind w:left="2" w:hanging="2"/>
        <w:jc w:val="both"/>
        <w:rPr>
          <w:rFonts w:ascii="Arial" w:hAnsi="Arial" w:cs="Arial"/>
          <w:b/>
          <w:i/>
          <w:sz w:val="22"/>
          <w:szCs w:val="22"/>
        </w:rPr>
      </w:pPr>
      <w:r w:rsidRPr="00794EB9">
        <w:rPr>
          <w:rFonts w:ascii="Arial" w:hAnsi="Arial" w:cs="Arial"/>
          <w:b/>
          <w:i/>
          <w:sz w:val="22"/>
          <w:szCs w:val="22"/>
        </w:rPr>
        <w:t>Artículo 2</w:t>
      </w:r>
    </w:p>
    <w:p w14:paraId="220D0A00" w14:textId="77777777" w:rsidR="00794EB9" w:rsidRPr="00794EB9" w:rsidRDefault="00794EB9" w:rsidP="00794EB9">
      <w:pPr>
        <w:pStyle w:val="Default"/>
        <w:jc w:val="both"/>
        <w:rPr>
          <w:rFonts w:ascii="Arial" w:hAnsi="Arial" w:cs="Arial"/>
          <w:color w:val="auto"/>
          <w:sz w:val="22"/>
          <w:szCs w:val="22"/>
        </w:rPr>
      </w:pPr>
      <w:r w:rsidRPr="00794EB9">
        <w:rPr>
          <w:rFonts w:ascii="Arial" w:hAnsi="Arial" w:cs="Arial"/>
          <w:color w:val="auto"/>
          <w:sz w:val="22"/>
          <w:szCs w:val="22"/>
        </w:rPr>
        <w:t>La planeación deberá llevarse a cabo como un medio para el eficaz desempeño de la responsabilidad del Estado sobre el desarrollo equitativo, incluyente, integral, sustentable y sostenible del país, con perspectiva de interculturalidad y de género, y deberá tender a la consecución de los fines y objetivos políticos, sociales, culturales, ambientales y económicos contenidos en la Constitución Política de los Estados Unidos Mexicanos […]</w:t>
      </w:r>
    </w:p>
    <w:p w14:paraId="69455DA4" w14:textId="77777777" w:rsidR="00794EB9" w:rsidRPr="00794EB9" w:rsidRDefault="00794EB9" w:rsidP="00794EB9">
      <w:pPr>
        <w:pStyle w:val="Default"/>
        <w:jc w:val="both"/>
        <w:rPr>
          <w:rFonts w:ascii="Arial" w:hAnsi="Arial" w:cs="Arial"/>
          <w:color w:val="auto"/>
          <w:sz w:val="22"/>
          <w:szCs w:val="22"/>
        </w:rPr>
      </w:pPr>
    </w:p>
    <w:p w14:paraId="25264CE6" w14:textId="77777777" w:rsidR="00794EB9" w:rsidRPr="00794EB9" w:rsidRDefault="00794EB9" w:rsidP="00794EB9">
      <w:pPr>
        <w:ind w:left="2" w:hanging="2"/>
        <w:jc w:val="both"/>
        <w:rPr>
          <w:rFonts w:ascii="Arial" w:hAnsi="Arial" w:cs="Arial"/>
          <w:b/>
          <w:i/>
          <w:sz w:val="22"/>
          <w:szCs w:val="22"/>
        </w:rPr>
      </w:pPr>
      <w:r w:rsidRPr="00794EB9">
        <w:rPr>
          <w:rFonts w:ascii="Arial" w:hAnsi="Arial" w:cs="Arial"/>
          <w:b/>
          <w:i/>
          <w:sz w:val="22"/>
          <w:szCs w:val="22"/>
        </w:rPr>
        <w:t>Artículo 20</w:t>
      </w:r>
    </w:p>
    <w:p w14:paraId="4960D1BF" w14:textId="77777777" w:rsidR="00794EB9" w:rsidRPr="00794EB9" w:rsidRDefault="00794EB9" w:rsidP="00794EB9">
      <w:pPr>
        <w:pStyle w:val="Default"/>
        <w:jc w:val="both"/>
        <w:rPr>
          <w:rFonts w:ascii="Arial" w:hAnsi="Arial" w:cs="Arial"/>
          <w:color w:val="auto"/>
          <w:sz w:val="22"/>
          <w:szCs w:val="22"/>
        </w:rPr>
      </w:pPr>
      <w:r w:rsidRPr="00794EB9">
        <w:rPr>
          <w:rFonts w:ascii="Arial" w:hAnsi="Arial" w:cs="Arial"/>
          <w:color w:val="auto"/>
          <w:sz w:val="22"/>
          <w:szCs w:val="22"/>
        </w:rPr>
        <w:t>En el ámbito del Sistema Nacional de Planeación Democrática tendrá lugar la participación y consulta de los diversos grupos sociales, con el propósito de que la población exprese sus opiniones para la elaboración, actualización y ejecución del plan y los programas a que se refiere esta Ley […]</w:t>
      </w:r>
    </w:p>
    <w:p w14:paraId="225B5D16" w14:textId="77777777" w:rsidR="00794EB9" w:rsidRPr="00794EB9" w:rsidRDefault="00794EB9" w:rsidP="00794EB9">
      <w:pPr>
        <w:jc w:val="both"/>
        <w:rPr>
          <w:rFonts w:ascii="Arial" w:hAnsi="Arial" w:cs="Arial"/>
          <w:sz w:val="22"/>
          <w:szCs w:val="22"/>
        </w:rPr>
      </w:pPr>
    </w:p>
    <w:p w14:paraId="260EE086" w14:textId="77777777" w:rsidR="00794EB9" w:rsidRPr="00794EB9" w:rsidRDefault="00794EB9" w:rsidP="00794EB9">
      <w:pPr>
        <w:jc w:val="both"/>
        <w:rPr>
          <w:rFonts w:ascii="Arial" w:hAnsi="Arial" w:cs="Arial"/>
          <w:sz w:val="22"/>
          <w:szCs w:val="22"/>
        </w:rPr>
      </w:pPr>
    </w:p>
    <w:p w14:paraId="2D63F7F5" w14:textId="77777777" w:rsidR="0024523C" w:rsidRDefault="0024523C" w:rsidP="00794EB9">
      <w:pPr>
        <w:jc w:val="both"/>
        <w:rPr>
          <w:rFonts w:ascii="Arial" w:hAnsi="Arial" w:cs="Arial"/>
          <w:b/>
          <w:sz w:val="22"/>
          <w:szCs w:val="22"/>
          <w:u w:val="single"/>
          <w:lang w:eastAsia="es-MX"/>
        </w:rPr>
      </w:pPr>
    </w:p>
    <w:p w14:paraId="6F2C35A9" w14:textId="77777777" w:rsidR="0024523C" w:rsidRDefault="0024523C" w:rsidP="00794EB9">
      <w:pPr>
        <w:jc w:val="both"/>
        <w:rPr>
          <w:rFonts w:ascii="Arial" w:hAnsi="Arial" w:cs="Arial"/>
          <w:b/>
          <w:sz w:val="22"/>
          <w:szCs w:val="22"/>
          <w:u w:val="single"/>
          <w:lang w:eastAsia="es-MX"/>
        </w:rPr>
      </w:pPr>
    </w:p>
    <w:p w14:paraId="23C82BC1" w14:textId="77777777" w:rsidR="00794EB9" w:rsidRPr="00794EB9" w:rsidRDefault="00794EB9" w:rsidP="00794EB9">
      <w:pPr>
        <w:jc w:val="both"/>
        <w:rPr>
          <w:rFonts w:ascii="Arial" w:hAnsi="Arial" w:cs="Arial"/>
          <w:sz w:val="22"/>
          <w:szCs w:val="22"/>
        </w:rPr>
      </w:pPr>
      <w:r w:rsidRPr="00794EB9">
        <w:rPr>
          <w:rFonts w:ascii="Arial" w:hAnsi="Arial" w:cs="Arial"/>
          <w:b/>
          <w:sz w:val="22"/>
          <w:szCs w:val="22"/>
          <w:u w:val="single"/>
          <w:lang w:eastAsia="es-MX"/>
        </w:rPr>
        <w:lastRenderedPageBreak/>
        <w:t xml:space="preserve">Estatal </w:t>
      </w:r>
    </w:p>
    <w:p w14:paraId="514351FF" w14:textId="77777777" w:rsidR="00794EB9" w:rsidRPr="00794EB9" w:rsidRDefault="00794EB9" w:rsidP="00794EB9">
      <w:pPr>
        <w:jc w:val="both"/>
        <w:rPr>
          <w:rFonts w:ascii="Arial" w:hAnsi="Arial" w:cs="Arial"/>
          <w:sz w:val="22"/>
          <w:szCs w:val="22"/>
        </w:rPr>
      </w:pPr>
    </w:p>
    <w:p w14:paraId="1EAD770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En relación al marco jurídico estatal, éste se fundamenta en el </w:t>
      </w:r>
      <w:r w:rsidRPr="00794EB9">
        <w:rPr>
          <w:rFonts w:ascii="Arial" w:hAnsi="Arial" w:cs="Arial"/>
          <w:b/>
          <w:sz w:val="22"/>
          <w:szCs w:val="22"/>
        </w:rPr>
        <w:t xml:space="preserve">artículo 14 inciso A de la Constitución Política para el Estado de Guanajuato, </w:t>
      </w:r>
      <w:r w:rsidRPr="00794EB9">
        <w:rPr>
          <w:rFonts w:ascii="Arial" w:hAnsi="Arial" w:cs="Arial"/>
          <w:sz w:val="22"/>
          <w:szCs w:val="22"/>
        </w:rPr>
        <w:t>en el cual se menciona que el Estado organizará un Sistema de Planeación Democrática del Desarrollo de la Entidad, mediante la participación de los Sectores Público, Privado y Social [...]</w:t>
      </w:r>
    </w:p>
    <w:p w14:paraId="7FBC4E1C" w14:textId="77777777" w:rsidR="00794EB9" w:rsidRPr="00794EB9" w:rsidRDefault="00794EB9" w:rsidP="00794EB9">
      <w:pPr>
        <w:ind w:hanging="2"/>
        <w:jc w:val="both"/>
        <w:rPr>
          <w:rFonts w:ascii="Arial" w:hAnsi="Arial" w:cs="Arial"/>
          <w:sz w:val="22"/>
          <w:szCs w:val="22"/>
        </w:rPr>
      </w:pPr>
    </w:p>
    <w:p w14:paraId="760D911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Por otro lado, se fundamenta en los </w:t>
      </w:r>
      <w:r w:rsidRPr="00794EB9">
        <w:rPr>
          <w:rFonts w:ascii="Arial" w:hAnsi="Arial" w:cs="Arial"/>
          <w:b/>
          <w:sz w:val="22"/>
          <w:szCs w:val="22"/>
        </w:rPr>
        <w:t>artículos 99, 102, 103, 105 y 107 de la Ley Orgánica Municipal para el Estado de Guanajuato</w:t>
      </w:r>
      <w:r w:rsidRPr="00794EB9">
        <w:rPr>
          <w:rFonts w:ascii="Arial" w:hAnsi="Arial" w:cs="Arial"/>
          <w:sz w:val="22"/>
          <w:szCs w:val="22"/>
        </w:rPr>
        <w:t xml:space="preserve">, que hacen referencia a la responsabilidad de su elaboración, así como al contenido, comunicación con la ciudadanía, presupuestación y ejecución de este instrumento. </w:t>
      </w:r>
    </w:p>
    <w:p w14:paraId="01830DA0" w14:textId="77777777" w:rsidR="00794EB9" w:rsidRPr="00794EB9" w:rsidRDefault="00794EB9" w:rsidP="00794EB9">
      <w:pPr>
        <w:ind w:hanging="2"/>
        <w:jc w:val="both"/>
        <w:rPr>
          <w:rFonts w:ascii="Arial" w:hAnsi="Arial" w:cs="Arial"/>
          <w:sz w:val="22"/>
          <w:szCs w:val="22"/>
        </w:rPr>
      </w:pPr>
    </w:p>
    <w:p w14:paraId="1BAE5B84"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 xml:space="preserve">Instrumentos de planeación de desarrollo </w:t>
      </w:r>
    </w:p>
    <w:p w14:paraId="0AF986C3"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Artículo 99</w:t>
      </w:r>
    </w:p>
    <w:p w14:paraId="21B3A179" w14:textId="77777777" w:rsidR="00794EB9" w:rsidRPr="00794EB9" w:rsidRDefault="00794EB9" w:rsidP="00794EB9">
      <w:pPr>
        <w:ind w:left="2" w:hanging="2"/>
        <w:jc w:val="both"/>
        <w:rPr>
          <w:rFonts w:ascii="Arial" w:hAnsi="Arial" w:cs="Arial"/>
          <w:sz w:val="22"/>
          <w:szCs w:val="22"/>
        </w:rPr>
      </w:pPr>
      <w:r w:rsidRPr="00794EB9">
        <w:rPr>
          <w:rFonts w:ascii="Arial" w:hAnsi="Arial" w:cs="Arial"/>
          <w:sz w:val="22"/>
          <w:szCs w:val="22"/>
        </w:rPr>
        <w:t>Los municipios contarán con un Plan Municipal de Desarrollo y los siguientes instrumentos vinculados al mismo:</w:t>
      </w:r>
    </w:p>
    <w:p w14:paraId="03466AC0" w14:textId="77777777" w:rsidR="00794EB9" w:rsidRPr="00794EB9" w:rsidRDefault="00794EB9" w:rsidP="00794EB9">
      <w:pPr>
        <w:ind w:left="2" w:hanging="2"/>
        <w:jc w:val="both"/>
        <w:rPr>
          <w:rFonts w:ascii="Arial" w:hAnsi="Arial" w:cs="Arial"/>
          <w:sz w:val="22"/>
          <w:szCs w:val="22"/>
        </w:rPr>
      </w:pPr>
    </w:p>
    <w:p w14:paraId="3F7A0408" w14:textId="77777777" w:rsidR="00794EB9" w:rsidRPr="00794EB9" w:rsidRDefault="00794EB9" w:rsidP="0018463D">
      <w:pPr>
        <w:pStyle w:val="Prrafodelista"/>
        <w:numPr>
          <w:ilvl w:val="0"/>
          <w:numId w:val="2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Programa municipal de desarrollo urbano y de ordenamiento ecológico territorial.</w:t>
      </w:r>
    </w:p>
    <w:p w14:paraId="46F9728C" w14:textId="77777777" w:rsidR="00794EB9" w:rsidRPr="00794EB9" w:rsidRDefault="00794EB9" w:rsidP="0018463D">
      <w:pPr>
        <w:pStyle w:val="Prrafodelista"/>
        <w:numPr>
          <w:ilvl w:val="0"/>
          <w:numId w:val="2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Programa de Gobierno Municipal y los programas derivados del mismo.</w:t>
      </w:r>
    </w:p>
    <w:p w14:paraId="6AAC5087" w14:textId="77777777" w:rsidR="00794EB9" w:rsidRPr="00794EB9" w:rsidRDefault="00794EB9" w:rsidP="00794EB9">
      <w:pPr>
        <w:ind w:hanging="2"/>
        <w:jc w:val="both"/>
        <w:rPr>
          <w:rFonts w:ascii="Arial" w:hAnsi="Arial" w:cs="Arial"/>
          <w:sz w:val="22"/>
          <w:szCs w:val="22"/>
        </w:rPr>
      </w:pPr>
    </w:p>
    <w:p w14:paraId="6F9A4BEB"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 xml:space="preserve">Contenido del Programa de Gobierno Municipal </w:t>
      </w:r>
    </w:p>
    <w:p w14:paraId="0D5F6066"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 xml:space="preserve">Artículo 102 </w:t>
      </w:r>
    </w:p>
    <w:p w14:paraId="1F01DD6F"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El Programa de Gobierno Municipal contendrá los objetivos y estrategias que sirvan de base a las actividades de la administración pública municipal, de forma que aseguren el cumplimiento del Plan Municipal de Desarrollo.</w:t>
      </w:r>
    </w:p>
    <w:p w14:paraId="25989D87" w14:textId="77777777" w:rsidR="00794EB9" w:rsidRPr="00794EB9" w:rsidRDefault="00794EB9" w:rsidP="00794EB9">
      <w:pPr>
        <w:ind w:hanging="2"/>
        <w:jc w:val="both"/>
        <w:rPr>
          <w:rFonts w:ascii="Arial" w:hAnsi="Arial" w:cs="Arial"/>
          <w:sz w:val="22"/>
          <w:szCs w:val="22"/>
        </w:rPr>
      </w:pPr>
    </w:p>
    <w:p w14:paraId="6AE0125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El Programa de Gobierno Municipal será elaborado por el organismo municipal de planeación, con la colaboración de las dependencias y entidades de la administración pública municipal y el Consejo de Planeación de Desarrollo Municipal; será sometido a la aprobación del Ayuntamiento dentro de los primeros cuatro meses de su gestión; tendrá una vigencia de tres años y deberá ser evaluado anualmente. </w:t>
      </w:r>
    </w:p>
    <w:p w14:paraId="312C8CB1" w14:textId="77777777" w:rsidR="00794EB9" w:rsidRPr="00794EB9" w:rsidRDefault="00794EB9" w:rsidP="00794EB9">
      <w:pPr>
        <w:ind w:hanging="2"/>
        <w:jc w:val="both"/>
        <w:rPr>
          <w:rFonts w:ascii="Arial" w:hAnsi="Arial" w:cs="Arial"/>
          <w:sz w:val="22"/>
          <w:szCs w:val="22"/>
        </w:rPr>
      </w:pPr>
    </w:p>
    <w:p w14:paraId="151E2A2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El Programa de Gobierno Municipal indicará los programas que deriven del mismo.</w:t>
      </w:r>
    </w:p>
    <w:p w14:paraId="414421CA" w14:textId="77777777" w:rsidR="00794EB9" w:rsidRPr="00794EB9" w:rsidRDefault="00794EB9" w:rsidP="00794EB9">
      <w:pPr>
        <w:ind w:hanging="2"/>
        <w:jc w:val="both"/>
        <w:rPr>
          <w:rFonts w:ascii="Arial" w:hAnsi="Arial" w:cs="Arial"/>
          <w:sz w:val="22"/>
          <w:szCs w:val="22"/>
        </w:rPr>
      </w:pPr>
    </w:p>
    <w:p w14:paraId="6DD11361"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 xml:space="preserve">Publicidad </w:t>
      </w:r>
    </w:p>
    <w:p w14:paraId="08E157A5" w14:textId="77777777" w:rsidR="00794EB9" w:rsidRPr="00794EB9" w:rsidRDefault="00794EB9" w:rsidP="00794EB9">
      <w:pPr>
        <w:ind w:hanging="2"/>
        <w:jc w:val="both"/>
        <w:rPr>
          <w:rFonts w:ascii="Arial" w:hAnsi="Arial" w:cs="Arial"/>
          <w:b/>
          <w:i/>
          <w:sz w:val="22"/>
          <w:szCs w:val="22"/>
        </w:rPr>
      </w:pPr>
      <w:r w:rsidRPr="00794EB9">
        <w:rPr>
          <w:rFonts w:ascii="Arial" w:hAnsi="Arial" w:cs="Arial"/>
          <w:b/>
          <w:i/>
          <w:sz w:val="22"/>
          <w:szCs w:val="22"/>
        </w:rPr>
        <w:t>Artículo 103</w:t>
      </w:r>
    </w:p>
    <w:p w14:paraId="47EBFB8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Una vez aprobados por el Ayuntamiento, el plan y los programas […] se publicarán en el Periódico Oficial del Gobierno del Estado y, en su caso, podrán ser publicados en un periódico de circulación en el Municipio. </w:t>
      </w:r>
    </w:p>
    <w:p w14:paraId="431D58CA" w14:textId="77777777" w:rsidR="00794EB9" w:rsidRPr="00794EB9" w:rsidRDefault="00794EB9" w:rsidP="00794EB9">
      <w:pPr>
        <w:ind w:hanging="2"/>
        <w:jc w:val="both"/>
        <w:rPr>
          <w:rFonts w:ascii="Arial" w:hAnsi="Arial" w:cs="Arial"/>
          <w:sz w:val="22"/>
          <w:szCs w:val="22"/>
        </w:rPr>
      </w:pPr>
    </w:p>
    <w:p w14:paraId="57E402B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Los instrumentos de planeación […] se remitirán al Sistema Estatal de Información Estadística y Geográfica y serán información pública de oficio en los términos de la Ley de Transparencia y Acceso a la Información Pública para el Estado y los Municipios de Guanajuato.</w:t>
      </w:r>
    </w:p>
    <w:p w14:paraId="61481AD0" w14:textId="77777777" w:rsidR="00794EB9" w:rsidRPr="00794EB9" w:rsidRDefault="00794EB9" w:rsidP="00794EB9">
      <w:pPr>
        <w:ind w:hanging="2"/>
        <w:jc w:val="both"/>
        <w:rPr>
          <w:rFonts w:ascii="Arial" w:hAnsi="Arial" w:cs="Arial"/>
          <w:sz w:val="22"/>
          <w:szCs w:val="22"/>
        </w:rPr>
      </w:pPr>
    </w:p>
    <w:p w14:paraId="26398797"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 xml:space="preserve">Obligatoriedad del Plan y los Programas </w:t>
      </w:r>
    </w:p>
    <w:p w14:paraId="08136029" w14:textId="77777777" w:rsidR="00794EB9" w:rsidRPr="00794EB9" w:rsidRDefault="00794EB9" w:rsidP="00794EB9">
      <w:pPr>
        <w:ind w:hanging="2"/>
        <w:jc w:val="both"/>
        <w:rPr>
          <w:rFonts w:ascii="Arial" w:hAnsi="Arial" w:cs="Arial"/>
          <w:b/>
          <w:i/>
          <w:sz w:val="22"/>
          <w:szCs w:val="22"/>
        </w:rPr>
      </w:pPr>
      <w:r w:rsidRPr="00794EB9">
        <w:rPr>
          <w:rFonts w:ascii="Arial" w:hAnsi="Arial" w:cs="Arial"/>
          <w:b/>
          <w:i/>
          <w:sz w:val="22"/>
          <w:szCs w:val="22"/>
        </w:rPr>
        <w:t>Artículo 105</w:t>
      </w:r>
    </w:p>
    <w:p w14:paraId="6A5CB02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El Plan Municipal de Desarrollo, el Programa de Gobierno Municipal y los programas derivados de este último, serán obligatorios para las dependencias y entidades de la administración pública municipal. </w:t>
      </w:r>
    </w:p>
    <w:p w14:paraId="00DDB46A" w14:textId="77777777" w:rsidR="00794EB9" w:rsidRPr="00794EB9" w:rsidRDefault="00794EB9" w:rsidP="00794EB9">
      <w:pPr>
        <w:ind w:hanging="2"/>
        <w:jc w:val="both"/>
        <w:rPr>
          <w:rFonts w:ascii="Arial" w:hAnsi="Arial" w:cs="Arial"/>
          <w:sz w:val="22"/>
          <w:szCs w:val="22"/>
        </w:rPr>
      </w:pPr>
    </w:p>
    <w:p w14:paraId="545EF27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lastRenderedPageBreak/>
        <w:t>El incumplimiento a lo señalado en el párrafo anterior, será sancionado en los términos de la Ley de Responsabilidades Administrativas para el Estado de Guanajuato.</w:t>
      </w:r>
    </w:p>
    <w:p w14:paraId="59899727" w14:textId="77777777" w:rsidR="00794EB9" w:rsidRPr="00794EB9" w:rsidRDefault="00794EB9" w:rsidP="00794EB9">
      <w:pPr>
        <w:ind w:hanging="2"/>
        <w:jc w:val="both"/>
        <w:rPr>
          <w:rFonts w:ascii="Arial" w:hAnsi="Arial" w:cs="Arial"/>
          <w:sz w:val="22"/>
          <w:szCs w:val="22"/>
        </w:rPr>
      </w:pPr>
    </w:p>
    <w:p w14:paraId="0E788E22"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Atención presupuestal</w:t>
      </w:r>
    </w:p>
    <w:p w14:paraId="41F17575" w14:textId="77777777" w:rsidR="00794EB9" w:rsidRPr="00794EB9" w:rsidRDefault="00794EB9" w:rsidP="00794EB9">
      <w:pPr>
        <w:ind w:hanging="2"/>
        <w:jc w:val="both"/>
        <w:rPr>
          <w:rFonts w:ascii="Arial" w:hAnsi="Arial" w:cs="Arial"/>
          <w:b/>
          <w:i/>
          <w:sz w:val="22"/>
          <w:szCs w:val="22"/>
        </w:rPr>
      </w:pPr>
      <w:r w:rsidRPr="00794EB9">
        <w:rPr>
          <w:rFonts w:ascii="Arial" w:hAnsi="Arial" w:cs="Arial"/>
          <w:b/>
          <w:i/>
          <w:sz w:val="22"/>
          <w:szCs w:val="22"/>
        </w:rPr>
        <w:t>Artículo 107</w:t>
      </w:r>
    </w:p>
    <w:p w14:paraId="6733F1C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El presupuesto de egresos de los municipios deberá atender las prioridades y objetivos que señale el Programa de Gobierno Municipal y los programas derivados del mismo, de conformidad con lo establecido en esta Ley y sus reglamentos, en los </w:t>
      </w:r>
      <w:r w:rsidRPr="00794EB9">
        <w:rPr>
          <w:rFonts w:ascii="Arial" w:hAnsi="Arial" w:cs="Arial"/>
          <w:b/>
          <w:sz w:val="22"/>
          <w:szCs w:val="22"/>
        </w:rPr>
        <w:t>artículos 12 y 24 de la Ley de Planeación para el Estado de Guanajuato</w:t>
      </w:r>
      <w:r w:rsidRPr="00794EB9">
        <w:rPr>
          <w:rFonts w:ascii="Arial" w:hAnsi="Arial" w:cs="Arial"/>
          <w:sz w:val="22"/>
          <w:szCs w:val="22"/>
        </w:rPr>
        <w:t xml:space="preserve"> con la integración y responsabilidad de la administración pública municipal en la formulación y cumplimiento del Programa de Gobierno Municipal. </w:t>
      </w:r>
    </w:p>
    <w:p w14:paraId="4ED03FAE" w14:textId="77777777" w:rsidR="00794EB9" w:rsidRPr="00794EB9" w:rsidRDefault="00794EB9" w:rsidP="00794EB9">
      <w:pPr>
        <w:ind w:hanging="2"/>
        <w:jc w:val="both"/>
        <w:rPr>
          <w:rFonts w:ascii="Arial" w:hAnsi="Arial" w:cs="Arial"/>
          <w:sz w:val="22"/>
          <w:szCs w:val="22"/>
        </w:rPr>
      </w:pPr>
    </w:p>
    <w:p w14:paraId="2627D9DE"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 xml:space="preserve">Artículo 12 </w:t>
      </w:r>
    </w:p>
    <w:p w14:paraId="61DDE37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El Poder Ejecutivo, a través del Instituto de Planeación, Estadística y Geografía del Estado de Guanajuato, y los ayuntamientos, a través de los organismos municipales de planeación, deberán:</w:t>
      </w:r>
    </w:p>
    <w:p w14:paraId="186BAFC3" w14:textId="77777777" w:rsidR="00794EB9" w:rsidRPr="00794EB9" w:rsidRDefault="00794EB9" w:rsidP="00794EB9">
      <w:pPr>
        <w:ind w:hanging="2"/>
        <w:jc w:val="both"/>
        <w:rPr>
          <w:rFonts w:ascii="Arial" w:hAnsi="Arial" w:cs="Arial"/>
          <w:sz w:val="22"/>
          <w:szCs w:val="22"/>
        </w:rPr>
      </w:pPr>
    </w:p>
    <w:p w14:paraId="76427E6A"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III. Dar seguimiento y evaluar la ejecución de los instrumentos del sistema de planeación en los ámbitos estatal y municipal, respectivamente, así como recomendar acciones.</w:t>
      </w:r>
    </w:p>
    <w:p w14:paraId="6FF899A6" w14:textId="77777777" w:rsidR="00794EB9" w:rsidRPr="00794EB9" w:rsidRDefault="00794EB9" w:rsidP="00794EB9">
      <w:pPr>
        <w:ind w:hanging="2"/>
        <w:jc w:val="both"/>
        <w:rPr>
          <w:rFonts w:ascii="Arial" w:hAnsi="Arial" w:cs="Arial"/>
          <w:sz w:val="22"/>
          <w:szCs w:val="22"/>
        </w:rPr>
      </w:pPr>
    </w:p>
    <w:p w14:paraId="2F2B59EF"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Artículo 24</w:t>
      </w:r>
    </w:p>
    <w:p w14:paraId="2D25FD9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El sistema de planeación contará con los siguientes instrumentos:</w:t>
      </w:r>
    </w:p>
    <w:p w14:paraId="257D720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Planes municipales de desarrollo: </w:t>
      </w:r>
    </w:p>
    <w:p w14:paraId="588D3669" w14:textId="77777777" w:rsidR="00794EB9" w:rsidRPr="00794EB9" w:rsidRDefault="00794EB9" w:rsidP="0018463D">
      <w:pPr>
        <w:numPr>
          <w:ilvl w:val="0"/>
          <w:numId w:val="21"/>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 xml:space="preserve">Programa municipal de desarrollo urbano y de ordenamiento ecológico territorial; </w:t>
      </w:r>
    </w:p>
    <w:p w14:paraId="3C6D443E" w14:textId="77777777" w:rsidR="00794EB9" w:rsidRPr="00794EB9" w:rsidRDefault="00794EB9" w:rsidP="0018463D">
      <w:pPr>
        <w:numPr>
          <w:ilvl w:val="0"/>
          <w:numId w:val="21"/>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Programas de gobierno municipal:</w:t>
      </w:r>
    </w:p>
    <w:p w14:paraId="46DFE028" w14:textId="77777777" w:rsidR="00794EB9" w:rsidRPr="00794EB9" w:rsidRDefault="00794EB9" w:rsidP="0018463D">
      <w:pPr>
        <w:numPr>
          <w:ilvl w:val="0"/>
          <w:numId w:val="21"/>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Programas derivados del programa de gobierno municipal</w:t>
      </w:r>
    </w:p>
    <w:p w14:paraId="15A72C03" w14:textId="77777777" w:rsidR="00794EB9" w:rsidRPr="00794EB9" w:rsidRDefault="00794EB9" w:rsidP="00794EB9">
      <w:pPr>
        <w:jc w:val="both"/>
        <w:rPr>
          <w:rFonts w:ascii="Arial" w:hAnsi="Arial" w:cs="Arial"/>
          <w:sz w:val="22"/>
          <w:szCs w:val="22"/>
        </w:rPr>
      </w:pPr>
    </w:p>
    <w:p w14:paraId="49501B86" w14:textId="77777777" w:rsidR="00794EB9" w:rsidRPr="00794EB9" w:rsidRDefault="00794EB9" w:rsidP="00794EB9">
      <w:pPr>
        <w:jc w:val="both"/>
        <w:rPr>
          <w:rFonts w:ascii="Arial" w:hAnsi="Arial" w:cs="Arial"/>
          <w:b/>
          <w:sz w:val="22"/>
          <w:szCs w:val="22"/>
          <w:u w:val="single"/>
          <w:lang w:eastAsia="es-MX"/>
        </w:rPr>
      </w:pPr>
      <w:r w:rsidRPr="00794EB9">
        <w:rPr>
          <w:rFonts w:ascii="Arial" w:hAnsi="Arial" w:cs="Arial"/>
          <w:b/>
          <w:sz w:val="22"/>
          <w:szCs w:val="22"/>
          <w:u w:val="single"/>
          <w:lang w:eastAsia="es-MX"/>
        </w:rPr>
        <w:t>Municipal</w:t>
      </w:r>
    </w:p>
    <w:p w14:paraId="213CB282" w14:textId="77777777" w:rsidR="00794EB9" w:rsidRPr="00794EB9" w:rsidRDefault="00794EB9" w:rsidP="00794EB9">
      <w:pPr>
        <w:jc w:val="both"/>
        <w:rPr>
          <w:rFonts w:ascii="Arial" w:hAnsi="Arial" w:cs="Arial"/>
          <w:b/>
          <w:sz w:val="22"/>
          <w:szCs w:val="22"/>
          <w:u w:val="single"/>
          <w:lang w:eastAsia="es-MX"/>
        </w:rPr>
      </w:pPr>
    </w:p>
    <w:p w14:paraId="3098DC0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lo referente a la normativa municipal, ésta se basa en los artículos 7, 11 fracciones I, II, III y IV, así como 17 fracción IV del Reglamento Interior de la Administración Pública Municipal de León, Guanajuato, que hacen referencia a la vinculación con los instrumentos de planeación, a las atribuciones de la Dirección General de Gestión Gubernamental durante el proceso de elaboración y el proceso posterior de evaluación y seguimiento, además de las atribuciones comunes de los titulares de las dependencias para desarrollar sus acciones en congruencia con el Programa de Gobierno.</w:t>
      </w:r>
    </w:p>
    <w:p w14:paraId="733CBD5F" w14:textId="77777777" w:rsidR="00794EB9" w:rsidRPr="00794EB9" w:rsidRDefault="00794EB9" w:rsidP="00794EB9">
      <w:pPr>
        <w:ind w:hanging="2"/>
        <w:jc w:val="both"/>
        <w:rPr>
          <w:rFonts w:ascii="Arial" w:hAnsi="Arial" w:cs="Arial"/>
          <w:sz w:val="22"/>
          <w:szCs w:val="22"/>
        </w:rPr>
      </w:pPr>
    </w:p>
    <w:p w14:paraId="7C39C963" w14:textId="77777777" w:rsidR="00794EB9" w:rsidRPr="00794EB9" w:rsidRDefault="00794EB9" w:rsidP="00794EB9">
      <w:pPr>
        <w:ind w:hanging="2"/>
        <w:jc w:val="both"/>
        <w:rPr>
          <w:rFonts w:ascii="Arial" w:hAnsi="Arial" w:cs="Arial"/>
          <w:b/>
          <w:i/>
          <w:sz w:val="22"/>
          <w:szCs w:val="22"/>
        </w:rPr>
      </w:pPr>
      <w:r w:rsidRPr="00794EB9">
        <w:rPr>
          <w:rFonts w:ascii="Arial" w:hAnsi="Arial" w:cs="Arial"/>
          <w:b/>
          <w:i/>
          <w:sz w:val="22"/>
          <w:szCs w:val="22"/>
        </w:rPr>
        <w:t>Artículo 24 bis</w:t>
      </w:r>
    </w:p>
    <w:p w14:paraId="4FEFE01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Los instrumentos del sistema de planeación deberán contener, por lo menos, un diagnóstico general sobre la problemática que buscan atender, los objetivos específicos y su contribución al logro de las metas del Plan Estatal o Municipal de Desarrollo, las estrategias y líneas de acción que permitan alcanzar los objetivos del programa, así como los indicadores de desempeño que permitan su monitoreo, evaluación y actualización.</w:t>
      </w:r>
    </w:p>
    <w:p w14:paraId="407589D5" w14:textId="77777777" w:rsidR="00794EB9" w:rsidRPr="00794EB9" w:rsidRDefault="00794EB9" w:rsidP="00794EB9">
      <w:pPr>
        <w:ind w:hanging="2"/>
        <w:jc w:val="both"/>
        <w:rPr>
          <w:rFonts w:ascii="Arial" w:hAnsi="Arial" w:cs="Arial"/>
          <w:sz w:val="22"/>
          <w:szCs w:val="22"/>
        </w:rPr>
      </w:pPr>
    </w:p>
    <w:p w14:paraId="78358D49" w14:textId="77777777" w:rsidR="00794EB9" w:rsidRPr="00794EB9" w:rsidRDefault="00794EB9" w:rsidP="00794EB9">
      <w:pPr>
        <w:pBdr>
          <w:top w:val="nil"/>
          <w:left w:val="nil"/>
          <w:bottom w:val="nil"/>
          <w:right w:val="nil"/>
          <w:between w:val="nil"/>
        </w:pBdr>
        <w:ind w:hanging="2"/>
        <w:rPr>
          <w:rFonts w:ascii="Arial" w:hAnsi="Arial" w:cs="Arial"/>
          <w:b/>
          <w:i/>
          <w:sz w:val="22"/>
          <w:szCs w:val="22"/>
        </w:rPr>
      </w:pPr>
      <w:r w:rsidRPr="00794EB9">
        <w:rPr>
          <w:rFonts w:ascii="Arial" w:hAnsi="Arial" w:cs="Arial"/>
          <w:b/>
          <w:i/>
          <w:sz w:val="22"/>
          <w:szCs w:val="22"/>
        </w:rPr>
        <w:t xml:space="preserve">Vinculación con los instrumentos de planeación. </w:t>
      </w:r>
    </w:p>
    <w:p w14:paraId="397A32B7"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Artículo 7</w:t>
      </w:r>
    </w:p>
    <w:p w14:paraId="1FF8607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Los programas, proyectos y actividades de las dependencias y entidades atenderán a los objetivos y prioridades de los instrumentos de planeación federal, estatal y municipal, programa municipal de gobierno, así como las acciones estratégicas.</w:t>
      </w:r>
    </w:p>
    <w:p w14:paraId="169866E1" w14:textId="77777777" w:rsidR="00794EB9" w:rsidRPr="00794EB9" w:rsidRDefault="00794EB9" w:rsidP="00794EB9">
      <w:pPr>
        <w:jc w:val="both"/>
        <w:rPr>
          <w:rFonts w:ascii="Arial" w:hAnsi="Arial" w:cs="Arial"/>
          <w:sz w:val="22"/>
          <w:szCs w:val="22"/>
        </w:rPr>
      </w:pPr>
    </w:p>
    <w:p w14:paraId="0E13956D" w14:textId="77777777" w:rsidR="0024523C" w:rsidRDefault="0024523C" w:rsidP="00794EB9">
      <w:pPr>
        <w:pBdr>
          <w:top w:val="nil"/>
          <w:left w:val="nil"/>
          <w:bottom w:val="nil"/>
          <w:right w:val="nil"/>
          <w:between w:val="nil"/>
        </w:pBdr>
        <w:ind w:hanging="2"/>
        <w:rPr>
          <w:rFonts w:ascii="Arial" w:hAnsi="Arial" w:cs="Arial"/>
          <w:b/>
          <w:i/>
          <w:sz w:val="22"/>
          <w:szCs w:val="22"/>
        </w:rPr>
      </w:pPr>
    </w:p>
    <w:p w14:paraId="6FAF966F" w14:textId="77777777" w:rsidR="00794EB9" w:rsidRPr="00794EB9" w:rsidRDefault="00794EB9" w:rsidP="00794EB9">
      <w:pPr>
        <w:pBdr>
          <w:top w:val="nil"/>
          <w:left w:val="nil"/>
          <w:bottom w:val="nil"/>
          <w:right w:val="nil"/>
          <w:between w:val="nil"/>
        </w:pBdr>
        <w:ind w:hanging="2"/>
        <w:rPr>
          <w:rFonts w:ascii="Arial" w:hAnsi="Arial" w:cs="Arial"/>
          <w:b/>
          <w:i/>
          <w:sz w:val="22"/>
          <w:szCs w:val="22"/>
        </w:rPr>
      </w:pPr>
      <w:r w:rsidRPr="00794EB9">
        <w:rPr>
          <w:rFonts w:ascii="Arial" w:hAnsi="Arial" w:cs="Arial"/>
          <w:b/>
          <w:i/>
          <w:sz w:val="22"/>
          <w:szCs w:val="22"/>
        </w:rPr>
        <w:lastRenderedPageBreak/>
        <w:t>Atribuciones de la Dirección General de Gestión Gubernamental</w:t>
      </w:r>
    </w:p>
    <w:p w14:paraId="3E2B1237" w14:textId="77777777" w:rsidR="00794EB9" w:rsidRPr="00794EB9" w:rsidRDefault="00794EB9" w:rsidP="00794EB9">
      <w:pPr>
        <w:pBdr>
          <w:top w:val="nil"/>
          <w:left w:val="nil"/>
          <w:bottom w:val="nil"/>
          <w:right w:val="nil"/>
          <w:between w:val="nil"/>
        </w:pBdr>
        <w:ind w:hanging="2"/>
        <w:rPr>
          <w:rFonts w:ascii="Arial" w:hAnsi="Arial" w:cs="Arial"/>
          <w:sz w:val="22"/>
          <w:szCs w:val="22"/>
        </w:rPr>
      </w:pPr>
      <w:r w:rsidRPr="00794EB9">
        <w:rPr>
          <w:rFonts w:ascii="Arial" w:hAnsi="Arial" w:cs="Arial"/>
          <w:b/>
          <w:i/>
          <w:sz w:val="22"/>
          <w:szCs w:val="22"/>
        </w:rPr>
        <w:t>Artículo 11</w:t>
      </w:r>
    </w:p>
    <w:p w14:paraId="1566A56B"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La Dirección General de Gestión Gubernamental tiene, además de las atribuciones comunes para titulares de dependencia, las siguientes:</w:t>
      </w:r>
    </w:p>
    <w:p w14:paraId="1DE4C0C1" w14:textId="77777777" w:rsidR="00794EB9" w:rsidRPr="00794EB9" w:rsidRDefault="00794EB9" w:rsidP="00794EB9">
      <w:pPr>
        <w:pBdr>
          <w:top w:val="nil"/>
          <w:left w:val="nil"/>
          <w:bottom w:val="nil"/>
          <w:right w:val="nil"/>
          <w:between w:val="nil"/>
        </w:pBdr>
        <w:ind w:left="2" w:hanging="2"/>
        <w:jc w:val="both"/>
        <w:rPr>
          <w:rFonts w:ascii="Arial" w:hAnsi="Arial" w:cs="Arial"/>
          <w:sz w:val="22"/>
          <w:szCs w:val="22"/>
        </w:rPr>
      </w:pPr>
      <w:r w:rsidRPr="00794EB9">
        <w:rPr>
          <w:rFonts w:ascii="Arial" w:hAnsi="Arial" w:cs="Arial"/>
          <w:sz w:val="22"/>
          <w:szCs w:val="22"/>
        </w:rPr>
        <w:t>I. Coordinar acciones y coadyuvar con el Instituto Municipal de Planeación en la elaboración del Programa de Gobierno Municipal;</w:t>
      </w:r>
    </w:p>
    <w:p w14:paraId="6BC37F82" w14:textId="77777777" w:rsidR="00794EB9" w:rsidRPr="00794EB9" w:rsidRDefault="00794EB9" w:rsidP="00794EB9">
      <w:pPr>
        <w:pBdr>
          <w:top w:val="nil"/>
          <w:left w:val="nil"/>
          <w:bottom w:val="nil"/>
          <w:right w:val="nil"/>
          <w:between w:val="nil"/>
        </w:pBdr>
        <w:ind w:left="2" w:hanging="2"/>
        <w:jc w:val="both"/>
        <w:rPr>
          <w:rFonts w:ascii="Arial" w:hAnsi="Arial" w:cs="Arial"/>
          <w:sz w:val="22"/>
          <w:szCs w:val="22"/>
        </w:rPr>
      </w:pPr>
      <w:r w:rsidRPr="00794EB9">
        <w:rPr>
          <w:rFonts w:ascii="Arial" w:hAnsi="Arial" w:cs="Arial"/>
          <w:sz w:val="22"/>
          <w:szCs w:val="22"/>
        </w:rPr>
        <w:t>II. Dar seguimiento al Programa de Gobierno Municipal, diseñando e implementando herramientas para monitorear el avance de su cumplimiento y proponer estrategias de carácter general que permitan eficientar el trabajo de las dependencias;</w:t>
      </w:r>
    </w:p>
    <w:p w14:paraId="45FF7E6F" w14:textId="77777777" w:rsidR="00794EB9" w:rsidRPr="00794EB9" w:rsidRDefault="00794EB9" w:rsidP="00794EB9">
      <w:pPr>
        <w:pBdr>
          <w:top w:val="nil"/>
          <w:left w:val="nil"/>
          <w:bottom w:val="nil"/>
          <w:right w:val="nil"/>
          <w:between w:val="nil"/>
        </w:pBdr>
        <w:ind w:left="2" w:hanging="2"/>
        <w:jc w:val="both"/>
        <w:rPr>
          <w:rFonts w:ascii="Arial" w:hAnsi="Arial" w:cs="Arial"/>
          <w:sz w:val="22"/>
          <w:szCs w:val="22"/>
        </w:rPr>
      </w:pPr>
      <w:r w:rsidRPr="00794EB9">
        <w:rPr>
          <w:rFonts w:ascii="Arial" w:hAnsi="Arial" w:cs="Arial"/>
          <w:sz w:val="22"/>
          <w:szCs w:val="22"/>
        </w:rPr>
        <w:t>III. Monitorear y dar seguimiento a los avances, resultados, y cumplimiento de los objetivos del Programa de Gobierno Municipal;</w:t>
      </w:r>
    </w:p>
    <w:p w14:paraId="75A24ADA" w14:textId="77777777" w:rsidR="00794EB9" w:rsidRPr="00794EB9" w:rsidRDefault="00794EB9" w:rsidP="00794EB9">
      <w:pPr>
        <w:ind w:left="2" w:hanging="2"/>
        <w:jc w:val="both"/>
        <w:rPr>
          <w:rFonts w:ascii="Arial" w:hAnsi="Arial" w:cs="Arial"/>
          <w:sz w:val="22"/>
          <w:szCs w:val="22"/>
        </w:rPr>
      </w:pPr>
      <w:r w:rsidRPr="00794EB9">
        <w:rPr>
          <w:rFonts w:ascii="Arial" w:hAnsi="Arial" w:cs="Arial"/>
          <w:sz w:val="22"/>
          <w:szCs w:val="22"/>
        </w:rPr>
        <w:t>IV. Supervisar, analizar y evaluar el cumplimiento de los indicadores de gestión, así como el impacto de los programas y acciones contenidos en el Programa de Gobierno Municipal.</w:t>
      </w:r>
    </w:p>
    <w:p w14:paraId="6E1E87ED" w14:textId="77777777" w:rsidR="00794EB9" w:rsidRPr="00794EB9" w:rsidRDefault="00794EB9" w:rsidP="00794EB9">
      <w:pPr>
        <w:ind w:hanging="2"/>
        <w:jc w:val="both"/>
        <w:rPr>
          <w:rFonts w:ascii="Arial" w:hAnsi="Arial" w:cs="Arial"/>
          <w:sz w:val="22"/>
          <w:szCs w:val="22"/>
        </w:rPr>
      </w:pPr>
    </w:p>
    <w:p w14:paraId="24517D52" w14:textId="77777777" w:rsidR="00794EB9" w:rsidRPr="00794EB9" w:rsidRDefault="00794EB9" w:rsidP="00794EB9">
      <w:pPr>
        <w:pBdr>
          <w:top w:val="nil"/>
          <w:left w:val="nil"/>
          <w:bottom w:val="nil"/>
          <w:right w:val="nil"/>
          <w:between w:val="nil"/>
        </w:pBdr>
        <w:ind w:hanging="2"/>
        <w:rPr>
          <w:rFonts w:ascii="Arial" w:hAnsi="Arial" w:cs="Arial"/>
          <w:b/>
          <w:i/>
          <w:sz w:val="22"/>
          <w:szCs w:val="22"/>
        </w:rPr>
      </w:pPr>
      <w:r w:rsidRPr="00794EB9">
        <w:rPr>
          <w:rFonts w:ascii="Arial" w:hAnsi="Arial" w:cs="Arial"/>
          <w:b/>
          <w:i/>
          <w:sz w:val="22"/>
          <w:szCs w:val="22"/>
        </w:rPr>
        <w:t xml:space="preserve">Atribuciones comunes de titulares de las dependencias </w:t>
      </w:r>
    </w:p>
    <w:p w14:paraId="65416DC1" w14:textId="77777777" w:rsidR="00794EB9" w:rsidRPr="00794EB9" w:rsidRDefault="00794EB9" w:rsidP="00794EB9">
      <w:pPr>
        <w:pBdr>
          <w:top w:val="nil"/>
          <w:left w:val="nil"/>
          <w:bottom w:val="nil"/>
          <w:right w:val="nil"/>
          <w:between w:val="nil"/>
        </w:pBdr>
        <w:ind w:hanging="2"/>
        <w:rPr>
          <w:rFonts w:ascii="Arial" w:hAnsi="Arial" w:cs="Arial"/>
          <w:sz w:val="22"/>
          <w:szCs w:val="22"/>
        </w:rPr>
      </w:pPr>
      <w:r w:rsidRPr="00794EB9">
        <w:rPr>
          <w:rFonts w:ascii="Arial" w:hAnsi="Arial" w:cs="Arial"/>
          <w:b/>
          <w:i/>
          <w:sz w:val="22"/>
          <w:szCs w:val="22"/>
        </w:rPr>
        <w:t>Artículo 17</w:t>
      </w:r>
    </w:p>
    <w:p w14:paraId="1A1C8372"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Las personas titulares de las dependencias tendrán las siguientes atribuciones comunes:</w:t>
      </w:r>
    </w:p>
    <w:p w14:paraId="52EB6954"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IV. Cumplir con los objetivos, metas y estrategias establecidos en los instrumentos de planeación, así como proponer a la Presidencia Municipal los programas anuales de trabajo e informar sobre el avance y cumplimiento de los mismos.</w:t>
      </w:r>
    </w:p>
    <w:p w14:paraId="2C34AF35" w14:textId="77777777" w:rsidR="00794EB9" w:rsidRPr="00794EB9" w:rsidRDefault="00794EB9" w:rsidP="00794EB9">
      <w:pPr>
        <w:ind w:hanging="2"/>
        <w:jc w:val="both"/>
        <w:rPr>
          <w:rFonts w:ascii="Arial" w:hAnsi="Arial" w:cs="Arial"/>
          <w:sz w:val="22"/>
          <w:szCs w:val="22"/>
        </w:rPr>
      </w:pPr>
    </w:p>
    <w:p w14:paraId="7C32491C" w14:textId="77777777" w:rsidR="00794EB9" w:rsidRPr="00794EB9" w:rsidRDefault="00794EB9" w:rsidP="00794EB9">
      <w:pPr>
        <w:ind w:hanging="2"/>
        <w:jc w:val="both"/>
        <w:rPr>
          <w:rFonts w:ascii="Arial" w:hAnsi="Arial" w:cs="Arial"/>
          <w:sz w:val="22"/>
          <w:szCs w:val="22"/>
        </w:rPr>
      </w:pPr>
    </w:p>
    <w:p w14:paraId="302BB49A" w14:textId="77777777" w:rsidR="00794EB9" w:rsidRPr="00794EB9" w:rsidRDefault="00794EB9" w:rsidP="00794EB9">
      <w:pPr>
        <w:pStyle w:val="TtuloPG2"/>
        <w:ind w:left="0"/>
        <w:rPr>
          <w:color w:val="auto"/>
          <w:sz w:val="22"/>
          <w:szCs w:val="22"/>
        </w:rPr>
      </w:pPr>
      <w:r w:rsidRPr="00794EB9">
        <w:rPr>
          <w:color w:val="auto"/>
          <w:sz w:val="22"/>
          <w:szCs w:val="22"/>
        </w:rPr>
        <w:t xml:space="preserve">MARCO DE PLANEACIÓN  </w:t>
      </w:r>
    </w:p>
    <w:p w14:paraId="17BC547C" w14:textId="77777777" w:rsidR="00794EB9" w:rsidRPr="00794EB9" w:rsidRDefault="00794EB9" w:rsidP="00794EB9">
      <w:pPr>
        <w:ind w:hanging="2"/>
        <w:rPr>
          <w:rFonts w:ascii="Arial" w:hAnsi="Arial" w:cs="Arial"/>
          <w:sz w:val="22"/>
          <w:szCs w:val="22"/>
        </w:rPr>
      </w:pPr>
    </w:p>
    <w:p w14:paraId="2F01D909" w14:textId="77777777" w:rsidR="00794EB9" w:rsidRPr="00794EB9" w:rsidRDefault="00794EB9" w:rsidP="00794EB9">
      <w:pPr>
        <w:rPr>
          <w:rFonts w:ascii="Arial" w:hAnsi="Arial" w:cs="Arial"/>
          <w:sz w:val="22"/>
          <w:szCs w:val="22"/>
        </w:rPr>
      </w:pPr>
      <w:r w:rsidRPr="00794EB9">
        <w:rPr>
          <w:rFonts w:ascii="Arial" w:hAnsi="Arial" w:cs="Arial"/>
          <w:sz w:val="22"/>
          <w:szCs w:val="22"/>
        </w:rPr>
        <w:t>El Programa de Gobierno Municipal es congruente con las orientaciones internacionales para el desarrollo, así como con las directrices establecidas a nivel nacional, estatal y municipal.</w:t>
      </w:r>
    </w:p>
    <w:p w14:paraId="74F00CC0" w14:textId="77777777" w:rsidR="00794EB9" w:rsidRPr="00794EB9" w:rsidRDefault="00794EB9" w:rsidP="00794EB9">
      <w:pPr>
        <w:rPr>
          <w:rFonts w:ascii="Arial" w:hAnsi="Arial" w:cs="Arial"/>
          <w:sz w:val="22"/>
          <w:szCs w:val="22"/>
        </w:rPr>
      </w:pPr>
    </w:p>
    <w:p w14:paraId="382623D4" w14:textId="77777777" w:rsidR="00794EB9" w:rsidRPr="00794EB9" w:rsidRDefault="00794EB9" w:rsidP="00794EB9">
      <w:pPr>
        <w:rPr>
          <w:rFonts w:ascii="Arial" w:hAnsi="Arial" w:cs="Arial"/>
          <w:sz w:val="22"/>
          <w:szCs w:val="22"/>
        </w:rPr>
      </w:pPr>
      <w:r w:rsidRPr="00794EB9">
        <w:rPr>
          <w:rFonts w:ascii="Arial" w:hAnsi="Arial" w:cs="Arial"/>
          <w:sz w:val="22"/>
          <w:szCs w:val="22"/>
        </w:rPr>
        <w:t>Desde un plano internacional, se alinea con los Objetivos de Desarrollo Sostenible (ODS) de la Agenda 2030 de la Organización de las Naciones Unidas (ONU), con los que se busca trazar una hoja de ruta para erradicar la pobreza, proteger al planeta y asegurar la prosperidad para todos sin comprometer los recursos para las futuras generaciones.</w:t>
      </w:r>
    </w:p>
    <w:p w14:paraId="2A393C15" w14:textId="77777777" w:rsidR="00794EB9" w:rsidRPr="00794EB9" w:rsidRDefault="00794EB9" w:rsidP="00794EB9">
      <w:pPr>
        <w:ind w:hanging="2"/>
        <w:jc w:val="center"/>
        <w:rPr>
          <w:rFonts w:ascii="Arial" w:hAnsi="Arial" w:cs="Arial"/>
          <w:sz w:val="22"/>
          <w:szCs w:val="22"/>
        </w:rPr>
      </w:pPr>
    </w:p>
    <w:p w14:paraId="70C2B0B7" w14:textId="77777777" w:rsidR="00794EB9" w:rsidRPr="00794EB9" w:rsidRDefault="00794EB9" w:rsidP="00794EB9">
      <w:pPr>
        <w:ind w:hanging="2"/>
        <w:jc w:val="center"/>
        <w:rPr>
          <w:rFonts w:ascii="Arial" w:hAnsi="Arial" w:cs="Arial"/>
          <w:sz w:val="22"/>
          <w:szCs w:val="22"/>
        </w:rPr>
      </w:pPr>
    </w:p>
    <w:p w14:paraId="78025A6F" w14:textId="77777777" w:rsidR="00794EB9" w:rsidRPr="00794EB9" w:rsidRDefault="00794EB9" w:rsidP="00794EB9">
      <w:pPr>
        <w:ind w:hanging="2"/>
        <w:jc w:val="center"/>
        <w:rPr>
          <w:rFonts w:ascii="Arial" w:hAnsi="Arial" w:cs="Arial"/>
          <w:sz w:val="22"/>
          <w:szCs w:val="22"/>
        </w:rPr>
      </w:pPr>
    </w:p>
    <w:p w14:paraId="0D543B34" w14:textId="77777777" w:rsidR="00794EB9" w:rsidRPr="00794EB9" w:rsidRDefault="00794EB9" w:rsidP="00794EB9">
      <w:pPr>
        <w:rPr>
          <w:rFonts w:ascii="Arial" w:hAnsi="Arial" w:cs="Arial"/>
          <w:sz w:val="22"/>
          <w:szCs w:val="22"/>
        </w:rPr>
      </w:pPr>
    </w:p>
    <w:p w14:paraId="736FFC80" w14:textId="77777777" w:rsidR="00794EB9" w:rsidRPr="00794EB9" w:rsidRDefault="00794EB9" w:rsidP="00794EB9">
      <w:pPr>
        <w:ind w:hanging="2"/>
        <w:jc w:val="center"/>
        <w:rPr>
          <w:rFonts w:ascii="Arial" w:hAnsi="Arial" w:cs="Arial"/>
          <w:sz w:val="22"/>
          <w:szCs w:val="22"/>
        </w:rPr>
      </w:pPr>
    </w:p>
    <w:p w14:paraId="2A36A6B3" w14:textId="77777777" w:rsidR="00794EB9" w:rsidRPr="00794EB9" w:rsidRDefault="00794EB9" w:rsidP="00794EB9">
      <w:pPr>
        <w:rPr>
          <w:rFonts w:ascii="Arial" w:hAnsi="Arial" w:cs="Arial"/>
          <w:sz w:val="22"/>
          <w:szCs w:val="22"/>
        </w:rPr>
      </w:pPr>
      <w:r w:rsidRPr="00794EB9">
        <w:rPr>
          <w:rFonts w:ascii="Arial" w:hAnsi="Arial" w:cs="Arial"/>
          <w:sz w:val="22"/>
          <w:szCs w:val="22"/>
        </w:rPr>
        <w:br w:type="page"/>
      </w:r>
    </w:p>
    <w:p w14:paraId="0DA5DF99"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lastRenderedPageBreak/>
        <w:t>Alineación del Programa de Gobierno municipal con la Agenda 2030 para el Desarrollo Sostenible.</w:t>
      </w:r>
    </w:p>
    <w:p w14:paraId="2F7F9765" w14:textId="77777777" w:rsidR="00794EB9" w:rsidRPr="00794EB9" w:rsidRDefault="00794EB9" w:rsidP="00794EB9">
      <w:pPr>
        <w:ind w:hanging="2"/>
        <w:jc w:val="both"/>
        <w:rPr>
          <w:rFonts w:ascii="Arial" w:eastAsia="Cambria" w:hAnsi="Arial" w:cs="Arial"/>
          <w:sz w:val="22"/>
          <w:szCs w:val="22"/>
        </w:rPr>
      </w:pPr>
    </w:p>
    <w:p w14:paraId="4CDFDAFA" w14:textId="77777777" w:rsidR="00794EB9" w:rsidRPr="00794EB9" w:rsidRDefault="00794EB9" w:rsidP="00794EB9">
      <w:pPr>
        <w:ind w:hanging="2"/>
        <w:jc w:val="center"/>
        <w:rPr>
          <w:rFonts w:ascii="Arial" w:eastAsia="Cambria" w:hAnsi="Arial" w:cs="Arial"/>
          <w:sz w:val="22"/>
          <w:szCs w:val="22"/>
        </w:rPr>
      </w:pPr>
      <w:r w:rsidRPr="00794EB9">
        <w:rPr>
          <w:rFonts w:ascii="Arial" w:hAnsi="Arial" w:cs="Arial"/>
          <w:noProof/>
          <w:sz w:val="22"/>
          <w:szCs w:val="22"/>
          <w:lang w:val="es-MX" w:eastAsia="es-MX"/>
        </w:rPr>
        <w:drawing>
          <wp:inline distT="114300" distB="114300" distL="114300" distR="114300" wp14:anchorId="1374245D" wp14:editId="69A3B755">
            <wp:extent cx="4538693" cy="2791436"/>
            <wp:effectExtent l="0" t="0" r="0" b="0"/>
            <wp:docPr id="111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 cstate="print">
                      <a:extLst>
                        <a:ext uri="{BEBA8EAE-BF5A-486C-A8C5-ECC9F3942E4B}">
                          <a14:imgProps xmlns:a14="http://schemas.microsoft.com/office/drawing/2010/main">
                            <a14:imgLayer r:embed="rId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538693" cy="2791436"/>
                    </a:xfrm>
                    <a:prstGeom prst="rect">
                      <a:avLst/>
                    </a:prstGeom>
                    <a:ln/>
                  </pic:spPr>
                </pic:pic>
              </a:graphicData>
            </a:graphic>
          </wp:inline>
        </w:drawing>
      </w:r>
    </w:p>
    <w:p w14:paraId="42E08821"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Fuente: Elaboración propia con base en información de la Agenda 2030 para el Desarrollo Sostenible de la ONU.</w:t>
      </w:r>
    </w:p>
    <w:p w14:paraId="3AD335A0" w14:textId="77777777" w:rsidR="00794EB9" w:rsidRPr="00794EB9" w:rsidRDefault="00794EB9" w:rsidP="00794EB9">
      <w:pPr>
        <w:ind w:hanging="2"/>
        <w:jc w:val="center"/>
        <w:rPr>
          <w:rFonts w:ascii="Arial" w:eastAsia="Cambria" w:hAnsi="Arial" w:cs="Arial"/>
          <w:sz w:val="22"/>
          <w:szCs w:val="22"/>
        </w:rPr>
      </w:pPr>
    </w:p>
    <w:p w14:paraId="53BD1A95" w14:textId="77777777" w:rsidR="00794EB9" w:rsidRPr="00794EB9" w:rsidRDefault="00794EB9" w:rsidP="00794EB9">
      <w:pPr>
        <w:ind w:hanging="2"/>
        <w:jc w:val="both"/>
        <w:rPr>
          <w:rFonts w:ascii="Arial" w:hAnsi="Arial" w:cs="Arial"/>
          <w:sz w:val="22"/>
          <w:szCs w:val="22"/>
        </w:rPr>
      </w:pPr>
    </w:p>
    <w:p w14:paraId="18B1AFB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A nivel nacional, el Plan Nacional de Desarrollo 2019 – 2024 define tres ejes generales asociados con el bienestar, desarrollo económico, así como la justicia y el estado de derecho. Además, considera tres ejes transversales encaminados a la construcción de la igualdad de género, no discriminación e inclusión; el combate a la corrupción y la mejora de la gestión pública; el territorio y el desarrollo sostenible.</w:t>
      </w:r>
    </w:p>
    <w:p w14:paraId="73AE639B" w14:textId="77777777" w:rsidR="00794EB9" w:rsidRPr="00794EB9" w:rsidRDefault="00794EB9" w:rsidP="00794EB9">
      <w:pPr>
        <w:ind w:hanging="2"/>
        <w:jc w:val="both"/>
        <w:rPr>
          <w:rFonts w:ascii="Arial" w:hAnsi="Arial" w:cs="Arial"/>
          <w:sz w:val="22"/>
          <w:szCs w:val="22"/>
        </w:rPr>
      </w:pPr>
    </w:p>
    <w:p w14:paraId="04301BA3"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Alineación del Programa de Gobierno municipal con el Plan Nacional de Desarrollo 2019 - 2024.</w:t>
      </w:r>
    </w:p>
    <w:p w14:paraId="44A0E61A" w14:textId="77777777" w:rsidR="00794EB9" w:rsidRPr="00794EB9" w:rsidRDefault="00794EB9" w:rsidP="00794EB9">
      <w:pPr>
        <w:ind w:hanging="2"/>
        <w:jc w:val="center"/>
        <w:rPr>
          <w:rFonts w:ascii="Arial" w:hAnsi="Arial" w:cs="Arial"/>
          <w:sz w:val="22"/>
          <w:szCs w:val="22"/>
        </w:rPr>
      </w:pPr>
      <w:r w:rsidRPr="00794EB9">
        <w:rPr>
          <w:rFonts w:ascii="Arial" w:hAnsi="Arial" w:cs="Arial"/>
          <w:noProof/>
          <w:sz w:val="22"/>
          <w:szCs w:val="22"/>
          <w:lang w:val="es-MX" w:eastAsia="es-MX"/>
        </w:rPr>
        <w:drawing>
          <wp:inline distT="114300" distB="114300" distL="114300" distR="114300" wp14:anchorId="48BD36E2" wp14:editId="1DEF515F">
            <wp:extent cx="4334822" cy="2667582"/>
            <wp:effectExtent l="0" t="0" r="8890" b="0"/>
            <wp:docPr id="111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9" cstate="print">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334822" cy="2667582"/>
                    </a:xfrm>
                    <a:prstGeom prst="rect">
                      <a:avLst/>
                    </a:prstGeom>
                    <a:ln/>
                  </pic:spPr>
                </pic:pic>
              </a:graphicData>
            </a:graphic>
          </wp:inline>
        </w:drawing>
      </w:r>
    </w:p>
    <w:p w14:paraId="6BA83B86"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Fuente: Elaboración propia con base en información del Plan Nacional de Desarrollo 2019 - 2024</w:t>
      </w:r>
    </w:p>
    <w:p w14:paraId="300079D8" w14:textId="77777777" w:rsidR="00794EB9" w:rsidRPr="00794EB9" w:rsidRDefault="00794EB9" w:rsidP="00794EB9">
      <w:pPr>
        <w:ind w:hanging="2"/>
        <w:jc w:val="both"/>
        <w:rPr>
          <w:rFonts w:ascii="Arial" w:hAnsi="Arial" w:cs="Arial"/>
          <w:sz w:val="22"/>
          <w:szCs w:val="22"/>
        </w:rPr>
      </w:pPr>
    </w:p>
    <w:p w14:paraId="1D4F182E"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Desde una orientación estatal, el presente Programa es congruente con el Plan Estatal de Desarrollo. Guanajuato 2040, que a través de un horizonte de largo plazo, establece cuatro dimensiones encaminadas al desarrollo humano y social, desarrollo económico, conservación del medio ambiente y aprovechamiento del territorio, así como a la administración pública y el estado de derecho. Este plan define las líneas, objetivos y estrategias a seguir.</w:t>
      </w:r>
    </w:p>
    <w:p w14:paraId="7E5F65D6" w14:textId="77777777" w:rsidR="00794EB9" w:rsidRPr="00794EB9" w:rsidRDefault="00794EB9" w:rsidP="00794EB9">
      <w:pPr>
        <w:ind w:hanging="2"/>
        <w:jc w:val="both"/>
        <w:rPr>
          <w:rFonts w:ascii="Arial" w:hAnsi="Arial" w:cs="Arial"/>
          <w:sz w:val="22"/>
          <w:szCs w:val="22"/>
        </w:rPr>
      </w:pPr>
    </w:p>
    <w:p w14:paraId="2CD2CDBC" w14:textId="77777777" w:rsidR="00794EB9" w:rsidRPr="00794EB9" w:rsidRDefault="00794EB9" w:rsidP="00794EB9">
      <w:pPr>
        <w:jc w:val="both"/>
        <w:rPr>
          <w:rFonts w:ascii="Arial" w:hAnsi="Arial" w:cs="Arial"/>
          <w:sz w:val="22"/>
          <w:szCs w:val="22"/>
        </w:rPr>
      </w:pPr>
    </w:p>
    <w:p w14:paraId="2E2B7D0A"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Alineación del Programa de Gobierno municipal con el Plan Estatal de Desarrollo Guanajuato 2040.</w:t>
      </w:r>
    </w:p>
    <w:p w14:paraId="5568B702" w14:textId="77777777" w:rsidR="00794EB9" w:rsidRPr="00794EB9" w:rsidRDefault="00794EB9" w:rsidP="00794EB9">
      <w:pPr>
        <w:ind w:hanging="2"/>
        <w:jc w:val="center"/>
        <w:rPr>
          <w:rFonts w:ascii="Arial" w:eastAsia="Cambria" w:hAnsi="Arial" w:cs="Arial"/>
          <w:sz w:val="22"/>
          <w:szCs w:val="22"/>
        </w:rPr>
      </w:pPr>
    </w:p>
    <w:p w14:paraId="2D41A16B" w14:textId="77777777" w:rsidR="00794EB9" w:rsidRPr="00794EB9" w:rsidRDefault="00794EB9" w:rsidP="00794EB9">
      <w:pPr>
        <w:ind w:hanging="2"/>
        <w:jc w:val="center"/>
        <w:rPr>
          <w:rFonts w:ascii="Arial" w:eastAsia="Cambria" w:hAnsi="Arial" w:cs="Arial"/>
          <w:sz w:val="22"/>
          <w:szCs w:val="22"/>
        </w:rPr>
      </w:pPr>
      <w:r w:rsidRPr="00794EB9">
        <w:rPr>
          <w:rFonts w:ascii="Arial" w:hAnsi="Arial" w:cs="Arial"/>
          <w:noProof/>
          <w:sz w:val="22"/>
          <w:szCs w:val="22"/>
          <w:lang w:val="es-MX" w:eastAsia="es-MX"/>
        </w:rPr>
        <w:drawing>
          <wp:inline distT="114300" distB="114300" distL="114300" distR="114300" wp14:anchorId="0111781E" wp14:editId="1639B8C5">
            <wp:extent cx="4581987" cy="2818062"/>
            <wp:effectExtent l="0" t="0" r="0" b="1905"/>
            <wp:docPr id="111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1" cstate="print">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581987" cy="2818062"/>
                    </a:xfrm>
                    <a:prstGeom prst="rect">
                      <a:avLst/>
                    </a:prstGeom>
                    <a:ln/>
                  </pic:spPr>
                </pic:pic>
              </a:graphicData>
            </a:graphic>
          </wp:inline>
        </w:drawing>
      </w:r>
    </w:p>
    <w:p w14:paraId="49DA499B"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Fuente: Elaboración propia con base en información del Plan Estatal de Desarrollo. Guanajuato 2040</w:t>
      </w:r>
    </w:p>
    <w:p w14:paraId="5646A0F0" w14:textId="77777777" w:rsidR="00794EB9" w:rsidRPr="00794EB9" w:rsidRDefault="00794EB9" w:rsidP="00794EB9">
      <w:pPr>
        <w:ind w:hanging="2"/>
        <w:rPr>
          <w:rFonts w:ascii="Arial" w:eastAsia="Cambria" w:hAnsi="Arial" w:cs="Arial"/>
          <w:sz w:val="22"/>
          <w:szCs w:val="22"/>
        </w:rPr>
      </w:pPr>
    </w:p>
    <w:p w14:paraId="6E990B06" w14:textId="77777777" w:rsidR="00794EB9" w:rsidRPr="00794EB9" w:rsidRDefault="00794EB9" w:rsidP="00794EB9">
      <w:pPr>
        <w:ind w:hanging="2"/>
        <w:jc w:val="both"/>
        <w:rPr>
          <w:rFonts w:ascii="Arial" w:hAnsi="Arial" w:cs="Arial"/>
          <w:sz w:val="22"/>
          <w:szCs w:val="22"/>
        </w:rPr>
      </w:pPr>
    </w:p>
    <w:p w14:paraId="0048DE5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A su vez, la actualización del Programa de Gobierno del Estado de Guanajuato 2018 – 2024, establece acciones a partir de seis ejes gubernamentales enfocados a generar una seguridad y paz social, desarrollo humano y social, educación de calidad, economía para todos, desarrollo ordenado y sostenible, gobierno humano y eficaz; cuatro agendas transversales, para abordar los temas de derechos humanos, igualdad entre mujeres y hombres, mentefactura y finalmente, de internacionalización. </w:t>
      </w:r>
    </w:p>
    <w:p w14:paraId="06867E82" w14:textId="77777777" w:rsidR="00794EB9" w:rsidRPr="00794EB9" w:rsidRDefault="00794EB9" w:rsidP="00794EB9">
      <w:pPr>
        <w:rPr>
          <w:rFonts w:ascii="Arial" w:hAnsi="Arial" w:cs="Arial"/>
          <w:sz w:val="22"/>
          <w:szCs w:val="22"/>
        </w:rPr>
      </w:pPr>
    </w:p>
    <w:p w14:paraId="70AFFEF7" w14:textId="77777777" w:rsidR="00794EB9" w:rsidRPr="00794EB9" w:rsidRDefault="00794EB9" w:rsidP="00794EB9">
      <w:pPr>
        <w:rPr>
          <w:rFonts w:ascii="Arial" w:hAnsi="Arial" w:cs="Arial"/>
          <w:sz w:val="22"/>
          <w:szCs w:val="22"/>
        </w:rPr>
      </w:pPr>
    </w:p>
    <w:p w14:paraId="2AD54BB8" w14:textId="77777777" w:rsidR="00794EB9" w:rsidRPr="00794EB9" w:rsidRDefault="00794EB9" w:rsidP="00794EB9">
      <w:pPr>
        <w:rPr>
          <w:rFonts w:ascii="Arial" w:hAnsi="Arial" w:cs="Arial"/>
          <w:sz w:val="22"/>
          <w:szCs w:val="22"/>
        </w:rPr>
      </w:pPr>
    </w:p>
    <w:p w14:paraId="53C69A73" w14:textId="77777777" w:rsidR="00794EB9" w:rsidRPr="00794EB9" w:rsidRDefault="00794EB9" w:rsidP="00794EB9">
      <w:pPr>
        <w:rPr>
          <w:rFonts w:ascii="Arial" w:hAnsi="Arial" w:cs="Arial"/>
          <w:sz w:val="22"/>
          <w:szCs w:val="22"/>
        </w:rPr>
      </w:pPr>
    </w:p>
    <w:p w14:paraId="052007FF" w14:textId="77777777" w:rsidR="00794EB9" w:rsidRPr="00794EB9" w:rsidRDefault="00794EB9" w:rsidP="00794EB9">
      <w:pPr>
        <w:rPr>
          <w:rFonts w:ascii="Arial" w:hAnsi="Arial" w:cs="Arial"/>
          <w:sz w:val="22"/>
          <w:szCs w:val="22"/>
        </w:rPr>
      </w:pPr>
    </w:p>
    <w:p w14:paraId="38DF696D" w14:textId="77777777" w:rsidR="00794EB9" w:rsidRPr="00794EB9" w:rsidRDefault="00794EB9" w:rsidP="00794EB9">
      <w:pPr>
        <w:rPr>
          <w:rFonts w:ascii="Arial" w:hAnsi="Arial" w:cs="Arial"/>
          <w:sz w:val="22"/>
          <w:szCs w:val="22"/>
        </w:rPr>
      </w:pPr>
    </w:p>
    <w:p w14:paraId="6DDC3F61" w14:textId="77777777" w:rsidR="00794EB9" w:rsidRPr="00794EB9" w:rsidRDefault="00794EB9" w:rsidP="00794EB9">
      <w:pPr>
        <w:rPr>
          <w:rFonts w:ascii="Arial" w:hAnsi="Arial" w:cs="Arial"/>
          <w:sz w:val="22"/>
          <w:szCs w:val="22"/>
        </w:rPr>
      </w:pPr>
    </w:p>
    <w:p w14:paraId="357862B3" w14:textId="77777777" w:rsidR="00794EB9" w:rsidRPr="00794EB9" w:rsidRDefault="00794EB9" w:rsidP="00794EB9">
      <w:pPr>
        <w:rPr>
          <w:rFonts w:ascii="Arial" w:hAnsi="Arial" w:cs="Arial"/>
          <w:sz w:val="22"/>
          <w:szCs w:val="22"/>
        </w:rPr>
      </w:pPr>
      <w:r w:rsidRPr="00794EB9">
        <w:rPr>
          <w:rFonts w:ascii="Arial" w:hAnsi="Arial" w:cs="Arial"/>
          <w:sz w:val="22"/>
          <w:szCs w:val="22"/>
        </w:rPr>
        <w:br w:type="page"/>
      </w:r>
    </w:p>
    <w:p w14:paraId="666F4D9C"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lastRenderedPageBreak/>
        <w:t>Congruencia del Programa de Gobierno municipal con la actualización del Programa de Gobierno del Estado de Guanajuato 2018-2024.</w:t>
      </w:r>
    </w:p>
    <w:p w14:paraId="570138AE" w14:textId="77777777" w:rsidR="00794EB9" w:rsidRPr="00794EB9" w:rsidRDefault="00794EB9" w:rsidP="00794EB9">
      <w:pPr>
        <w:ind w:hanging="2"/>
        <w:jc w:val="both"/>
        <w:rPr>
          <w:rFonts w:ascii="Arial" w:eastAsia="Cambria" w:hAnsi="Arial" w:cs="Arial"/>
          <w:sz w:val="22"/>
          <w:szCs w:val="22"/>
        </w:rPr>
      </w:pPr>
    </w:p>
    <w:p w14:paraId="64E85156" w14:textId="77777777" w:rsidR="00794EB9" w:rsidRPr="00794EB9" w:rsidRDefault="00794EB9" w:rsidP="00794EB9">
      <w:pPr>
        <w:ind w:hanging="2"/>
        <w:jc w:val="center"/>
        <w:rPr>
          <w:rFonts w:ascii="Arial" w:eastAsia="Cambria" w:hAnsi="Arial" w:cs="Arial"/>
          <w:sz w:val="22"/>
          <w:szCs w:val="22"/>
        </w:rPr>
      </w:pPr>
      <w:r w:rsidRPr="00794EB9">
        <w:rPr>
          <w:rFonts w:ascii="Arial" w:hAnsi="Arial" w:cs="Arial"/>
          <w:noProof/>
          <w:sz w:val="22"/>
          <w:szCs w:val="22"/>
          <w:lang w:val="es-MX" w:eastAsia="es-MX"/>
        </w:rPr>
        <w:drawing>
          <wp:inline distT="114300" distB="114300" distL="114300" distR="114300" wp14:anchorId="3F7214F1" wp14:editId="169A2973">
            <wp:extent cx="4979164" cy="3064100"/>
            <wp:effectExtent l="0" t="0" r="0" b="3175"/>
            <wp:docPr id="111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 cstate="print">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979164" cy="3064100"/>
                    </a:xfrm>
                    <a:prstGeom prst="rect">
                      <a:avLst/>
                    </a:prstGeom>
                    <a:ln/>
                  </pic:spPr>
                </pic:pic>
              </a:graphicData>
            </a:graphic>
          </wp:inline>
        </w:drawing>
      </w:r>
    </w:p>
    <w:p w14:paraId="3F85402F"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Fuente: Elaboración propia con base en información de la actualización del Programa de Gobierno del Estado de Guanajuato 2018–2024</w:t>
      </w:r>
    </w:p>
    <w:p w14:paraId="75FC3326" w14:textId="77777777" w:rsidR="00794EB9" w:rsidRPr="00794EB9" w:rsidRDefault="00794EB9" w:rsidP="00794EB9">
      <w:pPr>
        <w:ind w:hanging="2"/>
        <w:rPr>
          <w:rFonts w:ascii="Arial" w:eastAsia="Cambria" w:hAnsi="Arial" w:cs="Arial"/>
          <w:sz w:val="22"/>
          <w:szCs w:val="22"/>
        </w:rPr>
      </w:pPr>
    </w:p>
    <w:p w14:paraId="67431E1B" w14:textId="77777777" w:rsidR="00794EB9" w:rsidRPr="00794EB9" w:rsidRDefault="00794EB9" w:rsidP="00794EB9">
      <w:pPr>
        <w:ind w:hanging="2"/>
        <w:rPr>
          <w:rFonts w:ascii="Arial" w:eastAsia="Cambria" w:hAnsi="Arial" w:cs="Arial"/>
          <w:sz w:val="22"/>
          <w:szCs w:val="22"/>
        </w:rPr>
      </w:pPr>
    </w:p>
    <w:p w14:paraId="14E6E1D4"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el ámbito municipal, atendiendo los alcances del Sistema Municipal de Planeación, el presente Programa responde a las acciones de corto plazo establecidas en los instrumentos rectores de planeación.</w:t>
      </w:r>
    </w:p>
    <w:p w14:paraId="78724AB1" w14:textId="77777777" w:rsidR="00794EB9" w:rsidRPr="00794EB9" w:rsidRDefault="00794EB9" w:rsidP="00794EB9">
      <w:pPr>
        <w:jc w:val="both"/>
        <w:rPr>
          <w:rFonts w:ascii="Arial" w:hAnsi="Arial" w:cs="Arial"/>
          <w:sz w:val="22"/>
          <w:szCs w:val="22"/>
        </w:rPr>
      </w:pPr>
    </w:p>
    <w:p w14:paraId="53A86FD8"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Por un lado, el </w:t>
      </w:r>
      <w:r w:rsidRPr="00794EB9">
        <w:rPr>
          <w:rFonts w:ascii="Arial" w:hAnsi="Arial" w:cs="Arial"/>
          <w:b/>
          <w:i/>
          <w:sz w:val="22"/>
          <w:szCs w:val="22"/>
        </w:rPr>
        <w:t>Plan Municipal de Desarrollo. León hacia el futuro. Visión 2045</w:t>
      </w:r>
      <w:r w:rsidRPr="00794EB9">
        <w:rPr>
          <w:rFonts w:ascii="Arial" w:hAnsi="Arial" w:cs="Arial"/>
          <w:sz w:val="22"/>
          <w:szCs w:val="22"/>
        </w:rPr>
        <w:t xml:space="preserve"> (PMD 2045) establece los objetivos y estrategias de mediano y largo plazo.</w:t>
      </w:r>
    </w:p>
    <w:p w14:paraId="7FD7A1EF"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0E6C405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Para su conformación se evaluaron los retos a los que se enfrenta el municipio y se confirmaron -o replantearon- las orientaciones generales, así como las orientaciones particulares y las prioridades de corto plazo.</w:t>
      </w:r>
    </w:p>
    <w:p w14:paraId="69EC2BE1" w14:textId="77777777" w:rsidR="00794EB9" w:rsidRPr="00794EB9" w:rsidRDefault="00794EB9" w:rsidP="00794EB9">
      <w:pPr>
        <w:ind w:hanging="2"/>
        <w:jc w:val="both"/>
        <w:rPr>
          <w:rFonts w:ascii="Arial" w:hAnsi="Arial" w:cs="Arial"/>
          <w:sz w:val="22"/>
          <w:szCs w:val="22"/>
        </w:rPr>
      </w:pPr>
    </w:p>
    <w:p w14:paraId="245C496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Las orientaciones del plan de largo plazo sirven de guía para las actividades de la administración pública municipal a partir de un enfoque de gobernanza, con la adecuada articulación y coordinación con los sectores social y privado para la atención de los principales retos de León.</w:t>
      </w:r>
    </w:p>
    <w:p w14:paraId="0377E4A2"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98ADEE3" w14:textId="77777777" w:rsidR="00794EB9" w:rsidRPr="00794EB9" w:rsidRDefault="00794EB9" w:rsidP="00794EB9">
      <w:pPr>
        <w:pBdr>
          <w:top w:val="nil"/>
          <w:left w:val="nil"/>
          <w:bottom w:val="nil"/>
          <w:right w:val="nil"/>
          <w:between w:val="nil"/>
        </w:pBdr>
        <w:ind w:hanging="2"/>
        <w:jc w:val="both"/>
        <w:rPr>
          <w:rFonts w:ascii="Arial" w:hAnsi="Arial" w:cs="Arial"/>
          <w:i/>
          <w:sz w:val="22"/>
          <w:szCs w:val="22"/>
        </w:rPr>
      </w:pPr>
      <w:r w:rsidRPr="00794EB9">
        <w:rPr>
          <w:rFonts w:ascii="Arial" w:hAnsi="Arial" w:cs="Arial"/>
          <w:sz w:val="22"/>
          <w:szCs w:val="22"/>
        </w:rPr>
        <w:t>A través de un escaneo, análisis y valoración de las tendencias globales se identificaron cinco conceptos que son estratégicos para lograr el óptimo desarrollo de León, los cuales están encaminados a una “</w:t>
      </w:r>
      <w:r w:rsidRPr="00794EB9">
        <w:rPr>
          <w:rFonts w:ascii="Arial" w:hAnsi="Arial" w:cs="Arial"/>
          <w:i/>
          <w:sz w:val="22"/>
          <w:szCs w:val="22"/>
        </w:rPr>
        <w:t xml:space="preserve">urgente equidad”, “nuevos parámetros de prosperidad futura”, “virtualidad y tecnología”, “nuevo modelo de gobernanza” y “ciudad saludable: calidad y accesibilidad (agua, aire, energía, movilidad, salud, vivienda)”. </w:t>
      </w:r>
    </w:p>
    <w:p w14:paraId="4F95819B" w14:textId="77777777" w:rsidR="00794EB9" w:rsidRPr="00794EB9" w:rsidRDefault="00794EB9" w:rsidP="00794EB9">
      <w:pPr>
        <w:pBdr>
          <w:top w:val="nil"/>
          <w:left w:val="nil"/>
          <w:bottom w:val="nil"/>
          <w:right w:val="nil"/>
          <w:between w:val="nil"/>
        </w:pBdr>
        <w:ind w:hanging="2"/>
        <w:jc w:val="both"/>
        <w:rPr>
          <w:rFonts w:ascii="Arial" w:hAnsi="Arial" w:cs="Arial"/>
          <w:i/>
          <w:sz w:val="22"/>
          <w:szCs w:val="22"/>
        </w:rPr>
      </w:pPr>
    </w:p>
    <w:p w14:paraId="3599FAAA"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A su vez, se diseñaron cuatro escenarios futuros alternativos denominados: Ciudad Quieta, Ciudad Laboral, Ciudad para Todos y Ciudad Próspera. Para estos escenarios se hizo una valoración sobre cuáles eran los más probables y los más o menos deseables para León.</w:t>
      </w:r>
    </w:p>
    <w:p w14:paraId="6F32200D"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710479D2"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Escenarios futuros para León</w:t>
      </w:r>
    </w:p>
    <w:p w14:paraId="53C26B18" w14:textId="77777777" w:rsidR="00794EB9" w:rsidRPr="00794EB9" w:rsidRDefault="00794EB9" w:rsidP="00794EB9">
      <w:pPr>
        <w:ind w:hanging="2"/>
        <w:jc w:val="center"/>
        <w:rPr>
          <w:rFonts w:ascii="Arial" w:hAnsi="Arial" w:cs="Arial"/>
          <w:sz w:val="22"/>
          <w:szCs w:val="22"/>
        </w:rPr>
      </w:pPr>
      <w:r w:rsidRPr="00794EB9">
        <w:rPr>
          <w:rFonts w:ascii="Arial" w:eastAsia="Calibri" w:hAnsi="Arial" w:cs="Arial"/>
          <w:noProof/>
          <w:sz w:val="22"/>
          <w:szCs w:val="22"/>
          <w:lang w:val="es-MX" w:eastAsia="es-MX"/>
        </w:rPr>
        <w:drawing>
          <wp:inline distT="0" distB="0" distL="0" distR="0" wp14:anchorId="3334CBF0" wp14:editId="0B8081A5">
            <wp:extent cx="5912485" cy="2925030"/>
            <wp:effectExtent l="0" t="0" r="0" b="8890"/>
            <wp:docPr id="111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5" cstate="print">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912485" cy="2925030"/>
                    </a:xfrm>
                    <a:prstGeom prst="rect">
                      <a:avLst/>
                    </a:prstGeom>
                    <a:ln/>
                  </pic:spPr>
                </pic:pic>
              </a:graphicData>
            </a:graphic>
          </wp:inline>
        </w:drawing>
      </w:r>
    </w:p>
    <w:p w14:paraId="649350A8"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 xml:space="preserve">Fuente: Plan Municipal de Desarrollo. León Hacia el Futuro. Visión 2045 </w:t>
      </w:r>
    </w:p>
    <w:p w14:paraId="028A2E2D"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0A1A3278"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Como resultado se estableció que “Ciudad para Todos” y “Ciudad Próspera” son los escenarios más deseables en el largo plazo, al ser dos escenarios complementarios, ya que, mientras en uno se abordan temas como el modelo de gobernanza, co-creación, prosperidad inclusiva y un desarrollo social equilibrado. En el otro se establece un tema de inclusión, accesibilidad y regeneración del entorno, los cuales son elementos que facilitan la adopción de metas para lograr una ciudad sustentable.</w:t>
      </w:r>
    </w:p>
    <w:p w14:paraId="2A0EC8F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14406C0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Por su parte, el escenario de “Ciudad Laboral” fue considerado como deseable y estratégico para lograrse en el mediano plazo. De llevarse a cabo este escenario en el tiempo proyectado, permitirá que los escenarios más deseables se puedan dar.  En este se prevé un crecimiento económico gracias a la diversificación local y la adopción de las tecnologías. </w:t>
      </w:r>
    </w:p>
    <w:p w14:paraId="067C73D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F74B889"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A partir de la pandemia por COVID – 19, se analizó un radar de tendencias que muestra los impactos en tres momentos (choque inicial de corto plazo, fase de recuperación de mediano plazo y el mundo después en un largo plazo) en ámbitos como: preparación social, salud y bienestar, trabajo y estilo de vida, industria y manufactura, servicios y consumo, economía y comercio.</w:t>
      </w:r>
    </w:p>
    <w:p w14:paraId="6BD85584"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555A735"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Todo esto sirvió de base para la construcción de un </w:t>
      </w:r>
      <w:r w:rsidRPr="00794EB9">
        <w:rPr>
          <w:rFonts w:ascii="Arial" w:hAnsi="Arial" w:cs="Arial"/>
          <w:b/>
          <w:sz w:val="22"/>
          <w:szCs w:val="22"/>
        </w:rPr>
        <w:t>modelo de desarrollo</w:t>
      </w:r>
      <w:r w:rsidRPr="00794EB9">
        <w:rPr>
          <w:rFonts w:ascii="Arial" w:hAnsi="Arial" w:cs="Arial"/>
          <w:sz w:val="22"/>
          <w:szCs w:val="22"/>
        </w:rPr>
        <w:t xml:space="preserve"> integral de León conformado por una visión al 2045, un modelo territorial, cuatro piedras angulares, 20 pilares y 240 acciones de las cuales 45 son proyectos de gran visión y 45 proyectos prioritarios.</w:t>
      </w:r>
    </w:p>
    <w:p w14:paraId="21FC78A5"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DAD03FE"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eastAsia="Calibri" w:hAnsi="Arial" w:cs="Arial"/>
          <w:noProof/>
          <w:sz w:val="22"/>
          <w:szCs w:val="22"/>
          <w:lang w:val="es-MX" w:eastAsia="es-MX"/>
        </w:rPr>
        <w:lastRenderedPageBreak/>
        <w:drawing>
          <wp:inline distT="0" distB="0" distL="0" distR="0" wp14:anchorId="5BFA470B" wp14:editId="2B84625D">
            <wp:extent cx="6203315" cy="3286125"/>
            <wp:effectExtent l="0" t="0" r="6985" b="0"/>
            <wp:docPr id="111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7">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6203315" cy="3286125"/>
                    </a:xfrm>
                    <a:prstGeom prst="rect">
                      <a:avLst/>
                    </a:prstGeom>
                    <a:ln/>
                  </pic:spPr>
                </pic:pic>
              </a:graphicData>
            </a:graphic>
          </wp:inline>
        </w:drawing>
      </w:r>
    </w:p>
    <w:p w14:paraId="217F0E01"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Fuente: Plan Municipal de Desarrollo. León Hacia el Futuro. Visión 2045</w:t>
      </w:r>
    </w:p>
    <w:p w14:paraId="2248F10A"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353DAB5"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2FA35EF"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Congruencia del Programa de Gobierno municipal con el Plan Municipal de Desarrollo. León Hacia el Futuro. Visión 2045.</w:t>
      </w:r>
    </w:p>
    <w:p w14:paraId="73F3E60A" w14:textId="77777777" w:rsidR="00794EB9" w:rsidRPr="00794EB9" w:rsidRDefault="00794EB9" w:rsidP="00794EB9">
      <w:pPr>
        <w:pBdr>
          <w:top w:val="nil"/>
          <w:left w:val="nil"/>
          <w:bottom w:val="nil"/>
          <w:right w:val="nil"/>
          <w:between w:val="nil"/>
        </w:pBdr>
        <w:ind w:hanging="2"/>
        <w:jc w:val="center"/>
        <w:rPr>
          <w:rFonts w:ascii="Arial" w:eastAsia="Calibri" w:hAnsi="Arial" w:cs="Arial"/>
          <w:sz w:val="22"/>
          <w:szCs w:val="22"/>
        </w:rPr>
      </w:pPr>
      <w:r w:rsidRPr="00794EB9">
        <w:rPr>
          <w:rFonts w:ascii="Arial" w:hAnsi="Arial" w:cs="Arial"/>
          <w:noProof/>
          <w:sz w:val="22"/>
          <w:szCs w:val="22"/>
          <w:lang w:val="es-MX" w:eastAsia="es-MX"/>
        </w:rPr>
        <w:drawing>
          <wp:inline distT="114300" distB="114300" distL="114300" distR="114300" wp14:anchorId="10BE5CCF" wp14:editId="71FB2E90">
            <wp:extent cx="4615576" cy="2787524"/>
            <wp:effectExtent l="0" t="0" r="0" b="0"/>
            <wp:docPr id="111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9" cstate="print">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615576" cy="2787524"/>
                    </a:xfrm>
                    <a:prstGeom prst="rect">
                      <a:avLst/>
                    </a:prstGeom>
                    <a:ln/>
                  </pic:spPr>
                </pic:pic>
              </a:graphicData>
            </a:graphic>
          </wp:inline>
        </w:drawing>
      </w:r>
    </w:p>
    <w:p w14:paraId="6ECD1420" w14:textId="77777777" w:rsidR="00794EB9" w:rsidRPr="00794EB9" w:rsidRDefault="00794EB9" w:rsidP="00794EB9">
      <w:pPr>
        <w:pBdr>
          <w:top w:val="nil"/>
          <w:left w:val="nil"/>
          <w:bottom w:val="nil"/>
          <w:right w:val="nil"/>
          <w:between w:val="nil"/>
        </w:pBdr>
        <w:ind w:hanging="2"/>
        <w:jc w:val="both"/>
        <w:rPr>
          <w:rFonts w:ascii="Arial" w:eastAsia="Calibri" w:hAnsi="Arial" w:cs="Arial"/>
          <w:sz w:val="22"/>
          <w:szCs w:val="22"/>
        </w:rPr>
      </w:pPr>
    </w:p>
    <w:p w14:paraId="4C8A11A0"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De manera particular, en el </w:t>
      </w:r>
      <w:r w:rsidRPr="00794EB9">
        <w:rPr>
          <w:rFonts w:ascii="Arial" w:hAnsi="Arial" w:cs="Arial"/>
          <w:i/>
          <w:sz w:val="22"/>
          <w:szCs w:val="22"/>
        </w:rPr>
        <w:t>Anexo 1. Se muestra la alineación del planteamiento estratégico general del Programa de Gobierno Municipal de León 2021-2024 con los objetivos y estrategias de instrumentos superiores de planeación</w:t>
      </w:r>
      <w:r w:rsidRPr="00794EB9">
        <w:rPr>
          <w:rFonts w:ascii="Arial" w:hAnsi="Arial" w:cs="Arial"/>
          <w:sz w:val="22"/>
          <w:szCs w:val="22"/>
        </w:rPr>
        <w:t>.</w:t>
      </w:r>
    </w:p>
    <w:p w14:paraId="67D306A8"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5B34B9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Por su parte, el </w:t>
      </w:r>
      <w:r w:rsidRPr="00794EB9">
        <w:rPr>
          <w:rFonts w:ascii="Arial" w:hAnsi="Arial" w:cs="Arial"/>
          <w:b/>
          <w:i/>
          <w:sz w:val="22"/>
          <w:szCs w:val="22"/>
        </w:rPr>
        <w:t xml:space="preserve">Programa Municipal de Desarrollo Urbano y Ordenamiento Ecológico y Territorial </w:t>
      </w:r>
      <w:r w:rsidRPr="00794EB9">
        <w:rPr>
          <w:rFonts w:ascii="Arial" w:hAnsi="Arial" w:cs="Arial"/>
          <w:sz w:val="22"/>
          <w:szCs w:val="22"/>
        </w:rPr>
        <w:t xml:space="preserve">(PMDUOET) define las políticas de ordenamiento ecológico y urbano- </w:t>
      </w:r>
      <w:r w:rsidRPr="00794EB9">
        <w:rPr>
          <w:rFonts w:ascii="Arial" w:hAnsi="Arial" w:cs="Arial"/>
          <w:sz w:val="22"/>
          <w:szCs w:val="22"/>
        </w:rPr>
        <w:lastRenderedPageBreak/>
        <w:t xml:space="preserve">territorial, para establecer una distribución equilibrada de la población y de las actividades económicas, en función de las aptitudes y vocaciones territoriales. </w:t>
      </w:r>
    </w:p>
    <w:p w14:paraId="6A67197F"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104A07D6"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Este instrumento se constituye como la base para orientar el desarrollo del territorio hacia un modelo de consolidación, al promover las orientaciones para la ocupación intraurbana, la protección y conservación de los recursos naturales y el adecuado desarrollo de las actividades sociales y económicas en el territorio municipal.</w:t>
      </w:r>
    </w:p>
    <w:p w14:paraId="031B6966" w14:textId="77777777" w:rsidR="00794EB9" w:rsidRPr="00794EB9" w:rsidRDefault="00794EB9" w:rsidP="00794EB9">
      <w:pPr>
        <w:pBdr>
          <w:top w:val="nil"/>
          <w:left w:val="nil"/>
          <w:bottom w:val="nil"/>
          <w:right w:val="nil"/>
          <w:between w:val="nil"/>
        </w:pBdr>
        <w:jc w:val="both"/>
        <w:rPr>
          <w:rFonts w:ascii="Arial" w:hAnsi="Arial" w:cs="Arial"/>
          <w:sz w:val="22"/>
          <w:szCs w:val="22"/>
        </w:rPr>
      </w:pPr>
    </w:p>
    <w:p w14:paraId="4DA71A9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este se establecen programas y proyectos de corto, mediano y largo plazos, correspondientes a los componentes: sustentabilidad ambiental, vivienda y entorno urbano, movilidad sustentable, rumbo económico, desarrollo social, seguridad ciudadana y buen gobierno.</w:t>
      </w:r>
    </w:p>
    <w:p w14:paraId="1EB2DC1C" w14:textId="77777777" w:rsidR="00794EB9" w:rsidRPr="00794EB9" w:rsidRDefault="00794EB9" w:rsidP="00794EB9">
      <w:pPr>
        <w:ind w:hanging="2"/>
        <w:jc w:val="both"/>
        <w:rPr>
          <w:rFonts w:ascii="Arial" w:hAnsi="Arial" w:cs="Arial"/>
          <w:sz w:val="22"/>
          <w:szCs w:val="22"/>
        </w:rPr>
      </w:pPr>
    </w:p>
    <w:p w14:paraId="4EB2E7D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Se define un Modelo de Desarrollo Territorial en el que, a partir de las vocaciones de territorio, se determinan las oportunidades de desarrollo del municipio, reconociendo la importancia de León en su entorno regional y metropolitano, además de los retos que enfrenta por su colindancia con el estado de Jalisco y otros municipios del estado de Guanajuato. </w:t>
      </w:r>
    </w:p>
    <w:p w14:paraId="407478B2" w14:textId="77777777" w:rsidR="00794EB9" w:rsidRPr="00794EB9" w:rsidRDefault="00794EB9" w:rsidP="00794EB9">
      <w:pPr>
        <w:ind w:hanging="2"/>
        <w:jc w:val="both"/>
        <w:rPr>
          <w:rFonts w:ascii="Arial" w:hAnsi="Arial" w:cs="Arial"/>
          <w:sz w:val="22"/>
          <w:szCs w:val="22"/>
        </w:rPr>
      </w:pPr>
    </w:p>
    <w:p w14:paraId="4F4725D8"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Modelo de Desarrollo Territorial. León Hacia el Futuro. Visión 2045.</w:t>
      </w:r>
    </w:p>
    <w:p w14:paraId="7783BFDC" w14:textId="77777777" w:rsidR="00794EB9" w:rsidRPr="00794EB9" w:rsidRDefault="00794EB9" w:rsidP="00794EB9">
      <w:pPr>
        <w:ind w:hanging="2"/>
        <w:jc w:val="center"/>
        <w:rPr>
          <w:rFonts w:ascii="Arial" w:eastAsia="Calibri" w:hAnsi="Arial" w:cs="Arial"/>
          <w:sz w:val="22"/>
          <w:szCs w:val="22"/>
        </w:rPr>
      </w:pPr>
      <w:r w:rsidRPr="00794EB9">
        <w:rPr>
          <w:rFonts w:ascii="Arial" w:eastAsia="Calibri" w:hAnsi="Arial" w:cs="Arial"/>
          <w:noProof/>
          <w:sz w:val="22"/>
          <w:szCs w:val="22"/>
          <w:lang w:val="es-MX" w:eastAsia="es-MX"/>
        </w:rPr>
        <w:drawing>
          <wp:inline distT="0" distB="0" distL="0" distR="0" wp14:anchorId="4C364173" wp14:editId="5879AB6C">
            <wp:extent cx="3326321" cy="4160904"/>
            <wp:effectExtent l="0" t="0" r="7620" b="0"/>
            <wp:docPr id="1119" name="image44.jpg" descr="PMD_MODELO_MUNICIPAL"/>
            <wp:cNvGraphicFramePr/>
            <a:graphic xmlns:a="http://schemas.openxmlformats.org/drawingml/2006/main">
              <a:graphicData uri="http://schemas.openxmlformats.org/drawingml/2006/picture">
                <pic:pic xmlns:pic="http://schemas.openxmlformats.org/drawingml/2006/picture">
                  <pic:nvPicPr>
                    <pic:cNvPr id="0" name="image44.jpg" descr="PMD_MODELO_MUNICIPAL"/>
                    <pic:cNvPicPr preferRelativeResize="0"/>
                  </pic:nvPicPr>
                  <pic:blipFill>
                    <a:blip r:embed="rId21">
                      <a:extLst>
                        <a:ext uri="{BEBA8EAE-BF5A-486C-A8C5-ECC9F3942E4B}">
                          <a14:imgProps xmlns:a14="http://schemas.microsoft.com/office/drawing/2010/main">
                            <a14:imgLayer r:embed="rId22">
                              <a14:imgEffect>
                                <a14:saturation sat="0"/>
                              </a14:imgEffect>
                            </a14:imgLayer>
                          </a14:imgProps>
                        </a:ext>
                      </a:extLst>
                    </a:blip>
                    <a:srcRect l="898" t="694" r="899" b="4654"/>
                    <a:stretch>
                      <a:fillRect/>
                    </a:stretch>
                  </pic:blipFill>
                  <pic:spPr>
                    <a:xfrm>
                      <a:off x="0" y="0"/>
                      <a:ext cx="3326321" cy="4160904"/>
                    </a:xfrm>
                    <a:prstGeom prst="rect">
                      <a:avLst/>
                    </a:prstGeom>
                    <a:ln/>
                  </pic:spPr>
                </pic:pic>
              </a:graphicData>
            </a:graphic>
          </wp:inline>
        </w:drawing>
      </w:r>
    </w:p>
    <w:p w14:paraId="14644672"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 xml:space="preserve">Fuente: Plan Municipal de Desarrollo. León Hacia el Futuro. Visión 2045 </w:t>
      </w:r>
    </w:p>
    <w:p w14:paraId="65EF5010" w14:textId="77777777" w:rsidR="00794EB9" w:rsidRPr="00794EB9" w:rsidRDefault="00794EB9" w:rsidP="00794EB9">
      <w:pPr>
        <w:ind w:hanging="2"/>
        <w:jc w:val="both"/>
        <w:rPr>
          <w:rFonts w:ascii="Arial" w:hAnsi="Arial" w:cs="Arial"/>
          <w:sz w:val="22"/>
          <w:szCs w:val="22"/>
        </w:rPr>
      </w:pPr>
    </w:p>
    <w:p w14:paraId="28DF6F0C"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En el Modelo Territorial se reconocen dos grandes zonas naturales: la sierra de gran valor ambiental al norte y la zona sur que representa un área de conservación, reserva y recarga del acuífero con un claro potencial para el desarrollo agroalimentario. Se ubica el centro de </w:t>
      </w:r>
      <w:r w:rsidRPr="00794EB9">
        <w:rPr>
          <w:rFonts w:ascii="Arial" w:hAnsi="Arial" w:cs="Arial"/>
          <w:sz w:val="22"/>
          <w:szCs w:val="22"/>
        </w:rPr>
        <w:lastRenderedPageBreak/>
        <w:t>la ciudad, que concentra las principales actividades comerciales y de servicios con una visión de un esquema ordenado, densificado y competitivo.</w:t>
      </w:r>
    </w:p>
    <w:p w14:paraId="1EB3F528" w14:textId="77777777" w:rsidR="00794EB9" w:rsidRPr="00794EB9" w:rsidRDefault="00794EB9" w:rsidP="00794EB9">
      <w:pPr>
        <w:rPr>
          <w:rFonts w:ascii="Arial" w:hAnsi="Arial" w:cs="Arial"/>
          <w:sz w:val="22"/>
          <w:szCs w:val="22"/>
          <w:lang w:eastAsia="es-MX"/>
        </w:rPr>
      </w:pPr>
    </w:p>
    <w:p w14:paraId="78D0B22E" w14:textId="77777777" w:rsidR="00794EB9" w:rsidRPr="00794EB9" w:rsidRDefault="00794EB9" w:rsidP="00794EB9">
      <w:pPr>
        <w:pStyle w:val="TtuloPG2"/>
        <w:ind w:left="0"/>
        <w:rPr>
          <w:color w:val="auto"/>
          <w:sz w:val="22"/>
          <w:szCs w:val="22"/>
          <w:lang w:eastAsia="es-MX"/>
        </w:rPr>
      </w:pPr>
      <w:r w:rsidRPr="00794EB9">
        <w:rPr>
          <w:color w:val="auto"/>
          <w:sz w:val="22"/>
          <w:szCs w:val="22"/>
          <w:lang w:eastAsia="es-MX"/>
        </w:rPr>
        <w:t>PROCESO DE ELABORACIÓN</w:t>
      </w:r>
    </w:p>
    <w:p w14:paraId="795086D1" w14:textId="77777777" w:rsidR="00794EB9" w:rsidRPr="00794EB9" w:rsidRDefault="00794EB9" w:rsidP="00794EB9">
      <w:pPr>
        <w:ind w:hanging="2"/>
        <w:jc w:val="both"/>
        <w:rPr>
          <w:rFonts w:ascii="Arial" w:hAnsi="Arial" w:cs="Arial"/>
          <w:sz w:val="22"/>
          <w:szCs w:val="22"/>
        </w:rPr>
      </w:pPr>
    </w:p>
    <w:p w14:paraId="215106B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la fase inicial se llevó a cabo una revisión y análisis de las principales propuestas derivadas de los instrumentos del sistema municipal de planeación, como el Plan Municipal de Desarrollo, León hacia el futuro, Visión 2045; el Programa Municipal de Desarrollo Urbano y Ordenamiento Ecológico y Territorial, así como la Consulta Ciudadana 2018-2021 del COPLADEM y la Cartera de Programas y proyectos de inversión 2021-2024.</w:t>
      </w:r>
    </w:p>
    <w:p w14:paraId="3C7BB85B" w14:textId="77777777" w:rsidR="00794EB9" w:rsidRPr="00794EB9" w:rsidRDefault="00794EB9" w:rsidP="00794EB9">
      <w:pPr>
        <w:ind w:hanging="2"/>
        <w:jc w:val="both"/>
        <w:rPr>
          <w:rFonts w:ascii="Arial" w:hAnsi="Arial" w:cs="Arial"/>
          <w:sz w:val="22"/>
          <w:szCs w:val="22"/>
        </w:rPr>
      </w:pPr>
    </w:p>
    <w:p w14:paraId="715C4A0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este proceso de elaboración se llevó a cabo un ejercicio histórico de participación ciudadana denominado “Escucha Ciudadana” en el cual participaron más de 14 mil personas, las cuales permitieron identificar los principales retos y problemáticas de la ciudad, entre las que destacan la seguridad, la reactivación económica, el gobierno abierto, la salud, los espacios públicos, la movilidad, los servicios municipales y la inclusión social.</w:t>
      </w:r>
    </w:p>
    <w:p w14:paraId="7C90FFFA" w14:textId="77777777" w:rsidR="00794EB9" w:rsidRPr="00794EB9" w:rsidRDefault="00794EB9" w:rsidP="00794EB9">
      <w:pPr>
        <w:ind w:hanging="2"/>
        <w:jc w:val="both"/>
        <w:rPr>
          <w:rFonts w:ascii="Arial" w:hAnsi="Arial" w:cs="Arial"/>
          <w:sz w:val="22"/>
          <w:szCs w:val="22"/>
        </w:rPr>
      </w:pPr>
    </w:p>
    <w:p w14:paraId="61B9096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Asimismo, en la fase de integración se plantearon propuestas estratégicas de la mano con todas las dependencias y entidades municipales, de tal manera que estas atendieran las necesidades y problemáticas de la iniciativa de “Escucha Ciudadana”.</w:t>
      </w:r>
    </w:p>
    <w:p w14:paraId="12AA06A4" w14:textId="77777777" w:rsidR="00794EB9" w:rsidRPr="00794EB9" w:rsidRDefault="00794EB9" w:rsidP="00794EB9">
      <w:pPr>
        <w:ind w:hanging="2"/>
        <w:jc w:val="both"/>
        <w:rPr>
          <w:rFonts w:ascii="Arial" w:hAnsi="Arial" w:cs="Arial"/>
          <w:sz w:val="22"/>
          <w:szCs w:val="22"/>
        </w:rPr>
      </w:pPr>
    </w:p>
    <w:p w14:paraId="1FCD75BB"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Como parte del proceso de revisión del documento, se llevaron a cabo mesas de análisis con miembros del H. Ayuntamiento, con la intención de analizar los contenidos de las propuestas y conformar la versión que sería sometida a aprobación.</w:t>
      </w:r>
    </w:p>
    <w:p w14:paraId="282A4A98" w14:textId="77777777" w:rsidR="00794EB9" w:rsidRPr="00794EB9" w:rsidRDefault="00794EB9" w:rsidP="00794EB9">
      <w:pPr>
        <w:ind w:hanging="2"/>
        <w:jc w:val="both"/>
        <w:rPr>
          <w:rFonts w:ascii="Arial" w:hAnsi="Arial" w:cs="Arial"/>
          <w:sz w:val="22"/>
          <w:szCs w:val="22"/>
        </w:rPr>
      </w:pPr>
    </w:p>
    <w:p w14:paraId="797C83E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El 29 de noviembre de 2021 se remitió el proyecto del Programa de Gobierno Municipal 2021-2024 al Instituto de Planeación, Estadística y Geografía del Estado de Guanajuato (IPLANEG) para su revisión y dictaminación de alineación, congruencia y consistencia con la planeación estatal.</w:t>
      </w:r>
    </w:p>
    <w:p w14:paraId="38DC46B3" w14:textId="77777777" w:rsidR="00794EB9" w:rsidRPr="00794EB9" w:rsidRDefault="00794EB9" w:rsidP="00794EB9">
      <w:pPr>
        <w:ind w:hanging="2"/>
        <w:jc w:val="both"/>
        <w:rPr>
          <w:rFonts w:ascii="Arial" w:hAnsi="Arial" w:cs="Arial"/>
          <w:sz w:val="22"/>
          <w:szCs w:val="22"/>
        </w:rPr>
      </w:pPr>
    </w:p>
    <w:p w14:paraId="7591138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Asimismo, el 3 de diciembre de 2021 se presentó ante el Consejo de Planeación de Desarrollo Municipal de León la propuesta del Programa Gobierno Municipal 2021-2024.</w:t>
      </w:r>
    </w:p>
    <w:p w14:paraId="59A6D4FE" w14:textId="77777777" w:rsidR="00794EB9" w:rsidRPr="00794EB9" w:rsidRDefault="00794EB9" w:rsidP="00794EB9">
      <w:pPr>
        <w:ind w:hanging="2"/>
        <w:jc w:val="both"/>
        <w:rPr>
          <w:rFonts w:ascii="Arial" w:hAnsi="Arial" w:cs="Arial"/>
          <w:sz w:val="22"/>
          <w:szCs w:val="22"/>
        </w:rPr>
      </w:pPr>
    </w:p>
    <w:p w14:paraId="704601E4"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La mesa de revisión y análisis con Comisiones Unidas de Gobierno, Seguridad Pública, Academia Metropolitana, Tránsito y Prevención del Delito; así como de Desarrollo Urbano, Ordenamiento Ecológico y Territorial, IMPLAN y Obra Pública se realizó el día 15 de diciembre de 2021.</w:t>
      </w:r>
    </w:p>
    <w:p w14:paraId="48C37E11" w14:textId="77777777" w:rsidR="00794EB9" w:rsidRPr="00794EB9" w:rsidRDefault="00794EB9" w:rsidP="00794EB9">
      <w:pPr>
        <w:ind w:hanging="2"/>
        <w:jc w:val="both"/>
        <w:rPr>
          <w:rFonts w:ascii="Arial" w:hAnsi="Arial" w:cs="Arial"/>
          <w:sz w:val="22"/>
          <w:szCs w:val="22"/>
        </w:rPr>
      </w:pPr>
    </w:p>
    <w:p w14:paraId="0EC81DEE"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Finalmente, el Programa de Gobierno Municipal fue sometido a aprobación dentro del punto V del orden del día, de la sesión ordinaria del Honorable Ayuntamiento de León, celebrada en fecha 16 de diciembre de la presente anualidad.</w:t>
      </w:r>
    </w:p>
    <w:p w14:paraId="2E30FF71" w14:textId="77777777" w:rsidR="00794EB9" w:rsidRPr="00794EB9" w:rsidRDefault="00794EB9" w:rsidP="00794EB9">
      <w:pPr>
        <w:ind w:hanging="2"/>
        <w:jc w:val="both"/>
        <w:rPr>
          <w:rFonts w:ascii="Arial" w:hAnsi="Arial" w:cs="Arial"/>
          <w:sz w:val="22"/>
          <w:szCs w:val="22"/>
        </w:rPr>
      </w:pPr>
    </w:p>
    <w:p w14:paraId="28C44C92" w14:textId="77777777" w:rsidR="00794EB9" w:rsidRPr="00794EB9" w:rsidRDefault="00794EB9" w:rsidP="00794EB9">
      <w:pPr>
        <w:ind w:hanging="2"/>
        <w:jc w:val="both"/>
        <w:rPr>
          <w:rFonts w:ascii="Arial" w:hAnsi="Arial" w:cs="Arial"/>
          <w:sz w:val="22"/>
          <w:szCs w:val="22"/>
        </w:rPr>
      </w:pPr>
    </w:p>
    <w:p w14:paraId="0DBA5190" w14:textId="77777777" w:rsidR="00794EB9" w:rsidRPr="00794EB9" w:rsidRDefault="00794EB9" w:rsidP="00794EB9">
      <w:pPr>
        <w:ind w:hanging="2"/>
        <w:jc w:val="both"/>
        <w:rPr>
          <w:rFonts w:ascii="Arial" w:hAnsi="Arial" w:cs="Arial"/>
          <w:sz w:val="22"/>
          <w:szCs w:val="22"/>
        </w:rPr>
      </w:pPr>
    </w:p>
    <w:p w14:paraId="3FD7B098" w14:textId="77777777" w:rsidR="00794EB9" w:rsidRPr="00794EB9" w:rsidRDefault="00794EB9" w:rsidP="00794EB9">
      <w:pPr>
        <w:ind w:hanging="2"/>
        <w:jc w:val="both"/>
        <w:rPr>
          <w:rFonts w:ascii="Arial" w:hAnsi="Arial" w:cs="Arial"/>
          <w:sz w:val="22"/>
          <w:szCs w:val="22"/>
        </w:rPr>
      </w:pPr>
    </w:p>
    <w:p w14:paraId="509E824C" w14:textId="77777777" w:rsidR="00794EB9" w:rsidRPr="00794EB9" w:rsidRDefault="00794EB9" w:rsidP="00794EB9">
      <w:pPr>
        <w:pStyle w:val="TtuloPG2"/>
        <w:ind w:left="0"/>
        <w:rPr>
          <w:color w:val="auto"/>
          <w:sz w:val="22"/>
          <w:szCs w:val="22"/>
          <w:lang w:eastAsia="es-MX"/>
        </w:rPr>
      </w:pPr>
      <w:r w:rsidRPr="00794EB9">
        <w:rPr>
          <w:color w:val="auto"/>
          <w:sz w:val="22"/>
          <w:szCs w:val="22"/>
          <w:lang w:eastAsia="es-MX"/>
        </w:rPr>
        <w:t>ESTRUCTURA ORGÁNICA</w:t>
      </w:r>
    </w:p>
    <w:p w14:paraId="6BF97799" w14:textId="77777777" w:rsidR="00794EB9" w:rsidRPr="00794EB9" w:rsidRDefault="00794EB9" w:rsidP="00794EB9">
      <w:pPr>
        <w:ind w:hanging="2"/>
        <w:jc w:val="both"/>
        <w:rPr>
          <w:rFonts w:ascii="Arial" w:hAnsi="Arial" w:cs="Arial"/>
          <w:sz w:val="22"/>
          <w:szCs w:val="22"/>
        </w:rPr>
      </w:pPr>
    </w:p>
    <w:p w14:paraId="5C6E083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La administración pública municipal de León, Guanajuato, cuenta con una estructura recientemente establecida para enfrentar las adversidades que ha planteado la pandemia y atender los efectos sociales, económicos y de infraestructura que ha tenido en la sociedad y el territorio de León.</w:t>
      </w:r>
    </w:p>
    <w:p w14:paraId="043D10F4" w14:textId="77777777" w:rsidR="00794EB9" w:rsidRPr="00794EB9" w:rsidRDefault="00794EB9" w:rsidP="00794EB9">
      <w:pPr>
        <w:ind w:hanging="2"/>
        <w:jc w:val="both"/>
        <w:rPr>
          <w:rFonts w:ascii="Arial" w:hAnsi="Arial" w:cs="Arial"/>
          <w:sz w:val="22"/>
          <w:szCs w:val="22"/>
        </w:rPr>
      </w:pPr>
    </w:p>
    <w:p w14:paraId="35C0094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Dicha estructura se divide en administración pública centralizada y paramunicipal.</w:t>
      </w:r>
    </w:p>
    <w:p w14:paraId="232FC753" w14:textId="77777777" w:rsidR="00794EB9" w:rsidRPr="00794EB9" w:rsidRDefault="00794EB9" w:rsidP="00794EB9">
      <w:pPr>
        <w:ind w:hanging="2"/>
        <w:jc w:val="both"/>
        <w:rPr>
          <w:rFonts w:ascii="Arial" w:hAnsi="Arial" w:cs="Arial"/>
          <w:sz w:val="22"/>
          <w:szCs w:val="22"/>
        </w:rPr>
      </w:pPr>
    </w:p>
    <w:p w14:paraId="7AFE844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ese sentido, la administración pública municipal centralizada cuenta con la siguiente estructura orgánica general, de acuerdo con lo establecido en el artículo 15, Capítulo Segundo del Reglamento interior de la administración pública municipal de León, Guanajuato:</w:t>
      </w:r>
    </w:p>
    <w:p w14:paraId="1125A2CA" w14:textId="77777777" w:rsidR="00794EB9" w:rsidRPr="00794EB9" w:rsidRDefault="00794EB9" w:rsidP="00794EB9">
      <w:pPr>
        <w:ind w:left="2" w:hanging="2"/>
        <w:jc w:val="both"/>
        <w:rPr>
          <w:rFonts w:ascii="Arial" w:hAnsi="Arial" w:cs="Arial"/>
          <w:sz w:val="22"/>
          <w:szCs w:val="22"/>
        </w:rPr>
      </w:pPr>
    </w:p>
    <w:p w14:paraId="6BE2D0C2"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Secretaría de Vinculación y Atención de los Leoneses;</w:t>
      </w:r>
    </w:p>
    <w:p w14:paraId="776F9736"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Secretaría del H. Ayuntamiento;</w:t>
      </w:r>
    </w:p>
    <w:p w14:paraId="0F08F2D3"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Tesorería Municipal;</w:t>
      </w:r>
    </w:p>
    <w:p w14:paraId="65583409"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Contraloría Municipal;</w:t>
      </w:r>
    </w:p>
    <w:p w14:paraId="03D11DA2"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 xml:space="preserve">Secretaría de Seguridad, Prevención y Protección Ciudadana; </w:t>
      </w:r>
    </w:p>
    <w:p w14:paraId="086A7399"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Secretaría para el Fortalecimiento Social de León;</w:t>
      </w:r>
    </w:p>
    <w:p w14:paraId="76E15A58"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 xml:space="preserve">Secretaría para la Reactivación Económica de León; </w:t>
      </w:r>
    </w:p>
    <w:p w14:paraId="3E53D0CA"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Dirección General de Comunicación Social;</w:t>
      </w:r>
    </w:p>
    <w:p w14:paraId="307DA1BC"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Dirección General de Desarrollo Institucional;</w:t>
      </w:r>
    </w:p>
    <w:p w14:paraId="5EB286A8"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 xml:space="preserve">Dirección General de Desarrollo Urbano; </w:t>
      </w:r>
    </w:p>
    <w:p w14:paraId="01E4C150"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Dirección General de Educación;</w:t>
      </w:r>
    </w:p>
    <w:p w14:paraId="3FD8CB37"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Dirección General de Gestión Gubernamental;</w:t>
      </w:r>
    </w:p>
    <w:p w14:paraId="7AF8DCD0"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Dirección General de Medio Ambiente;</w:t>
      </w:r>
    </w:p>
    <w:p w14:paraId="383C149E"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Dirección General de Movilidad;</w:t>
      </w:r>
    </w:p>
    <w:p w14:paraId="73EFD161"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 xml:space="preserve">Dirección General de Obra Pública; </w:t>
      </w:r>
    </w:p>
    <w:p w14:paraId="52406A3A"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Dirección General de Salud, y</w:t>
      </w:r>
    </w:p>
    <w:p w14:paraId="0C3813CE"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Unidad de Transparencia.</w:t>
      </w:r>
    </w:p>
    <w:p w14:paraId="5E5C8C6B" w14:textId="77777777" w:rsidR="00794EB9" w:rsidRPr="00794EB9" w:rsidRDefault="00794EB9" w:rsidP="00794EB9">
      <w:pPr>
        <w:pStyle w:val="Prrafodelista"/>
        <w:ind w:left="0" w:hanging="2"/>
        <w:jc w:val="both"/>
        <w:rPr>
          <w:rFonts w:ascii="Arial" w:hAnsi="Arial" w:cs="Arial"/>
          <w:sz w:val="22"/>
          <w:szCs w:val="22"/>
        </w:rPr>
      </w:pPr>
    </w:p>
    <w:p w14:paraId="1F83C2C2" w14:textId="77777777" w:rsidR="00794EB9" w:rsidRPr="00794EB9" w:rsidRDefault="00794EB9" w:rsidP="00794EB9">
      <w:pPr>
        <w:jc w:val="both"/>
        <w:rPr>
          <w:rFonts w:ascii="Arial" w:hAnsi="Arial" w:cs="Arial"/>
          <w:i/>
          <w:sz w:val="22"/>
          <w:szCs w:val="22"/>
        </w:rPr>
      </w:pPr>
      <w:r w:rsidRPr="00794EB9">
        <w:rPr>
          <w:rFonts w:ascii="Arial" w:hAnsi="Arial" w:cs="Arial"/>
          <w:sz w:val="22"/>
          <w:szCs w:val="22"/>
        </w:rPr>
        <w:t xml:space="preserve">La administración pública paramunicipal se integra con los organismos descentralizados, empresas de participación municipal, fideicomisos públicos municipales, comisiones, patronatos y comités. </w:t>
      </w:r>
      <w:r w:rsidRPr="00794EB9">
        <w:rPr>
          <w:rFonts w:ascii="Arial" w:hAnsi="Arial" w:cs="Arial"/>
          <w:i/>
          <w:sz w:val="22"/>
          <w:szCs w:val="22"/>
          <w:u w:val="single"/>
        </w:rPr>
        <w:t>(Artículo 195, del Reglamento interior de la administración pública municipal de León, Guanajuato)</w:t>
      </w:r>
    </w:p>
    <w:p w14:paraId="1CD356CF" w14:textId="77777777" w:rsidR="00794EB9" w:rsidRPr="00794EB9" w:rsidRDefault="00794EB9" w:rsidP="00794EB9">
      <w:pPr>
        <w:jc w:val="both"/>
        <w:rPr>
          <w:rFonts w:ascii="Arial" w:hAnsi="Arial" w:cs="Arial"/>
          <w:sz w:val="22"/>
          <w:szCs w:val="22"/>
        </w:rPr>
      </w:pPr>
    </w:p>
    <w:p w14:paraId="72B5FDDE"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Cabe destacar que con la finalidad de dotar de certeza y de posibilitar que los coordinadores de sector, conduzcan y coordinen las políticas públicas en el Municipio, las Dependencias y Entidades municipales se determinarán en los términos siguientes:</w:t>
      </w:r>
    </w:p>
    <w:p w14:paraId="4AD9101B" w14:textId="77777777" w:rsidR="00794EB9" w:rsidRPr="00794EB9" w:rsidRDefault="00794EB9" w:rsidP="00794EB9">
      <w:pPr>
        <w:jc w:val="both"/>
        <w:rPr>
          <w:rFonts w:ascii="Arial" w:hAnsi="Arial" w:cs="Arial"/>
          <w:sz w:val="22"/>
          <w:szCs w:val="22"/>
        </w:rPr>
      </w:pPr>
    </w:p>
    <w:p w14:paraId="044BA95D" w14:textId="77777777" w:rsidR="00794EB9" w:rsidRPr="00794EB9" w:rsidRDefault="00794EB9" w:rsidP="00794EB9">
      <w:pPr>
        <w:ind w:left="709" w:hanging="709"/>
        <w:jc w:val="both"/>
        <w:rPr>
          <w:rFonts w:ascii="Arial" w:hAnsi="Arial" w:cs="Arial"/>
          <w:sz w:val="22"/>
          <w:szCs w:val="22"/>
        </w:rPr>
      </w:pPr>
      <w:r w:rsidRPr="00794EB9">
        <w:rPr>
          <w:rFonts w:ascii="Arial" w:hAnsi="Arial" w:cs="Arial"/>
          <w:sz w:val="22"/>
          <w:szCs w:val="22"/>
        </w:rPr>
        <w:t>I.</w:t>
      </w:r>
      <w:r w:rsidRPr="00794EB9">
        <w:rPr>
          <w:rFonts w:ascii="Arial" w:hAnsi="Arial" w:cs="Arial"/>
          <w:sz w:val="22"/>
          <w:szCs w:val="22"/>
        </w:rPr>
        <w:tab/>
        <w:t xml:space="preserve">La </w:t>
      </w:r>
      <w:r w:rsidRPr="00794EB9">
        <w:rPr>
          <w:rFonts w:ascii="Arial" w:hAnsi="Arial" w:cs="Arial"/>
          <w:b/>
          <w:sz w:val="22"/>
          <w:szCs w:val="22"/>
        </w:rPr>
        <w:t>Secretaría del H. Ayuntamiento</w:t>
      </w:r>
      <w:r w:rsidRPr="00794EB9">
        <w:rPr>
          <w:rFonts w:ascii="Arial" w:hAnsi="Arial" w:cs="Arial"/>
          <w:sz w:val="22"/>
          <w:szCs w:val="22"/>
        </w:rPr>
        <w:t xml:space="preserve"> fungirá como coordinador de sector respecto de:</w:t>
      </w:r>
    </w:p>
    <w:p w14:paraId="65AD082F"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a.</w:t>
      </w:r>
      <w:r w:rsidRPr="00794EB9">
        <w:rPr>
          <w:rFonts w:ascii="Arial" w:hAnsi="Arial" w:cs="Arial"/>
          <w:sz w:val="22"/>
          <w:szCs w:val="22"/>
        </w:rPr>
        <w:tab/>
        <w:t>Instituto Municipal de Planeación (IMPLAN)</w:t>
      </w:r>
    </w:p>
    <w:p w14:paraId="3A1FE424" w14:textId="77777777" w:rsidR="00794EB9" w:rsidRPr="00794EB9" w:rsidRDefault="00794EB9" w:rsidP="00794EB9">
      <w:pPr>
        <w:jc w:val="both"/>
        <w:rPr>
          <w:rFonts w:ascii="Arial" w:hAnsi="Arial" w:cs="Arial"/>
          <w:sz w:val="22"/>
          <w:szCs w:val="22"/>
        </w:rPr>
      </w:pPr>
    </w:p>
    <w:p w14:paraId="74801696" w14:textId="77777777" w:rsidR="00794EB9" w:rsidRPr="00794EB9" w:rsidRDefault="00794EB9" w:rsidP="00794EB9">
      <w:pPr>
        <w:ind w:left="567" w:hanging="567"/>
        <w:jc w:val="both"/>
        <w:rPr>
          <w:rFonts w:ascii="Arial" w:hAnsi="Arial" w:cs="Arial"/>
          <w:sz w:val="22"/>
          <w:szCs w:val="22"/>
        </w:rPr>
      </w:pPr>
      <w:r w:rsidRPr="00794EB9">
        <w:rPr>
          <w:rFonts w:ascii="Arial" w:hAnsi="Arial" w:cs="Arial"/>
          <w:sz w:val="22"/>
          <w:szCs w:val="22"/>
        </w:rPr>
        <w:t>II.</w:t>
      </w:r>
      <w:r w:rsidRPr="00794EB9">
        <w:rPr>
          <w:rFonts w:ascii="Arial" w:hAnsi="Arial" w:cs="Arial"/>
          <w:sz w:val="22"/>
          <w:szCs w:val="22"/>
        </w:rPr>
        <w:tab/>
        <w:t xml:space="preserve">La </w:t>
      </w:r>
      <w:r w:rsidRPr="00794EB9">
        <w:rPr>
          <w:rFonts w:ascii="Arial" w:hAnsi="Arial" w:cs="Arial"/>
          <w:b/>
          <w:sz w:val="22"/>
          <w:szCs w:val="22"/>
        </w:rPr>
        <w:t>Secretaría de Seguridad, Prevención y Protección Ciudadana</w:t>
      </w:r>
      <w:r w:rsidRPr="00794EB9">
        <w:rPr>
          <w:rFonts w:ascii="Arial" w:hAnsi="Arial" w:cs="Arial"/>
          <w:sz w:val="22"/>
          <w:szCs w:val="22"/>
        </w:rPr>
        <w:t xml:space="preserve"> fungirá como coordinador de sector respecto de:</w:t>
      </w:r>
    </w:p>
    <w:p w14:paraId="70EF6CB4"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a.</w:t>
      </w:r>
      <w:r w:rsidRPr="00794EB9">
        <w:rPr>
          <w:rFonts w:ascii="Arial" w:hAnsi="Arial" w:cs="Arial"/>
          <w:sz w:val="22"/>
          <w:szCs w:val="22"/>
        </w:rPr>
        <w:tab/>
        <w:t>Heroico Cuerpo de Bomberos de León, Guanajuato, y</w:t>
      </w:r>
    </w:p>
    <w:p w14:paraId="2C2A2B1B"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b.</w:t>
      </w:r>
      <w:r w:rsidRPr="00794EB9">
        <w:rPr>
          <w:rFonts w:ascii="Arial" w:hAnsi="Arial" w:cs="Arial"/>
          <w:sz w:val="22"/>
          <w:szCs w:val="22"/>
        </w:rPr>
        <w:tab/>
        <w:t>Academia Metropolitana de Seguridad Pública de León, Guanajuato.</w:t>
      </w:r>
    </w:p>
    <w:p w14:paraId="68C46C12" w14:textId="77777777" w:rsidR="00794EB9" w:rsidRPr="00794EB9" w:rsidRDefault="00794EB9" w:rsidP="00794EB9">
      <w:pPr>
        <w:jc w:val="both"/>
        <w:rPr>
          <w:rFonts w:ascii="Arial" w:hAnsi="Arial" w:cs="Arial"/>
          <w:sz w:val="22"/>
          <w:szCs w:val="22"/>
        </w:rPr>
      </w:pPr>
    </w:p>
    <w:p w14:paraId="5272D065" w14:textId="77777777" w:rsidR="00794EB9" w:rsidRPr="00794EB9" w:rsidRDefault="00794EB9" w:rsidP="00794EB9">
      <w:pPr>
        <w:ind w:left="567" w:hanging="569"/>
        <w:jc w:val="both"/>
        <w:rPr>
          <w:rFonts w:ascii="Arial" w:hAnsi="Arial" w:cs="Arial"/>
          <w:sz w:val="22"/>
          <w:szCs w:val="22"/>
        </w:rPr>
      </w:pPr>
      <w:r w:rsidRPr="00794EB9">
        <w:rPr>
          <w:rFonts w:ascii="Arial" w:hAnsi="Arial" w:cs="Arial"/>
          <w:sz w:val="22"/>
          <w:szCs w:val="22"/>
        </w:rPr>
        <w:t>III.</w:t>
      </w:r>
      <w:r w:rsidRPr="00794EB9">
        <w:rPr>
          <w:rFonts w:ascii="Arial" w:hAnsi="Arial" w:cs="Arial"/>
          <w:sz w:val="22"/>
          <w:szCs w:val="22"/>
        </w:rPr>
        <w:tab/>
        <w:t xml:space="preserve">La </w:t>
      </w:r>
      <w:r w:rsidRPr="00794EB9">
        <w:rPr>
          <w:rFonts w:ascii="Arial" w:hAnsi="Arial" w:cs="Arial"/>
          <w:b/>
          <w:sz w:val="22"/>
          <w:szCs w:val="22"/>
        </w:rPr>
        <w:t>Secretaría para el Fortalecimiento Social de León</w:t>
      </w:r>
      <w:r w:rsidRPr="00794EB9">
        <w:rPr>
          <w:rFonts w:ascii="Arial" w:hAnsi="Arial" w:cs="Arial"/>
          <w:sz w:val="22"/>
          <w:szCs w:val="22"/>
        </w:rPr>
        <w:t xml:space="preserve"> fungirá como coordinador de sector respecto de:</w:t>
      </w:r>
    </w:p>
    <w:p w14:paraId="19B19513"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a.</w:t>
      </w:r>
      <w:r w:rsidRPr="00794EB9">
        <w:rPr>
          <w:rFonts w:ascii="Arial" w:hAnsi="Arial" w:cs="Arial"/>
          <w:sz w:val="22"/>
          <w:szCs w:val="22"/>
        </w:rPr>
        <w:tab/>
        <w:t>Instituto Municipal de las Mujeres,</w:t>
      </w:r>
    </w:p>
    <w:p w14:paraId="4CB0C056"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b.</w:t>
      </w:r>
      <w:r w:rsidRPr="00794EB9">
        <w:rPr>
          <w:rFonts w:ascii="Arial" w:hAnsi="Arial" w:cs="Arial"/>
          <w:sz w:val="22"/>
          <w:szCs w:val="22"/>
        </w:rPr>
        <w:tab/>
        <w:t>Instituto Municipal de Vivienda de León, Gto. (IMUVI),</w:t>
      </w:r>
    </w:p>
    <w:p w14:paraId="33CF7331"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c.</w:t>
      </w:r>
      <w:r w:rsidRPr="00794EB9">
        <w:rPr>
          <w:rFonts w:ascii="Arial" w:hAnsi="Arial" w:cs="Arial"/>
          <w:sz w:val="22"/>
          <w:szCs w:val="22"/>
        </w:rPr>
        <w:tab/>
        <w:t xml:space="preserve">Sistema para el Desarrollo Integral de la Familia en el Municipio de León,   </w:t>
      </w:r>
    </w:p>
    <w:p w14:paraId="3882F15F"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 xml:space="preserve">           Gto.; (DIF-León),</w:t>
      </w:r>
    </w:p>
    <w:p w14:paraId="1272A9CC"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d.</w:t>
      </w:r>
      <w:r w:rsidRPr="00794EB9">
        <w:rPr>
          <w:rFonts w:ascii="Arial" w:hAnsi="Arial" w:cs="Arial"/>
          <w:sz w:val="22"/>
          <w:szCs w:val="22"/>
        </w:rPr>
        <w:tab/>
        <w:t>Instituto Municipal de la Juventud de León, Guanajuato (IMJU-León),</w:t>
      </w:r>
    </w:p>
    <w:p w14:paraId="53E8BA3F"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lastRenderedPageBreak/>
        <w:t>e.</w:t>
      </w:r>
      <w:r w:rsidRPr="00794EB9">
        <w:rPr>
          <w:rFonts w:ascii="Arial" w:hAnsi="Arial" w:cs="Arial"/>
          <w:sz w:val="22"/>
          <w:szCs w:val="22"/>
        </w:rPr>
        <w:tab/>
        <w:t xml:space="preserve">Comisión Municipal de Cultura Física y Deporte de León, Guanajuato </w:t>
      </w:r>
    </w:p>
    <w:p w14:paraId="223DD323"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 xml:space="preserve">           (COMUDE-León),</w:t>
      </w:r>
    </w:p>
    <w:p w14:paraId="38D9ADCC"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f.</w:t>
      </w:r>
      <w:r w:rsidRPr="00794EB9">
        <w:rPr>
          <w:rFonts w:ascii="Arial" w:hAnsi="Arial" w:cs="Arial"/>
          <w:sz w:val="22"/>
          <w:szCs w:val="22"/>
        </w:rPr>
        <w:tab/>
        <w:t>Fideicomiso de Desarrollo de la Microempresa Rural (FIDEMIR),</w:t>
      </w:r>
    </w:p>
    <w:p w14:paraId="11ED3AE9"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g.</w:t>
      </w:r>
      <w:r w:rsidRPr="00794EB9">
        <w:rPr>
          <w:rFonts w:ascii="Arial" w:hAnsi="Arial" w:cs="Arial"/>
          <w:sz w:val="22"/>
          <w:szCs w:val="22"/>
        </w:rPr>
        <w:tab/>
        <w:t>Instituto Cultural de León,</w:t>
      </w:r>
    </w:p>
    <w:p w14:paraId="54F9C147"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h.</w:t>
      </w:r>
      <w:r w:rsidRPr="00794EB9">
        <w:rPr>
          <w:rFonts w:ascii="Arial" w:hAnsi="Arial" w:cs="Arial"/>
          <w:sz w:val="22"/>
          <w:szCs w:val="22"/>
        </w:rPr>
        <w:tab/>
        <w:t>Patronato de Explora,</w:t>
      </w:r>
    </w:p>
    <w:p w14:paraId="0C78A952"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i.</w:t>
      </w:r>
      <w:r w:rsidRPr="00794EB9">
        <w:rPr>
          <w:rFonts w:ascii="Arial" w:hAnsi="Arial" w:cs="Arial"/>
          <w:sz w:val="22"/>
          <w:szCs w:val="22"/>
        </w:rPr>
        <w:tab/>
        <w:t>Fideicomiso Museo de la Ciudad, y</w:t>
      </w:r>
    </w:p>
    <w:p w14:paraId="0C04712E"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j.</w:t>
      </w:r>
      <w:r w:rsidRPr="00794EB9">
        <w:rPr>
          <w:rFonts w:ascii="Arial" w:hAnsi="Arial" w:cs="Arial"/>
          <w:sz w:val="22"/>
          <w:szCs w:val="22"/>
        </w:rPr>
        <w:tab/>
        <w:t xml:space="preserve">Centro de Estudios de Educación Media Superior para la Atención a </w:t>
      </w:r>
    </w:p>
    <w:p w14:paraId="2176A2A4"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 xml:space="preserve">           Jóvenes con Aptitudes Sobresalientes del Municipio de León, Guanajuato.</w:t>
      </w:r>
    </w:p>
    <w:p w14:paraId="5F4A3881" w14:textId="77777777" w:rsidR="00794EB9" w:rsidRPr="00794EB9" w:rsidRDefault="00794EB9" w:rsidP="00794EB9">
      <w:pPr>
        <w:ind w:left="721"/>
        <w:jc w:val="both"/>
        <w:rPr>
          <w:rFonts w:ascii="Arial" w:hAnsi="Arial" w:cs="Arial"/>
          <w:sz w:val="22"/>
          <w:szCs w:val="22"/>
        </w:rPr>
      </w:pPr>
    </w:p>
    <w:p w14:paraId="3D669F47" w14:textId="77777777" w:rsidR="00794EB9" w:rsidRPr="00794EB9" w:rsidRDefault="00794EB9" w:rsidP="00794EB9">
      <w:pPr>
        <w:ind w:left="567" w:hanging="569"/>
        <w:jc w:val="both"/>
        <w:rPr>
          <w:rFonts w:ascii="Arial" w:hAnsi="Arial" w:cs="Arial"/>
          <w:sz w:val="22"/>
          <w:szCs w:val="22"/>
        </w:rPr>
      </w:pPr>
      <w:r w:rsidRPr="00794EB9">
        <w:rPr>
          <w:rFonts w:ascii="Arial" w:hAnsi="Arial" w:cs="Arial"/>
          <w:sz w:val="22"/>
          <w:szCs w:val="22"/>
        </w:rPr>
        <w:t>IV.</w:t>
      </w:r>
      <w:r w:rsidRPr="00794EB9">
        <w:rPr>
          <w:rFonts w:ascii="Arial" w:hAnsi="Arial" w:cs="Arial"/>
          <w:sz w:val="22"/>
          <w:szCs w:val="22"/>
        </w:rPr>
        <w:tab/>
        <w:t xml:space="preserve">La </w:t>
      </w:r>
      <w:r w:rsidRPr="00794EB9">
        <w:rPr>
          <w:rFonts w:ascii="Arial" w:hAnsi="Arial" w:cs="Arial"/>
          <w:b/>
          <w:sz w:val="22"/>
          <w:szCs w:val="22"/>
        </w:rPr>
        <w:t>Secretaría para la Reactivación Económica de León</w:t>
      </w:r>
      <w:r w:rsidRPr="00794EB9">
        <w:rPr>
          <w:rFonts w:ascii="Arial" w:hAnsi="Arial" w:cs="Arial"/>
          <w:sz w:val="22"/>
          <w:szCs w:val="22"/>
        </w:rPr>
        <w:t xml:space="preserve"> fungirá como coordinador de sector respecto de:</w:t>
      </w:r>
    </w:p>
    <w:p w14:paraId="24F94EA5"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a.</w:t>
      </w:r>
      <w:r w:rsidRPr="00794EB9">
        <w:rPr>
          <w:rFonts w:ascii="Arial" w:hAnsi="Arial" w:cs="Arial"/>
          <w:sz w:val="22"/>
          <w:szCs w:val="22"/>
        </w:rPr>
        <w:tab/>
        <w:t>Fideicomiso Ciudad Industrial de León,</w:t>
      </w:r>
    </w:p>
    <w:p w14:paraId="0B4AE058"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b.</w:t>
      </w:r>
      <w:r w:rsidRPr="00794EB9">
        <w:rPr>
          <w:rFonts w:ascii="Arial" w:hAnsi="Arial" w:cs="Arial"/>
          <w:sz w:val="22"/>
          <w:szCs w:val="22"/>
        </w:rPr>
        <w:tab/>
        <w:t>Patronato de la Feria Estatal de León y Parque Ecológico</w:t>
      </w:r>
    </w:p>
    <w:p w14:paraId="528D3F9F" w14:textId="77777777" w:rsidR="00794EB9" w:rsidRPr="00794EB9" w:rsidRDefault="00794EB9" w:rsidP="00794EB9">
      <w:pPr>
        <w:jc w:val="both"/>
        <w:rPr>
          <w:rFonts w:ascii="Arial" w:hAnsi="Arial" w:cs="Arial"/>
          <w:sz w:val="22"/>
          <w:szCs w:val="22"/>
        </w:rPr>
      </w:pPr>
    </w:p>
    <w:p w14:paraId="0FCEA4AF" w14:textId="77777777" w:rsidR="00794EB9" w:rsidRPr="00794EB9" w:rsidRDefault="00794EB9" w:rsidP="00794EB9">
      <w:pPr>
        <w:ind w:left="567" w:hanging="567"/>
        <w:jc w:val="both"/>
        <w:rPr>
          <w:rFonts w:ascii="Arial" w:hAnsi="Arial" w:cs="Arial"/>
          <w:sz w:val="22"/>
          <w:szCs w:val="22"/>
        </w:rPr>
      </w:pPr>
      <w:r w:rsidRPr="00794EB9">
        <w:rPr>
          <w:rFonts w:ascii="Arial" w:hAnsi="Arial" w:cs="Arial"/>
          <w:sz w:val="22"/>
          <w:szCs w:val="22"/>
        </w:rPr>
        <w:t>V.</w:t>
      </w:r>
      <w:r w:rsidRPr="00794EB9">
        <w:rPr>
          <w:rFonts w:ascii="Arial" w:hAnsi="Arial" w:cs="Arial"/>
          <w:sz w:val="22"/>
          <w:szCs w:val="22"/>
        </w:rPr>
        <w:tab/>
        <w:t xml:space="preserve">La </w:t>
      </w:r>
      <w:r w:rsidRPr="00794EB9">
        <w:rPr>
          <w:rFonts w:ascii="Arial" w:hAnsi="Arial" w:cs="Arial"/>
          <w:b/>
          <w:sz w:val="22"/>
          <w:szCs w:val="22"/>
        </w:rPr>
        <w:t>Dirección General de Obra Pública</w:t>
      </w:r>
      <w:r w:rsidRPr="00794EB9">
        <w:rPr>
          <w:rFonts w:ascii="Arial" w:hAnsi="Arial" w:cs="Arial"/>
          <w:sz w:val="22"/>
          <w:szCs w:val="22"/>
        </w:rPr>
        <w:t xml:space="preserve"> fungirá como coordinador de sector respecto de:</w:t>
      </w:r>
    </w:p>
    <w:p w14:paraId="059092F6"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a.</w:t>
      </w:r>
      <w:r w:rsidRPr="00794EB9">
        <w:rPr>
          <w:rFonts w:ascii="Arial" w:hAnsi="Arial" w:cs="Arial"/>
          <w:sz w:val="22"/>
          <w:szCs w:val="22"/>
        </w:rPr>
        <w:tab/>
        <w:t>Sistema de Agua Potable y Alcantarillado de León, (SAPAL),</w:t>
      </w:r>
    </w:p>
    <w:p w14:paraId="1662A27D"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b.</w:t>
      </w:r>
      <w:r w:rsidRPr="00794EB9">
        <w:rPr>
          <w:rFonts w:ascii="Arial" w:hAnsi="Arial" w:cs="Arial"/>
          <w:sz w:val="22"/>
          <w:szCs w:val="22"/>
        </w:rPr>
        <w:tab/>
        <w:t>Fideicomiso de Obras por Cooperación (FIDOC),</w:t>
      </w:r>
    </w:p>
    <w:p w14:paraId="610054F3" w14:textId="77777777" w:rsidR="00794EB9" w:rsidRPr="00794EB9" w:rsidRDefault="00794EB9" w:rsidP="00794EB9">
      <w:pPr>
        <w:jc w:val="both"/>
        <w:rPr>
          <w:rFonts w:ascii="Arial" w:hAnsi="Arial" w:cs="Arial"/>
          <w:sz w:val="22"/>
          <w:szCs w:val="22"/>
        </w:rPr>
      </w:pPr>
    </w:p>
    <w:p w14:paraId="64C7C950" w14:textId="77777777" w:rsidR="00794EB9" w:rsidRPr="00794EB9" w:rsidRDefault="00794EB9" w:rsidP="00794EB9">
      <w:pPr>
        <w:ind w:left="567" w:hanging="567"/>
        <w:jc w:val="both"/>
        <w:rPr>
          <w:rFonts w:ascii="Arial" w:hAnsi="Arial" w:cs="Arial"/>
          <w:sz w:val="22"/>
          <w:szCs w:val="22"/>
        </w:rPr>
      </w:pPr>
      <w:r w:rsidRPr="00794EB9">
        <w:rPr>
          <w:rFonts w:ascii="Arial" w:hAnsi="Arial" w:cs="Arial"/>
          <w:sz w:val="22"/>
          <w:szCs w:val="22"/>
        </w:rPr>
        <w:t>VI.</w:t>
      </w:r>
      <w:r w:rsidRPr="00794EB9">
        <w:rPr>
          <w:rFonts w:ascii="Arial" w:hAnsi="Arial" w:cs="Arial"/>
          <w:sz w:val="22"/>
          <w:szCs w:val="22"/>
        </w:rPr>
        <w:tab/>
        <w:t xml:space="preserve">La </w:t>
      </w:r>
      <w:r w:rsidRPr="00794EB9">
        <w:rPr>
          <w:rFonts w:ascii="Arial" w:hAnsi="Arial" w:cs="Arial"/>
          <w:b/>
          <w:sz w:val="22"/>
          <w:szCs w:val="22"/>
        </w:rPr>
        <w:t>Dirección General de Medio Ambiente</w:t>
      </w:r>
      <w:r w:rsidRPr="00794EB9">
        <w:rPr>
          <w:rFonts w:ascii="Arial" w:hAnsi="Arial" w:cs="Arial"/>
          <w:sz w:val="22"/>
          <w:szCs w:val="22"/>
        </w:rPr>
        <w:t xml:space="preserve"> fungirá como coordinador de sector respecto de:</w:t>
      </w:r>
    </w:p>
    <w:p w14:paraId="5F82F680"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a.</w:t>
      </w:r>
      <w:r w:rsidRPr="00794EB9">
        <w:rPr>
          <w:rFonts w:ascii="Arial" w:hAnsi="Arial" w:cs="Arial"/>
          <w:sz w:val="22"/>
          <w:szCs w:val="22"/>
        </w:rPr>
        <w:tab/>
        <w:t>Patronato del Parque Ecológico Metropolitano de León, Gto.,</w:t>
      </w:r>
    </w:p>
    <w:p w14:paraId="3E3770AE"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b.</w:t>
      </w:r>
      <w:r w:rsidRPr="00794EB9">
        <w:rPr>
          <w:rFonts w:ascii="Arial" w:hAnsi="Arial" w:cs="Arial"/>
          <w:sz w:val="22"/>
          <w:szCs w:val="22"/>
        </w:rPr>
        <w:tab/>
        <w:t>Patronato del Parque Zoológico de León,</w:t>
      </w:r>
    </w:p>
    <w:p w14:paraId="6FEA976E"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c.</w:t>
      </w:r>
      <w:r w:rsidRPr="00794EB9">
        <w:rPr>
          <w:rFonts w:ascii="Arial" w:hAnsi="Arial" w:cs="Arial"/>
          <w:sz w:val="22"/>
          <w:szCs w:val="22"/>
        </w:rPr>
        <w:tab/>
        <w:t>Sistema Integral de Aseo Público de León, Guanajuato (SIAP-LEÓN),</w:t>
      </w:r>
    </w:p>
    <w:p w14:paraId="15C03719" w14:textId="77777777" w:rsidR="00794EB9" w:rsidRPr="00794EB9" w:rsidRDefault="00794EB9" w:rsidP="00794EB9">
      <w:pPr>
        <w:jc w:val="both"/>
        <w:rPr>
          <w:rFonts w:ascii="Arial" w:hAnsi="Arial" w:cs="Arial"/>
          <w:sz w:val="22"/>
          <w:szCs w:val="22"/>
        </w:rPr>
      </w:pPr>
    </w:p>
    <w:p w14:paraId="0A0E6F5C" w14:textId="77777777" w:rsidR="00794EB9" w:rsidRPr="00794EB9" w:rsidRDefault="00794EB9" w:rsidP="00794EB9">
      <w:pPr>
        <w:ind w:left="567" w:hanging="567"/>
        <w:jc w:val="both"/>
        <w:rPr>
          <w:rFonts w:ascii="Arial" w:hAnsi="Arial" w:cs="Arial"/>
          <w:sz w:val="22"/>
          <w:szCs w:val="22"/>
        </w:rPr>
      </w:pPr>
      <w:r w:rsidRPr="00794EB9">
        <w:rPr>
          <w:rFonts w:ascii="Arial" w:hAnsi="Arial" w:cs="Arial"/>
          <w:sz w:val="22"/>
          <w:szCs w:val="22"/>
        </w:rPr>
        <w:t>VII.</w:t>
      </w:r>
      <w:r w:rsidRPr="00794EB9">
        <w:rPr>
          <w:rFonts w:ascii="Arial" w:hAnsi="Arial" w:cs="Arial"/>
          <w:sz w:val="22"/>
          <w:szCs w:val="22"/>
        </w:rPr>
        <w:tab/>
        <w:t xml:space="preserve">La </w:t>
      </w:r>
      <w:r w:rsidRPr="00794EB9">
        <w:rPr>
          <w:rFonts w:ascii="Arial" w:hAnsi="Arial" w:cs="Arial"/>
          <w:b/>
          <w:sz w:val="22"/>
          <w:szCs w:val="22"/>
        </w:rPr>
        <w:t>Dirección General de Desarrollo Institucional</w:t>
      </w:r>
      <w:r w:rsidRPr="00794EB9">
        <w:rPr>
          <w:rFonts w:ascii="Arial" w:hAnsi="Arial" w:cs="Arial"/>
          <w:sz w:val="22"/>
          <w:szCs w:val="22"/>
        </w:rPr>
        <w:t xml:space="preserve"> fungirá como coordinador de sector respecto de:</w:t>
      </w:r>
    </w:p>
    <w:p w14:paraId="66D2D584"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a.</w:t>
      </w:r>
      <w:r w:rsidRPr="00794EB9">
        <w:rPr>
          <w:rFonts w:ascii="Arial" w:hAnsi="Arial" w:cs="Arial"/>
          <w:sz w:val="22"/>
          <w:szCs w:val="22"/>
        </w:rPr>
        <w:tab/>
        <w:t>Fideicomiso de Obras Públicas.</w:t>
      </w:r>
    </w:p>
    <w:p w14:paraId="41561287" w14:textId="77777777" w:rsidR="00794EB9" w:rsidRPr="00794EB9" w:rsidRDefault="00794EB9" w:rsidP="00794EB9">
      <w:pPr>
        <w:ind w:hanging="2"/>
        <w:jc w:val="both"/>
        <w:rPr>
          <w:rFonts w:ascii="Arial" w:hAnsi="Arial" w:cs="Arial"/>
          <w:sz w:val="22"/>
          <w:szCs w:val="22"/>
        </w:rPr>
      </w:pPr>
    </w:p>
    <w:p w14:paraId="1E119C43" w14:textId="77777777" w:rsidR="00794EB9" w:rsidRPr="00794EB9" w:rsidRDefault="00794EB9" w:rsidP="00794EB9">
      <w:pPr>
        <w:jc w:val="both"/>
        <w:rPr>
          <w:rFonts w:ascii="Arial" w:hAnsi="Arial" w:cs="Arial"/>
          <w:i/>
          <w:sz w:val="22"/>
          <w:szCs w:val="22"/>
          <w:u w:val="single"/>
        </w:rPr>
      </w:pPr>
      <w:r w:rsidRPr="00794EB9">
        <w:rPr>
          <w:rFonts w:ascii="Arial" w:hAnsi="Arial" w:cs="Arial"/>
          <w:i/>
          <w:sz w:val="22"/>
          <w:szCs w:val="22"/>
          <w:u w:val="single"/>
        </w:rPr>
        <w:t>(Estructura que se establece en el artículo 201, del Reglamento interior de la administración pública municipal de León, Guanajuato)</w:t>
      </w:r>
    </w:p>
    <w:p w14:paraId="24A47A4D" w14:textId="77777777" w:rsidR="00794EB9" w:rsidRPr="00794EB9" w:rsidRDefault="00794EB9" w:rsidP="00794EB9">
      <w:pPr>
        <w:pStyle w:val="TtuloPG"/>
        <w:rPr>
          <w:color w:val="auto"/>
          <w:sz w:val="22"/>
          <w:szCs w:val="22"/>
        </w:rPr>
      </w:pPr>
    </w:p>
    <w:p w14:paraId="54F4AC25" w14:textId="77777777" w:rsidR="00794EB9" w:rsidRPr="00794EB9" w:rsidRDefault="00794EB9" w:rsidP="00794EB9">
      <w:pPr>
        <w:pStyle w:val="TtuloPG"/>
        <w:rPr>
          <w:color w:val="auto"/>
          <w:sz w:val="22"/>
          <w:szCs w:val="22"/>
        </w:rPr>
      </w:pPr>
    </w:p>
    <w:p w14:paraId="497CEEEB" w14:textId="77777777" w:rsidR="00794EB9" w:rsidRPr="00794EB9" w:rsidRDefault="00794EB9" w:rsidP="00794EB9">
      <w:pPr>
        <w:pStyle w:val="TtuloPG"/>
        <w:rPr>
          <w:color w:val="auto"/>
          <w:sz w:val="22"/>
          <w:szCs w:val="22"/>
        </w:rPr>
      </w:pPr>
    </w:p>
    <w:p w14:paraId="58E6814A" w14:textId="77777777" w:rsidR="00794EB9" w:rsidRPr="00794EB9" w:rsidRDefault="00794EB9" w:rsidP="00794EB9">
      <w:pPr>
        <w:pStyle w:val="TtuloPG"/>
        <w:rPr>
          <w:color w:val="auto"/>
          <w:sz w:val="22"/>
          <w:szCs w:val="22"/>
        </w:rPr>
      </w:pPr>
    </w:p>
    <w:p w14:paraId="1DFADE82" w14:textId="77777777" w:rsidR="00794EB9" w:rsidRPr="00794EB9" w:rsidRDefault="00794EB9" w:rsidP="00794EB9">
      <w:pPr>
        <w:pStyle w:val="TtuloPG"/>
        <w:rPr>
          <w:color w:val="auto"/>
          <w:sz w:val="22"/>
          <w:szCs w:val="22"/>
        </w:rPr>
      </w:pPr>
    </w:p>
    <w:p w14:paraId="3C36E6E9" w14:textId="77777777" w:rsidR="00794EB9" w:rsidRPr="00794EB9" w:rsidRDefault="00794EB9" w:rsidP="00794EB9">
      <w:pPr>
        <w:pStyle w:val="TtuloPG"/>
        <w:rPr>
          <w:color w:val="auto"/>
          <w:sz w:val="22"/>
          <w:szCs w:val="22"/>
        </w:rPr>
      </w:pPr>
    </w:p>
    <w:p w14:paraId="21454FA3" w14:textId="77777777" w:rsidR="00794EB9" w:rsidRPr="00794EB9" w:rsidRDefault="00794EB9" w:rsidP="00794EB9">
      <w:pPr>
        <w:pStyle w:val="TtuloPG"/>
        <w:rPr>
          <w:color w:val="auto"/>
          <w:sz w:val="22"/>
          <w:szCs w:val="22"/>
        </w:rPr>
      </w:pPr>
    </w:p>
    <w:p w14:paraId="7B0CF5A1" w14:textId="77777777" w:rsidR="00794EB9" w:rsidRPr="00794EB9" w:rsidRDefault="00794EB9" w:rsidP="00794EB9">
      <w:pPr>
        <w:pStyle w:val="TtuloPG"/>
        <w:rPr>
          <w:color w:val="auto"/>
          <w:sz w:val="22"/>
          <w:szCs w:val="22"/>
        </w:rPr>
      </w:pPr>
    </w:p>
    <w:p w14:paraId="3B382463" w14:textId="77777777" w:rsidR="00794EB9" w:rsidRPr="00794EB9" w:rsidRDefault="00794EB9" w:rsidP="00794EB9">
      <w:pPr>
        <w:pStyle w:val="TtuloPG"/>
        <w:rPr>
          <w:color w:val="auto"/>
          <w:sz w:val="22"/>
          <w:szCs w:val="22"/>
        </w:rPr>
      </w:pPr>
    </w:p>
    <w:p w14:paraId="73D8D064" w14:textId="77777777" w:rsidR="00794EB9" w:rsidRPr="00794EB9" w:rsidRDefault="00794EB9" w:rsidP="00794EB9">
      <w:pPr>
        <w:pStyle w:val="TtuloPG"/>
        <w:rPr>
          <w:color w:val="auto"/>
          <w:sz w:val="22"/>
          <w:szCs w:val="22"/>
        </w:rPr>
      </w:pPr>
    </w:p>
    <w:p w14:paraId="5FBF71C8" w14:textId="77777777" w:rsidR="00794EB9" w:rsidRPr="00794EB9" w:rsidRDefault="00794EB9" w:rsidP="00794EB9">
      <w:pPr>
        <w:pStyle w:val="TtuloPG"/>
        <w:rPr>
          <w:color w:val="auto"/>
          <w:sz w:val="22"/>
          <w:szCs w:val="22"/>
        </w:rPr>
      </w:pPr>
    </w:p>
    <w:p w14:paraId="4E7CDD66" w14:textId="77777777" w:rsidR="00794EB9" w:rsidRPr="00794EB9" w:rsidRDefault="00794EB9" w:rsidP="00794EB9">
      <w:pPr>
        <w:pStyle w:val="TtuloPG"/>
        <w:pBdr>
          <w:top w:val="single" w:sz="4" w:space="1" w:color="auto"/>
          <w:left w:val="single" w:sz="4" w:space="4" w:color="auto"/>
          <w:bottom w:val="single" w:sz="4" w:space="1" w:color="auto"/>
          <w:right w:val="single" w:sz="4" w:space="4" w:color="auto"/>
        </w:pBdr>
        <w:rPr>
          <w:color w:val="auto"/>
          <w:sz w:val="22"/>
          <w:szCs w:val="22"/>
        </w:rPr>
      </w:pPr>
      <w:r w:rsidRPr="00794EB9">
        <w:rPr>
          <w:color w:val="auto"/>
          <w:sz w:val="22"/>
          <w:szCs w:val="22"/>
        </w:rPr>
        <w:t>III. FILOSOFÍA DE LA ADMINISTRACIÓN MUNICIPAL</w:t>
      </w:r>
    </w:p>
    <w:p w14:paraId="2746606E" w14:textId="77777777" w:rsidR="00794EB9" w:rsidRPr="00794EB9" w:rsidRDefault="00794EB9" w:rsidP="00794EB9">
      <w:pPr>
        <w:ind w:hanging="2"/>
        <w:rPr>
          <w:rFonts w:ascii="Arial" w:hAnsi="Arial" w:cs="Arial"/>
          <w:sz w:val="22"/>
          <w:szCs w:val="22"/>
        </w:rPr>
      </w:pPr>
    </w:p>
    <w:p w14:paraId="51EE35A6" w14:textId="77777777" w:rsidR="00794EB9" w:rsidRPr="00794EB9" w:rsidRDefault="00794EB9" w:rsidP="00794EB9">
      <w:pPr>
        <w:pStyle w:val="TtuloPG2"/>
        <w:ind w:left="0"/>
        <w:rPr>
          <w:color w:val="auto"/>
          <w:sz w:val="22"/>
          <w:szCs w:val="22"/>
        </w:rPr>
      </w:pPr>
      <w:r w:rsidRPr="00794EB9">
        <w:rPr>
          <w:color w:val="auto"/>
          <w:sz w:val="22"/>
          <w:szCs w:val="22"/>
        </w:rPr>
        <w:t>MISIÓN</w:t>
      </w:r>
    </w:p>
    <w:p w14:paraId="3A8D0B67" w14:textId="77777777" w:rsidR="00794EB9" w:rsidRPr="00794EB9" w:rsidRDefault="00794EB9" w:rsidP="00794EB9">
      <w:pPr>
        <w:ind w:hanging="2"/>
        <w:jc w:val="both"/>
        <w:rPr>
          <w:rFonts w:ascii="Arial" w:hAnsi="Arial" w:cs="Arial"/>
          <w:sz w:val="22"/>
          <w:szCs w:val="22"/>
        </w:rPr>
      </w:pPr>
    </w:p>
    <w:p w14:paraId="4FFB500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Implementar un gobierno humano, moderno, cercano, eficiente y abierto a través de un modelo innovador de gestión pública.</w:t>
      </w:r>
    </w:p>
    <w:p w14:paraId="773AD032" w14:textId="77777777" w:rsidR="00794EB9" w:rsidRPr="00794EB9" w:rsidRDefault="00794EB9" w:rsidP="00794EB9">
      <w:pPr>
        <w:jc w:val="both"/>
        <w:rPr>
          <w:rFonts w:ascii="Arial" w:hAnsi="Arial" w:cs="Arial"/>
          <w:b/>
          <w:sz w:val="22"/>
          <w:szCs w:val="22"/>
        </w:rPr>
      </w:pPr>
    </w:p>
    <w:p w14:paraId="26520753" w14:textId="77777777" w:rsidR="00794EB9" w:rsidRPr="00794EB9" w:rsidRDefault="00794EB9" w:rsidP="00794EB9">
      <w:pPr>
        <w:pStyle w:val="TtuloPG2"/>
        <w:ind w:left="0"/>
        <w:rPr>
          <w:color w:val="auto"/>
          <w:sz w:val="22"/>
          <w:szCs w:val="22"/>
        </w:rPr>
      </w:pPr>
      <w:r w:rsidRPr="00794EB9">
        <w:rPr>
          <w:color w:val="auto"/>
          <w:sz w:val="22"/>
          <w:szCs w:val="22"/>
        </w:rPr>
        <w:t xml:space="preserve">VISIÓN </w:t>
      </w:r>
    </w:p>
    <w:p w14:paraId="33EFCA0E" w14:textId="77777777" w:rsidR="00794EB9" w:rsidRPr="00794EB9" w:rsidRDefault="00794EB9" w:rsidP="00794EB9">
      <w:pPr>
        <w:ind w:hanging="2"/>
        <w:jc w:val="both"/>
        <w:rPr>
          <w:rFonts w:ascii="Arial" w:hAnsi="Arial" w:cs="Arial"/>
          <w:sz w:val="22"/>
          <w:szCs w:val="22"/>
        </w:rPr>
      </w:pPr>
    </w:p>
    <w:p w14:paraId="112738D4"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lastRenderedPageBreak/>
        <w:t>Hacer de LEÓN una CIUDAD VIVA con una sociedad unida, resiliente y que piense en grande; en la que todo ciudadano pueda vivir sano, tranquilo y mejor.</w:t>
      </w:r>
    </w:p>
    <w:p w14:paraId="28BBEA45" w14:textId="77777777" w:rsidR="00794EB9" w:rsidRPr="00794EB9" w:rsidRDefault="00794EB9" w:rsidP="00794EB9">
      <w:pPr>
        <w:ind w:hanging="2"/>
        <w:jc w:val="both"/>
        <w:rPr>
          <w:rFonts w:ascii="Arial" w:hAnsi="Arial" w:cs="Arial"/>
          <w:b/>
          <w:sz w:val="22"/>
          <w:szCs w:val="22"/>
        </w:rPr>
      </w:pPr>
    </w:p>
    <w:p w14:paraId="4C1716F5" w14:textId="77777777" w:rsidR="00794EB9" w:rsidRPr="00794EB9" w:rsidRDefault="00794EB9" w:rsidP="00794EB9">
      <w:pPr>
        <w:pStyle w:val="TtuloPG2"/>
        <w:ind w:left="0"/>
        <w:rPr>
          <w:color w:val="auto"/>
          <w:sz w:val="22"/>
          <w:szCs w:val="22"/>
        </w:rPr>
      </w:pPr>
      <w:r w:rsidRPr="00794EB9">
        <w:rPr>
          <w:color w:val="auto"/>
          <w:sz w:val="22"/>
          <w:szCs w:val="22"/>
        </w:rPr>
        <w:t>VALORES</w:t>
      </w:r>
    </w:p>
    <w:p w14:paraId="2CD8903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Unidad</w:t>
      </w:r>
    </w:p>
    <w:p w14:paraId="0B2083D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Fortaleza </w:t>
      </w:r>
    </w:p>
    <w:p w14:paraId="796D9E7F"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Respeto </w:t>
      </w:r>
    </w:p>
    <w:p w14:paraId="7D66697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Profesionalismo </w:t>
      </w:r>
    </w:p>
    <w:p w14:paraId="5CE8F9D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Compromiso</w:t>
      </w:r>
    </w:p>
    <w:p w14:paraId="70C5471A" w14:textId="77777777" w:rsidR="00794EB9" w:rsidRPr="00794EB9" w:rsidRDefault="00794EB9" w:rsidP="00794EB9">
      <w:pPr>
        <w:ind w:hanging="2"/>
        <w:jc w:val="both"/>
        <w:rPr>
          <w:rFonts w:ascii="Arial" w:hAnsi="Arial" w:cs="Arial"/>
          <w:sz w:val="22"/>
          <w:szCs w:val="22"/>
        </w:rPr>
      </w:pPr>
    </w:p>
    <w:p w14:paraId="5B45B1C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Con base en la Misión, Visión y Valores que rigen nuestro modelo de gobierno, hemos elaborado el Enunciado de Posicionamiento Social que habrá de regir la estrategia de gestión y de comunicación de este Ayuntamiento 2021 - 2024 de León, Gto.</w:t>
      </w:r>
    </w:p>
    <w:p w14:paraId="1BC1C030" w14:textId="77777777" w:rsidR="00794EB9" w:rsidRPr="00794EB9" w:rsidRDefault="00794EB9" w:rsidP="00794EB9">
      <w:pPr>
        <w:pStyle w:val="TtuloPG2"/>
        <w:ind w:left="0"/>
        <w:rPr>
          <w:color w:val="auto"/>
          <w:sz w:val="22"/>
          <w:szCs w:val="22"/>
        </w:rPr>
      </w:pPr>
    </w:p>
    <w:p w14:paraId="72F6C14F" w14:textId="77777777" w:rsidR="00794EB9" w:rsidRPr="00794EB9" w:rsidRDefault="00794EB9" w:rsidP="00794EB9">
      <w:pPr>
        <w:pStyle w:val="TtuloPG2"/>
        <w:ind w:left="0"/>
        <w:rPr>
          <w:color w:val="auto"/>
          <w:sz w:val="22"/>
          <w:szCs w:val="22"/>
        </w:rPr>
      </w:pPr>
      <w:r w:rsidRPr="00794EB9">
        <w:rPr>
          <w:color w:val="auto"/>
          <w:sz w:val="22"/>
          <w:szCs w:val="22"/>
        </w:rPr>
        <w:t>ENUNCIADO DE POSICIONAMIENTO SOCIAL</w:t>
      </w:r>
    </w:p>
    <w:p w14:paraId="7F62E5A9" w14:textId="77777777" w:rsidR="00794EB9" w:rsidRPr="00794EB9" w:rsidRDefault="00794EB9" w:rsidP="00794EB9">
      <w:pPr>
        <w:pStyle w:val="TtuloPG2"/>
        <w:ind w:left="0"/>
        <w:rPr>
          <w:color w:val="auto"/>
          <w:sz w:val="22"/>
          <w:szCs w:val="22"/>
        </w:rPr>
      </w:pPr>
    </w:p>
    <w:p w14:paraId="10118F3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El Ayuntamiento 2021-2024 de León, es el gobierno municipal que con la fuerza de todos trabajará para hacer de LEÓN una CIUDAD VIVA con una sociedad unida, resiliente y que piense en grande; en la que todo ciudadano pueda vivir sano, tranquilo y mejor. Porque posee una lideresa auténtica, incansable y capaz, con una visión clara de gobierno; cuenta con un modelo innovador de gestión pública y un robusto Programa de Gobierno sustentado por un ejercicio profesional multidisciplinario de Escucha Ciudadana sin precedente, está integrado por personas honestas con amplia experiencia y de diversas filiaciones políticas, cuenta con un Gabinete estratégicamente alineado, de ideas frescas, probada vocación de servicio y capacidad de gestión gubernamental; es sensible a las necesidades de los que menos tienen, fomenta la unidad e identidad local y está enfocado en generar resultados y oportunidades para todos.</w:t>
      </w:r>
    </w:p>
    <w:p w14:paraId="0CB0E0F8" w14:textId="77777777" w:rsidR="00794EB9" w:rsidRPr="00794EB9" w:rsidRDefault="00794EB9" w:rsidP="00794EB9">
      <w:pPr>
        <w:ind w:hanging="2"/>
        <w:rPr>
          <w:rFonts w:ascii="Arial" w:hAnsi="Arial" w:cs="Arial"/>
          <w:sz w:val="22"/>
          <w:szCs w:val="22"/>
        </w:rPr>
      </w:pPr>
    </w:p>
    <w:p w14:paraId="78B33A58" w14:textId="77777777" w:rsidR="00794EB9" w:rsidRPr="00794EB9" w:rsidRDefault="00794EB9" w:rsidP="00794EB9">
      <w:pPr>
        <w:ind w:hanging="2"/>
        <w:jc w:val="center"/>
        <w:rPr>
          <w:rFonts w:ascii="Arial" w:hAnsi="Arial" w:cs="Arial"/>
          <w:b/>
          <w:sz w:val="22"/>
          <w:szCs w:val="22"/>
        </w:rPr>
      </w:pPr>
      <w:r w:rsidRPr="00794EB9">
        <w:rPr>
          <w:rFonts w:ascii="Arial" w:hAnsi="Arial" w:cs="Arial"/>
          <w:b/>
          <w:sz w:val="22"/>
          <w:szCs w:val="22"/>
        </w:rPr>
        <w:t>Nuestro gobierno será: humano, moderno, cercano, eficiente y abierto.</w:t>
      </w:r>
    </w:p>
    <w:p w14:paraId="0ED24146" w14:textId="77777777" w:rsidR="00794EB9" w:rsidRPr="00794EB9" w:rsidRDefault="00794EB9" w:rsidP="00794EB9">
      <w:pPr>
        <w:ind w:hanging="2"/>
        <w:jc w:val="center"/>
        <w:rPr>
          <w:rFonts w:ascii="Arial" w:hAnsi="Arial" w:cs="Arial"/>
          <w:b/>
          <w:sz w:val="22"/>
          <w:szCs w:val="22"/>
        </w:rPr>
      </w:pPr>
    </w:p>
    <w:p w14:paraId="331EE549" w14:textId="77777777" w:rsidR="00794EB9" w:rsidRPr="00794EB9" w:rsidRDefault="00794EB9" w:rsidP="00794EB9">
      <w:pPr>
        <w:ind w:hanging="2"/>
        <w:jc w:val="center"/>
        <w:rPr>
          <w:rFonts w:ascii="Arial" w:hAnsi="Arial" w:cs="Arial"/>
          <w:b/>
          <w:sz w:val="22"/>
          <w:szCs w:val="22"/>
        </w:rPr>
      </w:pPr>
    </w:p>
    <w:p w14:paraId="434EE69B" w14:textId="77777777" w:rsidR="00794EB9" w:rsidRPr="00794EB9" w:rsidRDefault="00794EB9" w:rsidP="00794EB9">
      <w:pPr>
        <w:ind w:hanging="2"/>
        <w:jc w:val="center"/>
        <w:rPr>
          <w:rFonts w:ascii="Arial" w:hAnsi="Arial" w:cs="Arial"/>
          <w:b/>
          <w:sz w:val="22"/>
          <w:szCs w:val="22"/>
        </w:rPr>
      </w:pPr>
    </w:p>
    <w:p w14:paraId="44F18DEB" w14:textId="77777777" w:rsidR="00794EB9" w:rsidRPr="00794EB9" w:rsidRDefault="00794EB9" w:rsidP="00794EB9">
      <w:pPr>
        <w:ind w:hanging="2"/>
        <w:jc w:val="center"/>
        <w:rPr>
          <w:rFonts w:ascii="Arial" w:hAnsi="Arial" w:cs="Arial"/>
          <w:b/>
          <w:sz w:val="22"/>
          <w:szCs w:val="22"/>
        </w:rPr>
      </w:pPr>
    </w:p>
    <w:p w14:paraId="01DE4066" w14:textId="77777777" w:rsidR="00794EB9" w:rsidRPr="00794EB9" w:rsidRDefault="00794EB9" w:rsidP="00794EB9">
      <w:pPr>
        <w:ind w:hanging="2"/>
        <w:jc w:val="center"/>
        <w:rPr>
          <w:rFonts w:ascii="Arial" w:hAnsi="Arial" w:cs="Arial"/>
          <w:b/>
          <w:sz w:val="22"/>
          <w:szCs w:val="22"/>
        </w:rPr>
      </w:pPr>
    </w:p>
    <w:p w14:paraId="46593C3B" w14:textId="77777777" w:rsidR="00794EB9" w:rsidRPr="00794EB9" w:rsidRDefault="00794EB9" w:rsidP="00794EB9">
      <w:pPr>
        <w:ind w:hanging="2"/>
        <w:jc w:val="center"/>
        <w:rPr>
          <w:rFonts w:ascii="Arial" w:hAnsi="Arial" w:cs="Arial"/>
          <w:b/>
          <w:sz w:val="22"/>
          <w:szCs w:val="22"/>
        </w:rPr>
      </w:pPr>
    </w:p>
    <w:p w14:paraId="68687F98" w14:textId="77777777" w:rsidR="00794EB9" w:rsidRPr="00794EB9" w:rsidRDefault="00794EB9" w:rsidP="00794EB9">
      <w:pPr>
        <w:ind w:hanging="2"/>
        <w:jc w:val="center"/>
        <w:rPr>
          <w:rFonts w:ascii="Arial" w:hAnsi="Arial" w:cs="Arial"/>
          <w:b/>
          <w:sz w:val="22"/>
          <w:szCs w:val="22"/>
        </w:rPr>
      </w:pPr>
    </w:p>
    <w:p w14:paraId="0BF3EB19" w14:textId="77777777" w:rsidR="00794EB9" w:rsidRPr="00794EB9" w:rsidRDefault="00794EB9" w:rsidP="00794EB9">
      <w:pPr>
        <w:ind w:hanging="2"/>
        <w:jc w:val="center"/>
        <w:rPr>
          <w:rFonts w:ascii="Arial" w:hAnsi="Arial" w:cs="Arial"/>
          <w:b/>
          <w:sz w:val="22"/>
          <w:szCs w:val="22"/>
        </w:rPr>
      </w:pPr>
    </w:p>
    <w:p w14:paraId="278EE1BE" w14:textId="77777777" w:rsidR="00794EB9" w:rsidRPr="00794EB9" w:rsidRDefault="00794EB9" w:rsidP="00794EB9">
      <w:pPr>
        <w:ind w:hanging="2"/>
        <w:jc w:val="center"/>
        <w:rPr>
          <w:rFonts w:ascii="Arial" w:hAnsi="Arial" w:cs="Arial"/>
          <w:b/>
          <w:sz w:val="22"/>
          <w:szCs w:val="22"/>
        </w:rPr>
      </w:pPr>
    </w:p>
    <w:p w14:paraId="2F7710B0" w14:textId="77777777" w:rsidR="00794EB9" w:rsidRPr="00794EB9" w:rsidRDefault="00794EB9" w:rsidP="00794EB9">
      <w:pPr>
        <w:rPr>
          <w:rFonts w:ascii="Arial" w:hAnsi="Arial" w:cs="Arial"/>
          <w:b/>
          <w:sz w:val="22"/>
          <w:szCs w:val="22"/>
        </w:rPr>
      </w:pPr>
    </w:p>
    <w:p w14:paraId="05C8018A" w14:textId="77777777" w:rsidR="00794EB9" w:rsidRPr="00794EB9" w:rsidRDefault="00794EB9" w:rsidP="00794EB9">
      <w:pPr>
        <w:ind w:hanging="2"/>
        <w:jc w:val="center"/>
        <w:rPr>
          <w:rFonts w:ascii="Arial" w:hAnsi="Arial" w:cs="Arial"/>
          <w:b/>
          <w:sz w:val="22"/>
          <w:szCs w:val="22"/>
        </w:rPr>
      </w:pPr>
    </w:p>
    <w:p w14:paraId="64EFB730" w14:textId="77777777" w:rsidR="00794EB9" w:rsidRPr="00794EB9" w:rsidRDefault="00794EB9" w:rsidP="00794EB9">
      <w:pPr>
        <w:pStyle w:val="TtuloPG"/>
        <w:pBdr>
          <w:top w:val="single" w:sz="4" w:space="1" w:color="auto"/>
          <w:left w:val="single" w:sz="4" w:space="4" w:color="auto"/>
          <w:bottom w:val="single" w:sz="4" w:space="1" w:color="auto"/>
          <w:right w:val="single" w:sz="4" w:space="4" w:color="auto"/>
        </w:pBdr>
        <w:rPr>
          <w:color w:val="auto"/>
          <w:sz w:val="22"/>
          <w:szCs w:val="22"/>
        </w:rPr>
      </w:pPr>
      <w:r w:rsidRPr="00794EB9">
        <w:rPr>
          <w:color w:val="auto"/>
          <w:sz w:val="22"/>
          <w:szCs w:val="22"/>
        </w:rPr>
        <w:t>IV. DIAGNÓSTICO</w:t>
      </w:r>
    </w:p>
    <w:p w14:paraId="5B53A525" w14:textId="77777777" w:rsidR="00794EB9" w:rsidRPr="00794EB9" w:rsidRDefault="00794EB9" w:rsidP="00794EB9">
      <w:pPr>
        <w:pStyle w:val="TtuloPG"/>
        <w:ind w:hanging="2"/>
        <w:rPr>
          <w:color w:val="auto"/>
          <w:sz w:val="22"/>
          <w:szCs w:val="22"/>
        </w:rPr>
      </w:pPr>
    </w:p>
    <w:p w14:paraId="32F36E2F" w14:textId="77777777" w:rsidR="00794EB9" w:rsidRPr="00794EB9" w:rsidRDefault="00794EB9" w:rsidP="00794EB9">
      <w:pPr>
        <w:pStyle w:val="TtuloPG"/>
        <w:ind w:hanging="2"/>
        <w:rPr>
          <w:bCs w:val="0"/>
          <w:color w:val="auto"/>
          <w:sz w:val="22"/>
          <w:szCs w:val="22"/>
        </w:rPr>
      </w:pPr>
      <w:r w:rsidRPr="00794EB9">
        <w:rPr>
          <w:bCs w:val="0"/>
          <w:color w:val="auto"/>
          <w:sz w:val="22"/>
          <w:szCs w:val="22"/>
        </w:rPr>
        <w:t xml:space="preserve">CARACTERÍSTICAS GENERALES DEL MUNICIPIO </w:t>
      </w:r>
    </w:p>
    <w:p w14:paraId="3FD6D093" w14:textId="77777777" w:rsidR="00794EB9" w:rsidRPr="00794EB9" w:rsidRDefault="00794EB9" w:rsidP="00794EB9">
      <w:pPr>
        <w:ind w:hanging="2"/>
        <w:rPr>
          <w:rFonts w:ascii="Arial" w:hAnsi="Arial" w:cs="Arial"/>
          <w:b/>
          <w:sz w:val="22"/>
          <w:szCs w:val="22"/>
        </w:rPr>
      </w:pPr>
    </w:p>
    <w:p w14:paraId="2F0C6687"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León y sus habitantes </w:t>
      </w:r>
    </w:p>
    <w:p w14:paraId="09C61BB1" w14:textId="77777777" w:rsidR="00794EB9" w:rsidRPr="00794EB9" w:rsidRDefault="00794EB9" w:rsidP="00794EB9">
      <w:pPr>
        <w:pStyle w:val="PMDTtulo2"/>
        <w:ind w:left="0" w:hanging="2"/>
        <w:rPr>
          <w:rFonts w:ascii="Arial" w:hAnsi="Arial"/>
          <w:color w:val="auto"/>
          <w:sz w:val="22"/>
          <w:szCs w:val="22"/>
        </w:rPr>
      </w:pPr>
    </w:p>
    <w:p w14:paraId="10211631"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León</w:t>
      </w:r>
      <w:r w:rsidRPr="00794EB9">
        <w:rPr>
          <w:rFonts w:ascii="Arial" w:hAnsi="Arial" w:cs="Arial"/>
          <w:b/>
          <w:color w:val="auto"/>
        </w:rPr>
        <w:t xml:space="preserve"> </w:t>
      </w:r>
      <w:r w:rsidRPr="00794EB9">
        <w:rPr>
          <w:rFonts w:ascii="Arial" w:hAnsi="Arial" w:cs="Arial"/>
          <w:color w:val="auto"/>
        </w:rPr>
        <w:t xml:space="preserve">se ubica en el centro del país, es el municipio más poblado del estado de Guanajuato y el tercero a nivel nacional, en el cual, en un periodo de 10 años, su población pasó de 1 millón 436 mil 480 a 1 millón 721 mil 215 habitantes.  </w:t>
      </w:r>
    </w:p>
    <w:p w14:paraId="605D14D0" w14:textId="77777777" w:rsidR="00794EB9" w:rsidRPr="00794EB9" w:rsidRDefault="00794EB9" w:rsidP="00794EB9">
      <w:pPr>
        <w:pStyle w:val="PMDNormal"/>
        <w:ind w:left="0" w:hanging="2"/>
        <w:rPr>
          <w:rFonts w:ascii="Arial" w:hAnsi="Arial" w:cs="Arial"/>
          <w:color w:val="auto"/>
        </w:rPr>
      </w:pPr>
    </w:p>
    <w:p w14:paraId="6DF4668C"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lastRenderedPageBreak/>
        <w:t>A su vez, los municipios de León y Silao conforman la séptima zona metropolitana, con una población que supera 1 millón 900 mil habitantes.</w:t>
      </w:r>
    </w:p>
    <w:p w14:paraId="540EF3C8" w14:textId="77777777" w:rsidR="00794EB9" w:rsidRPr="00794EB9" w:rsidRDefault="00794EB9" w:rsidP="00794EB9">
      <w:pPr>
        <w:pStyle w:val="PMDNormal"/>
        <w:ind w:left="0" w:hanging="2"/>
        <w:rPr>
          <w:rFonts w:ascii="Arial" w:hAnsi="Arial" w:cs="Arial"/>
          <w:color w:val="auto"/>
        </w:rPr>
      </w:pPr>
    </w:p>
    <w:p w14:paraId="5CAB2149" w14:textId="77777777" w:rsidR="00794EB9" w:rsidRPr="00794EB9" w:rsidRDefault="00794EB9" w:rsidP="00794EB9">
      <w:pPr>
        <w:ind w:hanging="2"/>
        <w:jc w:val="both"/>
        <w:rPr>
          <w:rFonts w:ascii="Arial" w:eastAsia="Calibri" w:hAnsi="Arial" w:cs="Arial"/>
          <w:sz w:val="22"/>
          <w:szCs w:val="22"/>
        </w:rPr>
      </w:pPr>
      <w:r w:rsidRPr="00794EB9">
        <w:rPr>
          <w:rFonts w:ascii="Arial" w:eastAsia="Calibri" w:hAnsi="Arial" w:cs="Arial"/>
          <w:sz w:val="22"/>
          <w:szCs w:val="22"/>
        </w:rPr>
        <w:t>Entre 2010 y 2020, la pirámide poblacional mostró un comportamiento distinto en los tres grandes grupos de edad, al presentar una significativa reducción de población infantil y un crecimiento de la proporción de población de la tercera edad.</w:t>
      </w:r>
    </w:p>
    <w:p w14:paraId="2C28E15C" w14:textId="77777777" w:rsidR="00794EB9" w:rsidRPr="00794EB9" w:rsidRDefault="00794EB9" w:rsidP="00794EB9">
      <w:pPr>
        <w:ind w:hanging="2"/>
        <w:jc w:val="both"/>
        <w:rPr>
          <w:rFonts w:ascii="Arial" w:eastAsia="Calibri" w:hAnsi="Arial" w:cs="Arial"/>
          <w:sz w:val="22"/>
          <w:szCs w:val="22"/>
        </w:rPr>
      </w:pPr>
    </w:p>
    <w:p w14:paraId="375A593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Desde el año 2000 se observa que el porcentaje de niños y niñas de 0 a 14 años de edad disminuyó de 35.9 por ciento hasta 26.1 por ciento en 2020 y se estima que esta cifra llegue a un 23.6 por ciento en 2030.</w:t>
      </w:r>
    </w:p>
    <w:p w14:paraId="201D882C" w14:textId="77777777" w:rsidR="00794EB9" w:rsidRPr="00794EB9" w:rsidRDefault="00794EB9" w:rsidP="00794EB9">
      <w:pPr>
        <w:ind w:hanging="2"/>
        <w:jc w:val="both"/>
        <w:rPr>
          <w:rFonts w:ascii="Arial" w:hAnsi="Arial" w:cs="Arial"/>
          <w:sz w:val="22"/>
          <w:szCs w:val="22"/>
        </w:rPr>
      </w:pPr>
    </w:p>
    <w:p w14:paraId="27FDB6C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El grupo de personas de 15 a 59 años experimentó un aumento desde el año 2000 (58.5 por ciento) y se estima continúe creciendo hasta representar el 65.5 por ciento de la población total en 2030.</w:t>
      </w:r>
    </w:p>
    <w:p w14:paraId="4B5901D9" w14:textId="77777777" w:rsidR="00794EB9" w:rsidRPr="00794EB9" w:rsidRDefault="00794EB9" w:rsidP="00794EB9">
      <w:pPr>
        <w:ind w:hanging="2"/>
        <w:jc w:val="both"/>
        <w:rPr>
          <w:rFonts w:ascii="Arial" w:hAnsi="Arial" w:cs="Arial"/>
          <w:sz w:val="22"/>
          <w:szCs w:val="22"/>
        </w:rPr>
      </w:pPr>
    </w:p>
    <w:p w14:paraId="30A8C5B6"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Finalmente, el grupo de mayores de 60 años casi se duplicaría al pasar de 5.7 por ciento en el año 2000 a 10.9 por ciento en el año 2030.</w:t>
      </w:r>
      <w:r w:rsidRPr="00794EB9">
        <w:rPr>
          <w:rFonts w:ascii="Arial" w:eastAsiaTheme="minorHAnsi" w:hAnsi="Arial" w:cs="Arial"/>
          <w:sz w:val="22"/>
          <w:szCs w:val="22"/>
          <w:vertAlign w:val="superscript"/>
          <w:lang w:eastAsia="en-US"/>
        </w:rPr>
        <w:t xml:space="preserve"> </w:t>
      </w:r>
      <w:r w:rsidRPr="00794EB9">
        <w:rPr>
          <w:rFonts w:ascii="Arial" w:eastAsiaTheme="minorHAnsi" w:hAnsi="Arial" w:cs="Arial"/>
          <w:i/>
          <w:sz w:val="22"/>
          <w:szCs w:val="22"/>
          <w:u w:val="single"/>
          <w:lang w:eastAsia="en-US"/>
        </w:rPr>
        <w:t>(</w:t>
      </w:r>
      <w:r w:rsidRPr="00794EB9">
        <w:rPr>
          <w:rFonts w:ascii="Arial" w:hAnsi="Arial" w:cs="Arial"/>
          <w:i/>
          <w:sz w:val="22"/>
          <w:szCs w:val="22"/>
          <w:u w:val="single"/>
        </w:rPr>
        <w:t>CONAPO. Proyecciones de población 2015-2030.)</w:t>
      </w:r>
    </w:p>
    <w:p w14:paraId="55B5B5D3" w14:textId="77777777" w:rsidR="00794EB9" w:rsidRPr="00794EB9" w:rsidRDefault="00794EB9" w:rsidP="00794EB9">
      <w:pPr>
        <w:ind w:hanging="2"/>
        <w:jc w:val="both"/>
        <w:rPr>
          <w:rFonts w:ascii="Arial" w:hAnsi="Arial" w:cs="Arial"/>
          <w:sz w:val="22"/>
          <w:szCs w:val="22"/>
        </w:rPr>
      </w:pPr>
    </w:p>
    <w:p w14:paraId="370D5045"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Por otra parte, de acuerdo con el Censo de Población y Vivienda 2020, </w:t>
      </w:r>
      <w:r w:rsidRPr="00794EB9">
        <w:rPr>
          <w:rFonts w:ascii="Arial" w:eastAsiaTheme="minorHAnsi" w:hAnsi="Arial" w:cs="Arial"/>
          <w:color w:val="auto"/>
          <w:lang w:eastAsia="en-US"/>
        </w:rPr>
        <w:t>se registraron 48 mil 767 personas migrantes, que en marzo de 2015 residían fuera del municipio, mostrando así un incremento de 4 mil 762 migrantes</w:t>
      </w:r>
      <w:r w:rsidRPr="00794EB9">
        <w:rPr>
          <w:rFonts w:ascii="Arial" w:hAnsi="Arial" w:cs="Arial"/>
          <w:color w:val="auto"/>
        </w:rPr>
        <w:t>.</w:t>
      </w:r>
    </w:p>
    <w:p w14:paraId="14CD4122" w14:textId="77777777" w:rsidR="00794EB9" w:rsidRPr="00794EB9" w:rsidRDefault="00794EB9" w:rsidP="00794EB9">
      <w:pPr>
        <w:pStyle w:val="PMDNormal"/>
        <w:ind w:left="0" w:hanging="2"/>
        <w:jc w:val="center"/>
        <w:rPr>
          <w:rFonts w:ascii="Arial" w:hAnsi="Arial" w:cs="Arial"/>
          <w:color w:val="auto"/>
        </w:rPr>
      </w:pPr>
      <w:r w:rsidRPr="00794EB9">
        <w:rPr>
          <w:rFonts w:ascii="Arial" w:hAnsi="Arial" w:cs="Arial"/>
          <w:noProof/>
          <w:color w:val="auto"/>
        </w:rPr>
        <w:lastRenderedPageBreak/>
        <w:drawing>
          <wp:inline distT="0" distB="0" distL="0" distR="0" wp14:anchorId="4EB2357C" wp14:editId="25BABB6D">
            <wp:extent cx="4735195" cy="4988560"/>
            <wp:effectExtent l="0" t="0" r="1905" b="2540"/>
            <wp:docPr id="27"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35195" cy="4988560"/>
                    </a:xfrm>
                    <a:prstGeom prst="rect">
                      <a:avLst/>
                    </a:prstGeom>
                    <a:noFill/>
                    <a:ln>
                      <a:noFill/>
                    </a:ln>
                  </pic:spPr>
                </pic:pic>
              </a:graphicData>
            </a:graphic>
          </wp:inline>
        </w:drawing>
      </w:r>
    </w:p>
    <w:p w14:paraId="21487591" w14:textId="77777777" w:rsidR="00794EB9" w:rsidRPr="00794EB9" w:rsidRDefault="00794EB9" w:rsidP="00794EB9">
      <w:pPr>
        <w:pStyle w:val="PMDNormal"/>
        <w:ind w:left="0" w:hanging="2"/>
        <w:jc w:val="center"/>
        <w:rPr>
          <w:rFonts w:ascii="Arial" w:hAnsi="Arial" w:cs="Arial"/>
          <w:color w:val="auto"/>
        </w:rPr>
      </w:pPr>
    </w:p>
    <w:p w14:paraId="73D308B3" w14:textId="77777777" w:rsidR="00794EB9" w:rsidRPr="00794EB9" w:rsidRDefault="00794EB9" w:rsidP="00794EB9">
      <w:pPr>
        <w:pStyle w:val="PMDNormal"/>
        <w:ind w:left="0" w:hanging="2"/>
        <w:jc w:val="center"/>
        <w:rPr>
          <w:rFonts w:ascii="Arial" w:hAnsi="Arial" w:cs="Arial"/>
          <w:color w:val="auto"/>
        </w:rPr>
      </w:pPr>
    </w:p>
    <w:p w14:paraId="0201B0BE" w14:textId="77777777" w:rsidR="00794EB9" w:rsidRPr="00794EB9" w:rsidRDefault="00794EB9" w:rsidP="00794EB9">
      <w:pPr>
        <w:pStyle w:val="PMDNormal"/>
        <w:ind w:left="0" w:hanging="2"/>
        <w:jc w:val="center"/>
        <w:rPr>
          <w:rFonts w:ascii="Arial" w:hAnsi="Arial" w:cs="Arial"/>
          <w:color w:val="auto"/>
        </w:rPr>
      </w:pPr>
      <w:r w:rsidRPr="00794EB9">
        <w:rPr>
          <w:rFonts w:ascii="Arial" w:hAnsi="Arial" w:cs="Arial"/>
          <w:noProof/>
          <w:color w:val="auto"/>
        </w:rPr>
        <w:drawing>
          <wp:inline distT="0" distB="0" distL="0" distR="0" wp14:anchorId="07B51539" wp14:editId="48FBF044">
            <wp:extent cx="5499925" cy="1836420"/>
            <wp:effectExtent l="0" t="0" r="571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b.png"/>
                    <pic:cNvPicPr/>
                  </pic:nvPicPr>
                  <pic:blipFill>
                    <a:blip r:embed="rId24" cstate="print">
                      <a:extLst>
                        <a:ext uri="{BEBA8EAE-BF5A-486C-A8C5-ECC9F3942E4B}">
                          <a14:imgProps xmlns:a14="http://schemas.microsoft.com/office/drawing/2010/main">
                            <a14:imgLayer r:embed="rId2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14657" cy="1841339"/>
                    </a:xfrm>
                    <a:prstGeom prst="rect">
                      <a:avLst/>
                    </a:prstGeom>
                  </pic:spPr>
                </pic:pic>
              </a:graphicData>
            </a:graphic>
          </wp:inline>
        </w:drawing>
      </w:r>
    </w:p>
    <w:p w14:paraId="15E62A4A" w14:textId="77777777" w:rsidR="00794EB9" w:rsidRPr="00794EB9" w:rsidRDefault="00794EB9" w:rsidP="00794EB9">
      <w:pPr>
        <w:pStyle w:val="PMDNormal"/>
        <w:ind w:left="0" w:hanging="2"/>
        <w:jc w:val="center"/>
        <w:rPr>
          <w:rFonts w:ascii="Arial" w:hAnsi="Arial" w:cs="Arial"/>
          <w:color w:val="auto"/>
        </w:rPr>
      </w:pPr>
    </w:p>
    <w:p w14:paraId="39F11461" w14:textId="77777777" w:rsidR="00794EB9" w:rsidRPr="00794EB9" w:rsidRDefault="00794EB9" w:rsidP="00794EB9">
      <w:pPr>
        <w:pStyle w:val="SubttuloPG"/>
        <w:ind w:left="0" w:hanging="2"/>
        <w:jc w:val="center"/>
        <w:rPr>
          <w:rFonts w:ascii="Arial" w:hAnsi="Arial"/>
          <w:color w:val="auto"/>
          <w:sz w:val="22"/>
          <w:szCs w:val="22"/>
        </w:rPr>
      </w:pPr>
      <w:r w:rsidRPr="00794EB9">
        <w:rPr>
          <w:rFonts w:ascii="Arial" w:hAnsi="Arial"/>
          <w:noProof/>
          <w:color w:val="auto"/>
          <w:sz w:val="22"/>
          <w:szCs w:val="22"/>
        </w:rPr>
        <w:lastRenderedPageBreak/>
        <w:drawing>
          <wp:inline distT="0" distB="0" distL="0" distR="0" wp14:anchorId="043D4244" wp14:editId="3D23CAD9">
            <wp:extent cx="5539740" cy="5270832"/>
            <wp:effectExtent l="0" t="0" r="3810" b="63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png"/>
                    <pic:cNvPicPr/>
                  </pic:nvPicPr>
                  <pic:blipFill>
                    <a:blip r:embed="rId26" cstate="print">
                      <a:extLst>
                        <a:ext uri="{BEBA8EAE-BF5A-486C-A8C5-ECC9F3942E4B}">
                          <a14:imgProps xmlns:a14="http://schemas.microsoft.com/office/drawing/2010/main">
                            <a14:imgLayer r:embed="rId2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42675" cy="5273624"/>
                    </a:xfrm>
                    <a:prstGeom prst="rect">
                      <a:avLst/>
                    </a:prstGeom>
                  </pic:spPr>
                </pic:pic>
              </a:graphicData>
            </a:graphic>
          </wp:inline>
        </w:drawing>
      </w:r>
    </w:p>
    <w:p w14:paraId="70A7A042" w14:textId="77777777" w:rsidR="00794EB9" w:rsidRPr="00794EB9" w:rsidRDefault="00794EB9" w:rsidP="00794EB9">
      <w:pPr>
        <w:pStyle w:val="SubttuloPG"/>
        <w:ind w:left="0" w:hanging="2"/>
        <w:rPr>
          <w:rFonts w:ascii="Arial" w:hAnsi="Arial"/>
          <w:color w:val="auto"/>
          <w:sz w:val="22"/>
          <w:szCs w:val="22"/>
        </w:rPr>
      </w:pPr>
    </w:p>
    <w:p w14:paraId="69BBE7B4" w14:textId="77777777" w:rsidR="00794EB9" w:rsidRPr="00794EB9" w:rsidRDefault="00794EB9" w:rsidP="00794EB9">
      <w:pPr>
        <w:pStyle w:val="SubttuloPG"/>
        <w:ind w:left="0" w:hanging="2"/>
        <w:rPr>
          <w:rFonts w:ascii="Arial" w:hAnsi="Arial"/>
          <w:color w:val="auto"/>
          <w:sz w:val="22"/>
          <w:szCs w:val="22"/>
        </w:rPr>
      </w:pPr>
    </w:p>
    <w:p w14:paraId="68B4DB99"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El territorio de León</w:t>
      </w:r>
    </w:p>
    <w:p w14:paraId="7D597C68" w14:textId="77777777" w:rsidR="00794EB9" w:rsidRPr="00794EB9" w:rsidRDefault="00794EB9" w:rsidP="00794EB9">
      <w:pPr>
        <w:pStyle w:val="PMDNormal"/>
        <w:ind w:left="0" w:hanging="2"/>
        <w:rPr>
          <w:rFonts w:ascii="Arial" w:eastAsia="Arial" w:hAnsi="Arial" w:cs="Arial"/>
          <w:b/>
          <w:color w:val="auto"/>
        </w:rPr>
      </w:pPr>
    </w:p>
    <w:p w14:paraId="6D069D56" w14:textId="77777777" w:rsidR="00794EB9" w:rsidRPr="00794EB9" w:rsidRDefault="00794EB9" w:rsidP="00794EB9">
      <w:pPr>
        <w:pStyle w:val="PMDTtulo2"/>
        <w:ind w:left="0" w:hanging="2"/>
        <w:rPr>
          <w:rFonts w:ascii="Arial" w:eastAsia="Calibri" w:hAnsi="Arial"/>
          <w:b w:val="0"/>
          <w:color w:val="auto"/>
          <w:sz w:val="22"/>
          <w:szCs w:val="22"/>
        </w:rPr>
      </w:pPr>
      <w:r w:rsidRPr="00794EB9">
        <w:rPr>
          <w:rFonts w:ascii="Arial" w:eastAsia="Calibri" w:hAnsi="Arial"/>
          <w:b w:val="0"/>
          <w:color w:val="auto"/>
          <w:sz w:val="22"/>
          <w:szCs w:val="22"/>
        </w:rPr>
        <w:t>El municipio de León tiene una superficie de 128 mil hectáreas, que representan el 4.8% del territorio estatal. Dentro de éste se identifican tres zonas geográficas que determinan las condiciones de ocupación y el aprovechamiento del territorio.</w:t>
      </w:r>
    </w:p>
    <w:p w14:paraId="31CEDA50" w14:textId="77777777" w:rsidR="00794EB9" w:rsidRPr="00794EB9" w:rsidRDefault="00794EB9" w:rsidP="00794EB9">
      <w:pPr>
        <w:pStyle w:val="PMDTtulo2"/>
        <w:ind w:left="0" w:hanging="2"/>
        <w:rPr>
          <w:rFonts w:ascii="Arial" w:eastAsia="Calibri" w:hAnsi="Arial"/>
          <w:b w:val="0"/>
          <w:color w:val="auto"/>
          <w:sz w:val="22"/>
          <w:szCs w:val="22"/>
        </w:rPr>
      </w:pPr>
    </w:p>
    <w:p w14:paraId="679A0275" w14:textId="77777777" w:rsidR="00794EB9" w:rsidRPr="00794EB9" w:rsidRDefault="00794EB9" w:rsidP="00794EB9">
      <w:pPr>
        <w:pStyle w:val="PMDTtulo2"/>
        <w:ind w:left="0" w:hanging="2"/>
        <w:rPr>
          <w:rFonts w:ascii="Arial" w:eastAsia="Calibri" w:hAnsi="Arial"/>
          <w:b w:val="0"/>
          <w:color w:val="auto"/>
          <w:sz w:val="22"/>
          <w:szCs w:val="22"/>
        </w:rPr>
      </w:pPr>
      <w:r w:rsidRPr="00794EB9">
        <w:rPr>
          <w:rFonts w:ascii="Arial" w:eastAsia="Calibri" w:hAnsi="Arial"/>
          <w:b w:val="0"/>
          <w:color w:val="auto"/>
          <w:sz w:val="22"/>
          <w:szCs w:val="22"/>
        </w:rPr>
        <w:t>En la zona norte se encuentra la sierra, de gran valor ambiental por los diversos ecosistemas, cobertura de vegetación forestal y microcuencas existentes. En ésta se localizan las Áreas Naturales Protegidas: Sierra de Lobos y La Patiña.</w:t>
      </w:r>
    </w:p>
    <w:p w14:paraId="1A5D22B7" w14:textId="77777777" w:rsidR="00794EB9" w:rsidRPr="00794EB9" w:rsidRDefault="00794EB9" w:rsidP="00794EB9">
      <w:pPr>
        <w:pStyle w:val="PMDTtulo2"/>
        <w:ind w:left="0" w:hanging="2"/>
        <w:rPr>
          <w:rFonts w:ascii="Arial" w:eastAsia="Calibri" w:hAnsi="Arial"/>
          <w:b w:val="0"/>
          <w:color w:val="auto"/>
          <w:sz w:val="22"/>
          <w:szCs w:val="22"/>
        </w:rPr>
      </w:pPr>
    </w:p>
    <w:p w14:paraId="020982A7" w14:textId="77777777" w:rsidR="00794EB9" w:rsidRPr="00794EB9" w:rsidRDefault="00794EB9" w:rsidP="00794EB9">
      <w:pPr>
        <w:pStyle w:val="PMDTtulo2"/>
        <w:ind w:left="0" w:hanging="2"/>
        <w:rPr>
          <w:rFonts w:ascii="Arial" w:eastAsia="Calibri" w:hAnsi="Arial"/>
          <w:b w:val="0"/>
          <w:color w:val="auto"/>
          <w:sz w:val="22"/>
          <w:szCs w:val="22"/>
        </w:rPr>
      </w:pPr>
      <w:r w:rsidRPr="00794EB9">
        <w:rPr>
          <w:rFonts w:ascii="Arial" w:eastAsia="Calibri" w:hAnsi="Arial"/>
          <w:b w:val="0"/>
          <w:color w:val="auto"/>
          <w:sz w:val="22"/>
          <w:szCs w:val="22"/>
        </w:rPr>
        <w:t>Al centro del municipio se ubica el área o superficie urbana y las zonas de crecimiento, donde se localizan los diferentes usos de suelo y las actividades urbanas.</w:t>
      </w:r>
    </w:p>
    <w:p w14:paraId="41E5EEAD" w14:textId="77777777" w:rsidR="00794EB9" w:rsidRPr="00794EB9" w:rsidRDefault="00794EB9" w:rsidP="00794EB9">
      <w:pPr>
        <w:pStyle w:val="PMDTtulo2"/>
        <w:ind w:left="0" w:hanging="2"/>
        <w:rPr>
          <w:rFonts w:ascii="Arial" w:eastAsia="Calibri" w:hAnsi="Arial"/>
          <w:b w:val="0"/>
          <w:color w:val="auto"/>
          <w:sz w:val="22"/>
          <w:szCs w:val="22"/>
        </w:rPr>
      </w:pPr>
    </w:p>
    <w:p w14:paraId="2D022A8F" w14:textId="77777777" w:rsidR="00794EB9" w:rsidRPr="00794EB9" w:rsidRDefault="00794EB9" w:rsidP="00794EB9">
      <w:pPr>
        <w:pStyle w:val="PMDTtulo2"/>
        <w:ind w:left="0" w:hanging="2"/>
        <w:rPr>
          <w:rFonts w:ascii="Arial" w:eastAsia="Calibri" w:hAnsi="Arial"/>
          <w:b w:val="0"/>
          <w:color w:val="auto"/>
          <w:sz w:val="22"/>
          <w:szCs w:val="22"/>
        </w:rPr>
      </w:pPr>
      <w:r w:rsidRPr="00794EB9">
        <w:rPr>
          <w:rFonts w:ascii="Arial" w:eastAsia="Calibri" w:hAnsi="Arial"/>
          <w:b w:val="0"/>
          <w:color w:val="auto"/>
          <w:sz w:val="22"/>
          <w:szCs w:val="22"/>
        </w:rPr>
        <w:t>En la zona sur se encuentra el área con actividades agrícolas y potencial agroecológico de condiciones altamente productivas, principalmente para el cultivo de granos y hortalizas.</w:t>
      </w:r>
    </w:p>
    <w:p w14:paraId="472773E9" w14:textId="77777777" w:rsidR="00794EB9" w:rsidRPr="00794EB9" w:rsidRDefault="00794EB9" w:rsidP="00794EB9">
      <w:pPr>
        <w:pStyle w:val="PMDTtulo2"/>
        <w:ind w:left="0" w:hanging="2"/>
        <w:rPr>
          <w:rFonts w:ascii="Arial" w:eastAsia="Calibri" w:hAnsi="Arial"/>
          <w:b w:val="0"/>
          <w:color w:val="auto"/>
          <w:sz w:val="22"/>
          <w:szCs w:val="22"/>
        </w:rPr>
      </w:pPr>
    </w:p>
    <w:p w14:paraId="4F9681D1" w14:textId="77777777" w:rsidR="00794EB9" w:rsidRPr="00794EB9" w:rsidRDefault="00794EB9" w:rsidP="00794EB9">
      <w:pPr>
        <w:pStyle w:val="PMDTtulo2"/>
        <w:ind w:left="0" w:hanging="2"/>
        <w:rPr>
          <w:rFonts w:ascii="Arial" w:eastAsia="Calibri" w:hAnsi="Arial"/>
          <w:b w:val="0"/>
          <w:color w:val="auto"/>
          <w:sz w:val="22"/>
          <w:szCs w:val="22"/>
        </w:rPr>
      </w:pPr>
      <w:r w:rsidRPr="00794EB9">
        <w:rPr>
          <w:rFonts w:ascii="Arial" w:hAnsi="Arial"/>
          <w:b w:val="0"/>
          <w:noProof/>
          <w:color w:val="auto"/>
          <w:sz w:val="22"/>
          <w:szCs w:val="22"/>
        </w:rPr>
        <w:lastRenderedPageBreak/>
        <w:drawing>
          <wp:inline distT="0" distB="0" distL="0" distR="0" wp14:anchorId="2129BDC0" wp14:editId="59613D33">
            <wp:extent cx="5535673" cy="4859215"/>
            <wp:effectExtent l="0" t="0" r="825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png"/>
                    <pic:cNvPicPr/>
                  </pic:nvPicPr>
                  <pic:blipFill>
                    <a:blip r:embed="rId28" cstate="print">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37846" cy="4861123"/>
                    </a:xfrm>
                    <a:prstGeom prst="rect">
                      <a:avLst/>
                    </a:prstGeom>
                  </pic:spPr>
                </pic:pic>
              </a:graphicData>
            </a:graphic>
          </wp:inline>
        </w:drawing>
      </w:r>
    </w:p>
    <w:p w14:paraId="5BFF1666" w14:textId="77777777" w:rsidR="00794EB9" w:rsidRPr="00794EB9" w:rsidRDefault="00794EB9" w:rsidP="00794EB9">
      <w:pPr>
        <w:ind w:hanging="2"/>
        <w:rPr>
          <w:rFonts w:ascii="Arial" w:hAnsi="Arial" w:cs="Arial"/>
          <w:b/>
          <w:sz w:val="22"/>
          <w:szCs w:val="22"/>
        </w:rPr>
      </w:pPr>
    </w:p>
    <w:p w14:paraId="640B4156" w14:textId="77777777" w:rsidR="00794EB9" w:rsidRPr="00794EB9" w:rsidRDefault="00794EB9" w:rsidP="00794EB9">
      <w:pPr>
        <w:rPr>
          <w:rFonts w:ascii="Arial" w:hAnsi="Arial" w:cs="Arial"/>
          <w:b/>
          <w:sz w:val="22"/>
          <w:szCs w:val="22"/>
        </w:rPr>
      </w:pPr>
    </w:p>
    <w:p w14:paraId="1ED66ADE" w14:textId="77777777" w:rsidR="00794EB9" w:rsidRPr="00794EB9" w:rsidRDefault="00794EB9" w:rsidP="00794EB9">
      <w:pPr>
        <w:rPr>
          <w:rFonts w:ascii="Arial" w:hAnsi="Arial" w:cs="Arial"/>
          <w:b/>
          <w:sz w:val="22"/>
          <w:szCs w:val="22"/>
        </w:rPr>
      </w:pPr>
      <w:r w:rsidRPr="00794EB9">
        <w:rPr>
          <w:rFonts w:ascii="Arial" w:hAnsi="Arial" w:cs="Arial"/>
          <w:b/>
          <w:sz w:val="22"/>
          <w:szCs w:val="22"/>
        </w:rPr>
        <w:t xml:space="preserve">RETOS PRIORITARIOS DEL MUNICIPIO DE LEÓN </w:t>
      </w:r>
    </w:p>
    <w:p w14:paraId="22CE8C55" w14:textId="77777777" w:rsidR="00794EB9" w:rsidRPr="00794EB9" w:rsidRDefault="00794EB9" w:rsidP="00794EB9">
      <w:pPr>
        <w:pStyle w:val="PMDTtulo2"/>
        <w:ind w:leftChars="0" w:left="2" w:hanging="2"/>
        <w:rPr>
          <w:rFonts w:ascii="Arial" w:hAnsi="Arial"/>
          <w:color w:val="auto"/>
          <w:sz w:val="22"/>
          <w:szCs w:val="22"/>
        </w:rPr>
      </w:pPr>
    </w:p>
    <w:p w14:paraId="68EA6FDE"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Para establecer las acciones que se proponen durante los próximos tres años de esta administración, es fundamental identificar cuáles son los retos a los que nos enfrentamos como municipio y conocer las necesidades consideradas como prioritarias por las y los leoneses.</w:t>
      </w:r>
    </w:p>
    <w:p w14:paraId="04D2936F"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p>
    <w:p w14:paraId="1D6EBF80"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Este enfoque deriva de los ejercicios de reflexión realizados en el proceso de actualización de los instrumentos de planeación, Plan Municipal de Desarrollo (PMD) y el Programa Municipal de Desarrollo Urbano y Ordenamiento Ecológico y Territorial (PMDUOET), que integran tanto las condiciones que en ese momento les preocupaban a los ciudadanos además de las tendencias mundiales en una prospección de futuros y sus posibles impactos en los diferentes escenarios locales.</w:t>
      </w:r>
    </w:p>
    <w:p w14:paraId="3CB5517D"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p>
    <w:p w14:paraId="130406E6"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 xml:space="preserve">Para esto se tomó como punto de partida el ejercicio de “Prospectiva León. Análisis y Proyección del Territorio”, en el que las y los ciudadanos analizaron los posibles escenarios territoriales, a partir de un diagnóstico del municipio, en los que se deberá desarrollar la ciudad y territorio. </w:t>
      </w:r>
    </w:p>
    <w:p w14:paraId="1C895AE8"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p>
    <w:p w14:paraId="5C713658"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A través de este ejercicio, con representantes de la sociedad civil, se reflexionó colectivamente sobre ¿Dónde estamos? ¿A qué nos podríamos enfrentar en el futuro? ¿Qué ciudad queremos seguir construyendo? para mostrar las principales tendencias urbanas y de ocupación del territorio que determinan la configuración actual de León, a fin de definir y actuar conjuntamente sobre un mismo rumbo, con sustento en una visión y con una planeación estratégica a futuro más fortalecida.</w:t>
      </w:r>
    </w:p>
    <w:p w14:paraId="7E3EB36B"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p>
    <w:p w14:paraId="46760DD3" w14:textId="77777777" w:rsidR="00794EB9" w:rsidRPr="00794EB9" w:rsidRDefault="00794EB9" w:rsidP="00794EB9">
      <w:pPr>
        <w:pStyle w:val="PMDTtulo2"/>
        <w:ind w:left="0" w:hanging="2"/>
        <w:rPr>
          <w:rFonts w:ascii="Arial" w:eastAsia="Calibri" w:hAnsi="Arial"/>
          <w:b w:val="0"/>
          <w:color w:val="auto"/>
          <w:sz w:val="22"/>
          <w:szCs w:val="22"/>
          <w:lang w:eastAsia="es-ES"/>
        </w:rPr>
      </w:pPr>
      <w:r w:rsidRPr="00794EB9">
        <w:rPr>
          <w:rFonts w:ascii="Arial" w:eastAsia="Calibri" w:hAnsi="Arial"/>
          <w:b w:val="0"/>
          <w:color w:val="auto"/>
          <w:sz w:val="22"/>
          <w:szCs w:val="22"/>
          <w:lang w:eastAsia="es-ES"/>
        </w:rPr>
        <w:t>Como resultado de este ejercicio la opinión de las y los participantes fue que la orientación de León debía ir encaminada a un modelo de ciudad consolidada y densificada, dado que dentro del área urbana existen las condiciones, infraestructura y servicios públicos que favorecen el desarrollo densificado con usos de suelo mixtos, vivienda, comercio y servicios verticales, equipamiento y espacios públicos.</w:t>
      </w:r>
    </w:p>
    <w:p w14:paraId="39FD3E88" w14:textId="77777777" w:rsidR="00794EB9" w:rsidRPr="00794EB9" w:rsidRDefault="00794EB9" w:rsidP="00794EB9">
      <w:pPr>
        <w:pStyle w:val="PMDTtulo2"/>
        <w:ind w:left="0" w:hanging="2"/>
        <w:rPr>
          <w:rFonts w:ascii="Arial" w:eastAsia="Calibri" w:hAnsi="Arial"/>
          <w:b w:val="0"/>
          <w:color w:val="auto"/>
          <w:sz w:val="22"/>
          <w:szCs w:val="22"/>
          <w:lang w:eastAsia="es-ES"/>
        </w:rPr>
      </w:pPr>
    </w:p>
    <w:p w14:paraId="4354A9F1" w14:textId="77777777" w:rsidR="00794EB9" w:rsidRPr="00794EB9" w:rsidRDefault="00794EB9" w:rsidP="00794EB9">
      <w:pPr>
        <w:pStyle w:val="PMDTtulo2"/>
        <w:ind w:left="0" w:hanging="2"/>
        <w:rPr>
          <w:rFonts w:ascii="Arial" w:eastAsia="Calibri" w:hAnsi="Arial"/>
          <w:b w:val="0"/>
          <w:color w:val="auto"/>
          <w:sz w:val="22"/>
          <w:szCs w:val="22"/>
          <w:lang w:eastAsia="es-ES"/>
        </w:rPr>
      </w:pPr>
      <w:r w:rsidRPr="00794EB9">
        <w:rPr>
          <w:rFonts w:ascii="Arial" w:eastAsia="Calibri" w:hAnsi="Arial"/>
          <w:b w:val="0"/>
          <w:color w:val="auto"/>
          <w:sz w:val="22"/>
          <w:szCs w:val="22"/>
          <w:lang w:eastAsia="es-ES"/>
        </w:rPr>
        <w:t xml:space="preserve">Se realizó un ejercicio de análisis de futuros y prospectiva, como parte del proceso de actualización del PMD Visión 2045 y el PMDUOET, además de identificar los avances y retos que presenta el municipio a partir de los 12 temas claves en una consulta ciudadana, los cuales están encaminados a atender la inseguridad y violencia, valores familiares y cohesión social, salud, educación, ciencia y tecnología, empleo y competitividad, desarrollo económico, entorno urbano, movilidad, vivienda y asentamientos humanos, ambientales, Gobierno y estado de derecho, cultura y patrimonio. </w:t>
      </w:r>
    </w:p>
    <w:p w14:paraId="220867C8" w14:textId="77777777" w:rsidR="00794EB9" w:rsidRPr="00794EB9" w:rsidRDefault="00794EB9" w:rsidP="00794EB9">
      <w:pPr>
        <w:pStyle w:val="PMDTtulo2"/>
        <w:ind w:left="0" w:hanging="2"/>
        <w:rPr>
          <w:rFonts w:ascii="Arial" w:eastAsia="Calibri" w:hAnsi="Arial"/>
          <w:b w:val="0"/>
          <w:color w:val="auto"/>
          <w:sz w:val="22"/>
          <w:szCs w:val="22"/>
          <w:lang w:eastAsia="es-ES"/>
        </w:rPr>
      </w:pPr>
    </w:p>
    <w:p w14:paraId="37822658" w14:textId="77777777" w:rsidR="00794EB9" w:rsidRPr="00794EB9" w:rsidRDefault="00794EB9" w:rsidP="00794EB9">
      <w:pPr>
        <w:pStyle w:val="PMDTtulo2"/>
        <w:ind w:left="0" w:hanging="2"/>
        <w:rPr>
          <w:rFonts w:ascii="Arial" w:eastAsia="Calibri" w:hAnsi="Arial"/>
          <w:b w:val="0"/>
          <w:color w:val="auto"/>
          <w:sz w:val="22"/>
          <w:szCs w:val="22"/>
          <w:lang w:eastAsia="es-ES"/>
        </w:rPr>
      </w:pPr>
      <w:r w:rsidRPr="00794EB9">
        <w:rPr>
          <w:rFonts w:ascii="Arial" w:eastAsia="Calibri" w:hAnsi="Arial"/>
          <w:b w:val="0"/>
          <w:color w:val="auto"/>
          <w:sz w:val="22"/>
          <w:szCs w:val="22"/>
          <w:lang w:eastAsia="es-ES"/>
        </w:rPr>
        <w:t xml:space="preserve">A partir de este ejercicio de prospectiva y de escenarios futuros, se identificaron cinco conceptos estratégicos: “urgente equidad”, “nuevos parámetros de prosperidad futura”, “virtualidad y tecnología”, “nuevo modelo de gobernanza” y “ciudad saludable: calidad y accesibilidad (agua, aire, energía, movilidad, salud, vivienda)”. </w:t>
      </w:r>
    </w:p>
    <w:p w14:paraId="1705CAC6" w14:textId="77777777" w:rsidR="00794EB9" w:rsidRPr="00794EB9" w:rsidRDefault="00794EB9" w:rsidP="00794EB9">
      <w:pPr>
        <w:pStyle w:val="PMDTtulo2"/>
        <w:ind w:left="0" w:hanging="2"/>
        <w:rPr>
          <w:rFonts w:ascii="Arial" w:eastAsia="Calibri" w:hAnsi="Arial"/>
          <w:b w:val="0"/>
          <w:color w:val="auto"/>
          <w:sz w:val="22"/>
          <w:szCs w:val="22"/>
          <w:lang w:eastAsia="es-ES"/>
        </w:rPr>
      </w:pPr>
    </w:p>
    <w:p w14:paraId="5440C85F" w14:textId="77777777" w:rsidR="00794EB9" w:rsidRPr="00794EB9" w:rsidRDefault="00794EB9" w:rsidP="00794EB9">
      <w:pPr>
        <w:pStyle w:val="PMDTtulo2"/>
        <w:ind w:left="0" w:hanging="2"/>
        <w:rPr>
          <w:rFonts w:ascii="Arial" w:eastAsia="Calibri" w:hAnsi="Arial"/>
          <w:b w:val="0"/>
          <w:color w:val="auto"/>
          <w:sz w:val="22"/>
          <w:szCs w:val="22"/>
          <w:lang w:eastAsia="es-ES"/>
        </w:rPr>
      </w:pPr>
      <w:r w:rsidRPr="00794EB9">
        <w:rPr>
          <w:rFonts w:ascii="Arial" w:eastAsia="Calibri" w:hAnsi="Arial"/>
          <w:b w:val="0"/>
          <w:color w:val="auto"/>
          <w:sz w:val="22"/>
          <w:szCs w:val="22"/>
          <w:lang w:eastAsia="es-ES"/>
        </w:rPr>
        <w:t>Como resultado, se establecieron las bases para definir una visión de largo plazo al 2045 orientada a alcanzar un municipio seguro y confortable; sustentable, accesible y regenerado; laboral y moderno, diverso y equitativo; un modelo de desarrollo sustentable del territorio, cinco principios rectores que son resiliencia evolutiva, alianzas entre el sector social, público y privado, sustentabilidad, cultura de anticipación y enfoque de derechos humanos e igualdad.</w:t>
      </w:r>
    </w:p>
    <w:p w14:paraId="5453D86D" w14:textId="77777777" w:rsidR="00794EB9" w:rsidRPr="00794EB9" w:rsidRDefault="00794EB9" w:rsidP="00794EB9">
      <w:pPr>
        <w:pStyle w:val="PMDTtulo2"/>
        <w:ind w:left="0" w:hanging="2"/>
        <w:rPr>
          <w:rFonts w:ascii="Arial" w:eastAsia="Calibri" w:hAnsi="Arial"/>
          <w:b w:val="0"/>
          <w:color w:val="auto"/>
          <w:sz w:val="22"/>
          <w:szCs w:val="22"/>
          <w:lang w:eastAsia="es-ES"/>
        </w:rPr>
      </w:pPr>
    </w:p>
    <w:p w14:paraId="2FA2A75D"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lang w:eastAsia="es-ES"/>
        </w:rPr>
        <w:t>Desde este enfoque se constituyeron cuatro piedras angulares que son la base de la construcción, así como 20 pilares con los objetivos que se pretenden alcanzar en el largo plazo, alineados a indicadores y metas</w:t>
      </w:r>
      <w:r w:rsidRPr="00794EB9">
        <w:rPr>
          <w:rFonts w:ascii="Arial" w:hAnsi="Arial" w:cs="Arial"/>
          <w:b/>
          <w:color w:val="auto"/>
          <w:lang w:eastAsia="es-ES"/>
        </w:rPr>
        <w:t>,</w:t>
      </w:r>
      <w:r w:rsidRPr="00794EB9">
        <w:rPr>
          <w:rFonts w:ascii="Arial" w:hAnsi="Arial" w:cs="Arial"/>
          <w:color w:val="auto"/>
          <w:lang w:eastAsia="es-ES"/>
        </w:rPr>
        <w:t xml:space="preserve"> que integran</w:t>
      </w:r>
      <w:r w:rsidRPr="00794EB9">
        <w:rPr>
          <w:rFonts w:ascii="Arial" w:hAnsi="Arial" w:cs="Arial"/>
          <w:b/>
          <w:color w:val="auto"/>
          <w:lang w:eastAsia="es-ES"/>
        </w:rPr>
        <w:t xml:space="preserve"> </w:t>
      </w:r>
      <w:r w:rsidRPr="00794EB9">
        <w:rPr>
          <w:rFonts w:ascii="Arial" w:hAnsi="Arial" w:cs="Arial"/>
          <w:color w:val="auto"/>
        </w:rPr>
        <w:t>240 acciones de las cuales 45 son proyectos de gran visión y 45 proyectos prioritarios.</w:t>
      </w:r>
    </w:p>
    <w:p w14:paraId="0DFB657E" w14:textId="77777777" w:rsidR="00794EB9" w:rsidRPr="00794EB9" w:rsidRDefault="00794EB9" w:rsidP="00794EB9">
      <w:pPr>
        <w:pStyle w:val="PMDTtulo2"/>
        <w:ind w:left="0" w:hanging="2"/>
        <w:rPr>
          <w:rFonts w:ascii="Arial" w:eastAsia="Calibri" w:hAnsi="Arial"/>
          <w:b w:val="0"/>
          <w:color w:val="auto"/>
          <w:sz w:val="22"/>
          <w:szCs w:val="22"/>
          <w:lang w:eastAsia="es-ES"/>
        </w:rPr>
      </w:pPr>
    </w:p>
    <w:p w14:paraId="007149ED" w14:textId="77777777" w:rsidR="00794EB9" w:rsidRPr="00794EB9" w:rsidRDefault="00794EB9" w:rsidP="00794EB9">
      <w:pPr>
        <w:pStyle w:val="PMDTtulo2"/>
        <w:ind w:left="0" w:hanging="2"/>
        <w:rPr>
          <w:rFonts w:ascii="Arial" w:eastAsia="Calibri" w:hAnsi="Arial"/>
          <w:b w:val="0"/>
          <w:color w:val="auto"/>
          <w:sz w:val="22"/>
          <w:szCs w:val="22"/>
          <w:lang w:eastAsia="es-ES"/>
        </w:rPr>
      </w:pPr>
      <w:r w:rsidRPr="00794EB9">
        <w:rPr>
          <w:rFonts w:ascii="Arial" w:eastAsia="Calibri" w:hAnsi="Arial"/>
          <w:b w:val="0"/>
          <w:color w:val="auto"/>
          <w:sz w:val="22"/>
          <w:szCs w:val="22"/>
          <w:lang w:eastAsia="es-ES"/>
        </w:rPr>
        <w:t xml:space="preserve">La piedra angular: “Territorio sustentable y ciudad resiliente”, cuenta con los pilares de acceso y sostenibilidad del agua, con una sociedad sensible para su uso y cuidado; sustentabilidad ante el cambio climático, gestión integral de residuos sólidos urbanos, aire limpio y saludable, movilidad sustentable e incluyente, y modelo urbano integrador. </w:t>
      </w:r>
    </w:p>
    <w:p w14:paraId="152DB096" w14:textId="77777777" w:rsidR="00794EB9" w:rsidRPr="00794EB9" w:rsidRDefault="00794EB9" w:rsidP="00794EB9">
      <w:pPr>
        <w:pStyle w:val="PMDTtulo2"/>
        <w:ind w:left="0" w:hanging="2"/>
        <w:rPr>
          <w:rFonts w:ascii="Arial" w:eastAsia="Calibri" w:hAnsi="Arial"/>
          <w:b w:val="0"/>
          <w:color w:val="auto"/>
          <w:sz w:val="22"/>
          <w:szCs w:val="22"/>
          <w:lang w:eastAsia="es-ES"/>
        </w:rPr>
      </w:pPr>
      <w:r w:rsidRPr="00794EB9">
        <w:rPr>
          <w:rFonts w:ascii="Arial" w:eastAsia="Calibri" w:hAnsi="Arial"/>
          <w:b w:val="0"/>
          <w:color w:val="auto"/>
          <w:sz w:val="22"/>
          <w:szCs w:val="22"/>
          <w:lang w:eastAsia="es-ES"/>
        </w:rPr>
        <w:t xml:space="preserve">  </w:t>
      </w:r>
    </w:p>
    <w:p w14:paraId="14DC39C5" w14:textId="77777777" w:rsidR="00794EB9" w:rsidRPr="00794EB9" w:rsidRDefault="00794EB9" w:rsidP="00794EB9">
      <w:pPr>
        <w:pStyle w:val="PMDTtulo2"/>
        <w:ind w:left="0" w:hanging="2"/>
        <w:rPr>
          <w:rFonts w:ascii="Arial" w:eastAsia="Calibri" w:hAnsi="Arial"/>
          <w:b w:val="0"/>
          <w:color w:val="auto"/>
          <w:sz w:val="22"/>
          <w:szCs w:val="22"/>
          <w:lang w:eastAsia="es-ES"/>
        </w:rPr>
      </w:pPr>
      <w:r w:rsidRPr="00794EB9">
        <w:rPr>
          <w:rFonts w:ascii="Arial" w:eastAsia="Calibri" w:hAnsi="Arial"/>
          <w:b w:val="0"/>
          <w:color w:val="auto"/>
          <w:sz w:val="22"/>
          <w:szCs w:val="22"/>
          <w:lang w:eastAsia="es-ES"/>
        </w:rPr>
        <w:t>Los pilares de la piedra angular: “Economía competitiva y sostenible”, son economía formal y generadora de empleos de calidad, desarrollo rural sustentable, entorno para el emprendimiento y la innovación, así como sectores económicos estratégicos.</w:t>
      </w:r>
    </w:p>
    <w:p w14:paraId="5FA10049" w14:textId="77777777" w:rsidR="00794EB9" w:rsidRPr="00794EB9" w:rsidRDefault="00794EB9" w:rsidP="00794EB9">
      <w:pPr>
        <w:pStyle w:val="PMDTtulo2"/>
        <w:ind w:left="0" w:hanging="2"/>
        <w:rPr>
          <w:rFonts w:ascii="Arial" w:eastAsia="Calibri" w:hAnsi="Arial"/>
          <w:b w:val="0"/>
          <w:color w:val="auto"/>
          <w:sz w:val="22"/>
          <w:szCs w:val="22"/>
          <w:lang w:eastAsia="es-ES"/>
        </w:rPr>
      </w:pPr>
    </w:p>
    <w:p w14:paraId="3E94DE2D" w14:textId="77777777" w:rsidR="00794EB9" w:rsidRPr="00794EB9" w:rsidRDefault="00794EB9" w:rsidP="00794EB9">
      <w:pPr>
        <w:pStyle w:val="PMDTtulo2"/>
        <w:ind w:left="0" w:hanging="2"/>
        <w:rPr>
          <w:rFonts w:ascii="Arial" w:eastAsia="Calibri" w:hAnsi="Arial"/>
          <w:b w:val="0"/>
          <w:color w:val="auto"/>
          <w:sz w:val="22"/>
          <w:szCs w:val="22"/>
          <w:lang w:eastAsia="es-ES"/>
        </w:rPr>
      </w:pPr>
      <w:r w:rsidRPr="00794EB9">
        <w:rPr>
          <w:rFonts w:ascii="Arial" w:eastAsia="Calibri" w:hAnsi="Arial"/>
          <w:b w:val="0"/>
          <w:color w:val="auto"/>
          <w:sz w:val="22"/>
          <w:szCs w:val="22"/>
          <w:lang w:eastAsia="es-ES"/>
        </w:rPr>
        <w:lastRenderedPageBreak/>
        <w:t xml:space="preserve">En la piedra angular: “Sociedad incluyente”, los pilares son recreación accesible y de calidad, equidad social, igualdad e inclusión, estilos de vida saludable, educación, además de equitativa, pertinente y de calidad. </w:t>
      </w:r>
    </w:p>
    <w:p w14:paraId="701C4AD9" w14:textId="77777777" w:rsidR="00794EB9" w:rsidRPr="00794EB9" w:rsidRDefault="00794EB9" w:rsidP="00794EB9">
      <w:pPr>
        <w:pStyle w:val="PMDTtulo2"/>
        <w:ind w:left="0" w:hanging="2"/>
        <w:rPr>
          <w:rFonts w:ascii="Arial" w:eastAsia="Calibri" w:hAnsi="Arial"/>
          <w:b w:val="0"/>
          <w:color w:val="auto"/>
          <w:sz w:val="22"/>
          <w:szCs w:val="22"/>
          <w:lang w:eastAsia="es-ES"/>
        </w:rPr>
      </w:pPr>
    </w:p>
    <w:p w14:paraId="08705342" w14:textId="77777777" w:rsidR="00794EB9" w:rsidRPr="00794EB9" w:rsidRDefault="00794EB9" w:rsidP="00794EB9">
      <w:pPr>
        <w:pStyle w:val="PMDTtulo2"/>
        <w:ind w:left="0" w:hanging="2"/>
        <w:rPr>
          <w:rFonts w:ascii="Arial" w:eastAsia="Calibri" w:hAnsi="Arial"/>
          <w:b w:val="0"/>
          <w:color w:val="auto"/>
          <w:sz w:val="22"/>
          <w:szCs w:val="22"/>
          <w:lang w:eastAsia="es-ES"/>
        </w:rPr>
      </w:pPr>
      <w:r w:rsidRPr="00794EB9">
        <w:rPr>
          <w:rFonts w:ascii="Arial" w:eastAsia="Calibri" w:hAnsi="Arial"/>
          <w:b w:val="0"/>
          <w:color w:val="auto"/>
          <w:sz w:val="22"/>
          <w:szCs w:val="22"/>
          <w:lang w:eastAsia="es-ES"/>
        </w:rPr>
        <w:t>Los pilares de la piedra angular: “Nuevo modelo de gobernanza”, son seguridad ciudadana y paz sostenible, co-creación, colaboración y participación ciudadana, gobierno abierto con liderazgo; planeación, anticipación y gestión estratégica; y conectividad digital.</w:t>
      </w:r>
    </w:p>
    <w:p w14:paraId="5836B828"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p>
    <w:p w14:paraId="4643C4AD"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Atendiendo estas premisas, además de las problemáticas detectadas y la realidad observada, se llevaron a cabo diversos ejercicios de participación y reflexión con la ciudadanía a través de la iniciativa Escucha Ciudadana.</w:t>
      </w:r>
    </w:p>
    <w:p w14:paraId="30DCFB23"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p>
    <w:p w14:paraId="289B42D6"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 xml:space="preserve">Con esta iniciativa, las y los ciudadanos reconocieron diversas problemáticas a partir de cinco áreas de interés: servicios municipales, economía y empleo, salud, seguridad y calidad de vida.  </w:t>
      </w:r>
    </w:p>
    <w:p w14:paraId="675FCC67"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p>
    <w:p w14:paraId="61318241"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 xml:space="preserve">Como resultado, las y los participantes destacaron la necesidad de contar con mayor seguridad, además de más y mejores empleos, servicios de salud y educativos; contar con funcionarios más capacitados, mejorar las condiciones de las calles y brindar mayores apoyos a las personas que viven en condiciones de vulnerabilidad. Por otra parte, los jóvenes mostraron escepticismo en el desempeño de las autoridades.       </w:t>
      </w:r>
    </w:p>
    <w:p w14:paraId="435ED499"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p>
    <w:p w14:paraId="280EDB62"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Pidieron contar con un gobierno más honesto, con un actuar de prevención, que brinde apoyos a las PYMES y capacitación para que los trabajadores puedan aspirar a un mejor empleo. A su vez solicitaron más espacios de esparcimiento, convivencia y recreación; una ciudad limpia y ordenada.</w:t>
      </w:r>
    </w:p>
    <w:p w14:paraId="5D03045C" w14:textId="77777777" w:rsidR="00794EB9" w:rsidRPr="00794EB9" w:rsidRDefault="00794EB9" w:rsidP="00794EB9">
      <w:pPr>
        <w:pStyle w:val="PMDTtulo2"/>
        <w:ind w:left="0" w:hanging="2"/>
        <w:rPr>
          <w:rFonts w:ascii="Arial" w:eastAsia="Calibri" w:hAnsi="Arial"/>
          <w:b w:val="0"/>
          <w:color w:val="auto"/>
          <w:sz w:val="22"/>
          <w:szCs w:val="22"/>
          <w:lang w:eastAsia="es-ES"/>
        </w:rPr>
      </w:pPr>
    </w:p>
    <w:p w14:paraId="57CB1B61"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 xml:space="preserve">Una vez revisada y procesada toda la información de los diferentes instrumentos, se definieron los retos que se deberán atender en el municipio en el periodo 2021 – 2024, en los temas de seguridad ciudadana, inclusión social y calidad de vida, economía y empleo, gobierno abierto, así como los aspectos que están relacionados con las delegaciones y la administración del territorio. </w:t>
      </w:r>
    </w:p>
    <w:p w14:paraId="25E64FE7"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p>
    <w:p w14:paraId="0F940778"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En seguimiento a esto, se presenta la información que integra cada una de estas áreas de acción.</w:t>
      </w:r>
    </w:p>
    <w:p w14:paraId="3CEF4310" w14:textId="77777777" w:rsidR="00794EB9" w:rsidRPr="00794EB9" w:rsidRDefault="00794EB9" w:rsidP="00794EB9">
      <w:pPr>
        <w:ind w:hanging="2"/>
        <w:jc w:val="both"/>
        <w:rPr>
          <w:rFonts w:ascii="Arial" w:hAnsi="Arial" w:cs="Arial"/>
          <w:b/>
          <w:sz w:val="22"/>
          <w:szCs w:val="22"/>
        </w:rPr>
      </w:pPr>
    </w:p>
    <w:p w14:paraId="41EC86B1" w14:textId="77777777" w:rsidR="00794EB9" w:rsidRPr="00794EB9" w:rsidRDefault="00794EB9" w:rsidP="00794EB9">
      <w:pPr>
        <w:ind w:hanging="2"/>
        <w:jc w:val="both"/>
        <w:rPr>
          <w:rFonts w:ascii="Arial" w:hAnsi="Arial" w:cs="Arial"/>
          <w:b/>
          <w:sz w:val="22"/>
          <w:szCs w:val="22"/>
        </w:rPr>
      </w:pPr>
    </w:p>
    <w:p w14:paraId="29F811E3" w14:textId="77777777" w:rsidR="00794EB9" w:rsidRPr="00794EB9" w:rsidRDefault="00794EB9" w:rsidP="00794EB9">
      <w:pPr>
        <w:ind w:hanging="2"/>
        <w:jc w:val="both"/>
        <w:rPr>
          <w:rFonts w:ascii="Arial" w:hAnsi="Arial" w:cs="Arial"/>
          <w:b/>
          <w:sz w:val="22"/>
          <w:szCs w:val="22"/>
        </w:rPr>
      </w:pPr>
    </w:p>
    <w:p w14:paraId="2CD30649" w14:textId="77777777" w:rsidR="00794EB9" w:rsidRPr="00794EB9" w:rsidRDefault="00794EB9" w:rsidP="00794EB9">
      <w:pPr>
        <w:ind w:hanging="2"/>
        <w:jc w:val="both"/>
        <w:rPr>
          <w:rFonts w:ascii="Arial" w:hAnsi="Arial" w:cs="Arial"/>
          <w:b/>
          <w:sz w:val="22"/>
          <w:szCs w:val="22"/>
        </w:rPr>
      </w:pPr>
    </w:p>
    <w:p w14:paraId="36A4E9AC" w14:textId="77777777" w:rsidR="00794EB9" w:rsidRPr="00794EB9" w:rsidRDefault="00794EB9" w:rsidP="00794EB9">
      <w:pPr>
        <w:ind w:hanging="2"/>
        <w:jc w:val="both"/>
        <w:rPr>
          <w:rFonts w:ascii="Arial" w:hAnsi="Arial" w:cs="Arial"/>
          <w:b/>
          <w:sz w:val="22"/>
          <w:szCs w:val="22"/>
        </w:rPr>
      </w:pPr>
    </w:p>
    <w:p w14:paraId="6FA54C70" w14:textId="77777777" w:rsidR="00794EB9" w:rsidRPr="00794EB9" w:rsidRDefault="00794EB9" w:rsidP="00794EB9">
      <w:pPr>
        <w:ind w:hanging="2"/>
        <w:jc w:val="both"/>
        <w:rPr>
          <w:rFonts w:ascii="Arial" w:hAnsi="Arial" w:cs="Arial"/>
          <w:b/>
          <w:sz w:val="22"/>
          <w:szCs w:val="22"/>
        </w:rPr>
      </w:pPr>
    </w:p>
    <w:p w14:paraId="3372668A" w14:textId="77777777" w:rsidR="00794EB9" w:rsidRPr="00794EB9" w:rsidRDefault="00794EB9" w:rsidP="00794EB9">
      <w:pPr>
        <w:ind w:hanging="2"/>
        <w:jc w:val="both"/>
        <w:rPr>
          <w:rFonts w:ascii="Arial" w:hAnsi="Arial" w:cs="Arial"/>
          <w:b/>
          <w:sz w:val="22"/>
          <w:szCs w:val="22"/>
        </w:rPr>
      </w:pPr>
    </w:p>
    <w:p w14:paraId="46D48DBB" w14:textId="77777777" w:rsidR="00794EB9" w:rsidRPr="00794EB9" w:rsidRDefault="00794EB9" w:rsidP="00794EB9">
      <w:pPr>
        <w:ind w:hanging="2"/>
        <w:jc w:val="both"/>
        <w:rPr>
          <w:rFonts w:ascii="Arial" w:hAnsi="Arial" w:cs="Arial"/>
          <w:b/>
          <w:sz w:val="22"/>
          <w:szCs w:val="22"/>
        </w:rPr>
      </w:pPr>
    </w:p>
    <w:p w14:paraId="634E115A" w14:textId="77777777" w:rsidR="00794EB9" w:rsidRPr="00794EB9" w:rsidRDefault="00794EB9" w:rsidP="00794EB9">
      <w:pPr>
        <w:ind w:hanging="2"/>
        <w:jc w:val="both"/>
        <w:rPr>
          <w:rFonts w:ascii="Arial" w:hAnsi="Arial" w:cs="Arial"/>
          <w:b/>
          <w:sz w:val="22"/>
          <w:szCs w:val="22"/>
        </w:rPr>
      </w:pPr>
    </w:p>
    <w:p w14:paraId="44FCA268" w14:textId="77777777" w:rsidR="00794EB9" w:rsidRPr="00794EB9" w:rsidRDefault="00794EB9" w:rsidP="00794EB9">
      <w:pPr>
        <w:ind w:hanging="2"/>
        <w:jc w:val="both"/>
        <w:rPr>
          <w:rFonts w:ascii="Arial" w:hAnsi="Arial" w:cs="Arial"/>
          <w:sz w:val="22"/>
          <w:szCs w:val="22"/>
          <w:u w:val="single"/>
        </w:rPr>
      </w:pPr>
      <w:r w:rsidRPr="00794EB9">
        <w:rPr>
          <w:rFonts w:ascii="Arial" w:hAnsi="Arial" w:cs="Arial"/>
          <w:b/>
          <w:sz w:val="22"/>
          <w:szCs w:val="22"/>
          <w:u w:val="single"/>
        </w:rPr>
        <w:t>Seguridad ciudadana</w:t>
      </w:r>
    </w:p>
    <w:p w14:paraId="2AEF3B29" w14:textId="77777777" w:rsidR="00794EB9" w:rsidRPr="00794EB9" w:rsidRDefault="00794EB9" w:rsidP="00794EB9">
      <w:pPr>
        <w:ind w:hanging="2"/>
        <w:jc w:val="both"/>
        <w:rPr>
          <w:rFonts w:ascii="Arial" w:hAnsi="Arial" w:cs="Arial"/>
          <w:sz w:val="22"/>
          <w:szCs w:val="22"/>
        </w:rPr>
      </w:pPr>
    </w:p>
    <w:p w14:paraId="36BD6365"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Inseguridad y violencia </w:t>
      </w:r>
    </w:p>
    <w:p w14:paraId="1A9AE8D1" w14:textId="77777777" w:rsidR="00794EB9" w:rsidRPr="00794EB9" w:rsidRDefault="00794EB9" w:rsidP="00794EB9">
      <w:pPr>
        <w:ind w:hanging="2"/>
        <w:jc w:val="both"/>
        <w:rPr>
          <w:rFonts w:ascii="Arial" w:hAnsi="Arial" w:cs="Arial"/>
          <w:sz w:val="22"/>
          <w:szCs w:val="22"/>
        </w:rPr>
      </w:pPr>
    </w:p>
    <w:p w14:paraId="43E26C92"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La inseguridad en León es una problemática que requiere ser atendida de forma prioritaria, debido a que en los últimos años la incidencia delictiva ha ido en aumento.   </w:t>
      </w:r>
    </w:p>
    <w:p w14:paraId="606C044A"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AED704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eastAsia="Calibri" w:hAnsi="Arial" w:cs="Arial"/>
          <w:sz w:val="22"/>
          <w:szCs w:val="22"/>
        </w:rPr>
        <w:lastRenderedPageBreak/>
        <w:t xml:space="preserve">De acuerdo con los registros del Secretariado Ejecutivo del Sistema Nacional de Seguridad Pública (SESNSP), de enero a septiembre de 2021, se reportaron 36 mil 659 incidentes delictivos en el municipio, esto representa una tasa de incidencia de 2 mil 129 delitos por cada 100 mil habitantes. </w:t>
      </w:r>
      <w:r w:rsidRPr="00794EB9">
        <w:rPr>
          <w:rFonts w:ascii="Arial" w:hAnsi="Arial" w:cs="Arial"/>
          <w:i/>
          <w:sz w:val="22"/>
          <w:szCs w:val="22"/>
          <w:u w:val="single"/>
        </w:rPr>
        <w:t>(Tasa calculada con la población municipal de 2020)</w:t>
      </w:r>
      <w:r w:rsidRPr="00794EB9">
        <w:rPr>
          <w:rFonts w:ascii="Arial" w:eastAsia="Calibri" w:hAnsi="Arial" w:cs="Arial"/>
          <w:sz w:val="22"/>
          <w:szCs w:val="22"/>
        </w:rPr>
        <w:t xml:space="preserve"> </w:t>
      </w:r>
    </w:p>
    <w:p w14:paraId="71F88AF6"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6F7EA4A" w14:textId="77777777" w:rsidR="00794EB9" w:rsidRPr="00794EB9" w:rsidRDefault="00794EB9" w:rsidP="00794EB9">
      <w:pPr>
        <w:pBdr>
          <w:top w:val="nil"/>
          <w:left w:val="nil"/>
          <w:bottom w:val="nil"/>
          <w:right w:val="nil"/>
          <w:between w:val="nil"/>
        </w:pBdr>
        <w:ind w:hanging="2"/>
        <w:jc w:val="both"/>
        <w:rPr>
          <w:rFonts w:ascii="Arial" w:eastAsia="Calibri" w:hAnsi="Arial" w:cs="Arial"/>
          <w:sz w:val="22"/>
          <w:szCs w:val="22"/>
        </w:rPr>
      </w:pPr>
      <w:r w:rsidRPr="00794EB9">
        <w:rPr>
          <w:rFonts w:ascii="Arial" w:eastAsia="Calibri" w:hAnsi="Arial" w:cs="Arial"/>
          <w:sz w:val="22"/>
          <w:szCs w:val="22"/>
        </w:rPr>
        <w:t xml:space="preserve">Pese a los registros oficiales de incidencia delictiva es importante considerar la cifra negra: según los resultados de la Encuesta Nacional de Victimización y Percepción sobre Seguridad Pública </w:t>
      </w:r>
      <w:r w:rsidRPr="00794EB9">
        <w:rPr>
          <w:rFonts w:ascii="Arial" w:hAnsi="Arial" w:cs="Arial"/>
          <w:i/>
          <w:sz w:val="22"/>
          <w:szCs w:val="22"/>
          <w:u w:val="single"/>
        </w:rPr>
        <w:t>(INEGI 2020)</w:t>
      </w:r>
      <w:r w:rsidRPr="00794EB9">
        <w:rPr>
          <w:rFonts w:ascii="Arial" w:eastAsia="Calibri" w:hAnsi="Arial" w:cs="Arial"/>
          <w:sz w:val="22"/>
          <w:szCs w:val="22"/>
        </w:rPr>
        <w:t xml:space="preserve">, el 91.7% de los delitos cometidos en la zona metropolitana de León no fueron denunciados. </w:t>
      </w:r>
      <w:r w:rsidRPr="00794EB9">
        <w:rPr>
          <w:rFonts w:ascii="Arial" w:hAnsi="Arial" w:cs="Arial"/>
          <w:i/>
          <w:sz w:val="22"/>
          <w:szCs w:val="22"/>
          <w:u w:val="single"/>
        </w:rPr>
        <w:t>(El Área Metropolitana de León abarca los municipios de León y Silao)</w:t>
      </w:r>
    </w:p>
    <w:p w14:paraId="4FE3FA84" w14:textId="77777777" w:rsidR="00794EB9" w:rsidRPr="00794EB9" w:rsidRDefault="00794EB9" w:rsidP="00794EB9">
      <w:pPr>
        <w:pBdr>
          <w:top w:val="nil"/>
          <w:left w:val="nil"/>
          <w:bottom w:val="nil"/>
          <w:right w:val="nil"/>
          <w:between w:val="nil"/>
        </w:pBdr>
        <w:ind w:hanging="2"/>
        <w:jc w:val="both"/>
        <w:rPr>
          <w:rFonts w:ascii="Arial" w:eastAsia="Calibri" w:hAnsi="Arial" w:cs="Arial"/>
          <w:sz w:val="22"/>
          <w:szCs w:val="22"/>
        </w:rPr>
      </w:pPr>
    </w:p>
    <w:p w14:paraId="780E676D" w14:textId="77777777" w:rsidR="00794EB9" w:rsidRPr="00794EB9" w:rsidRDefault="00794EB9" w:rsidP="00794EB9">
      <w:pPr>
        <w:ind w:hanging="2"/>
        <w:jc w:val="both"/>
        <w:rPr>
          <w:rFonts w:ascii="Arial" w:hAnsi="Arial" w:cs="Arial"/>
          <w:i/>
          <w:sz w:val="22"/>
          <w:szCs w:val="22"/>
          <w:u w:val="single"/>
        </w:rPr>
      </w:pPr>
      <w:r w:rsidRPr="00794EB9">
        <w:rPr>
          <w:rFonts w:ascii="Arial" w:hAnsi="Arial" w:cs="Arial"/>
          <w:sz w:val="22"/>
          <w:szCs w:val="22"/>
        </w:rPr>
        <w:t xml:space="preserve">En relación con la percepción de seguridad, del total de la población </w:t>
      </w:r>
      <w:r w:rsidRPr="00794EB9">
        <w:rPr>
          <w:rFonts w:ascii="Arial" w:eastAsia="Calibri" w:hAnsi="Arial" w:cs="Arial"/>
          <w:sz w:val="22"/>
          <w:szCs w:val="22"/>
        </w:rPr>
        <w:t xml:space="preserve">residente de 18 años y más que proporcionó información para </w:t>
      </w:r>
      <w:r w:rsidRPr="00794EB9">
        <w:rPr>
          <w:rFonts w:ascii="Arial" w:hAnsi="Arial" w:cs="Arial"/>
          <w:sz w:val="22"/>
          <w:szCs w:val="22"/>
        </w:rPr>
        <w:t xml:space="preserve">la Encuesta Nacional de Seguridad Pública Urbana (ENSU) </w:t>
      </w:r>
      <w:r w:rsidRPr="00794EB9">
        <w:rPr>
          <w:rFonts w:ascii="Arial" w:eastAsia="Calibri" w:hAnsi="Arial" w:cs="Arial"/>
          <w:sz w:val="22"/>
          <w:szCs w:val="22"/>
        </w:rPr>
        <w:t>el 79.6% percibe que es inseguro vivir en León.</w:t>
      </w:r>
      <w:r w:rsidRPr="00794EB9">
        <w:rPr>
          <w:rFonts w:ascii="Arial" w:eastAsia="Calibri" w:hAnsi="Arial" w:cs="Arial"/>
          <w:sz w:val="22"/>
          <w:szCs w:val="22"/>
          <w:vertAlign w:val="superscript"/>
        </w:rPr>
        <w:t xml:space="preserve"> </w:t>
      </w:r>
      <w:r w:rsidRPr="00794EB9">
        <w:rPr>
          <w:rFonts w:ascii="Arial" w:hAnsi="Arial" w:cs="Arial"/>
          <w:i/>
          <w:sz w:val="22"/>
          <w:szCs w:val="22"/>
          <w:u w:val="single"/>
        </w:rPr>
        <w:t>(INEGI. Encuesta Nacional de Seguridad Pública Urbana. III trimestre 2021)</w:t>
      </w:r>
    </w:p>
    <w:p w14:paraId="5BA2B9C1" w14:textId="77777777" w:rsidR="00794EB9" w:rsidRPr="00794EB9" w:rsidRDefault="00794EB9" w:rsidP="00794EB9">
      <w:pPr>
        <w:jc w:val="both"/>
        <w:rPr>
          <w:rFonts w:ascii="Arial" w:hAnsi="Arial" w:cs="Arial"/>
          <w:sz w:val="22"/>
          <w:szCs w:val="22"/>
        </w:rPr>
      </w:pPr>
    </w:p>
    <w:p w14:paraId="0CBD1661" w14:textId="77777777" w:rsidR="00794EB9" w:rsidRPr="00794EB9" w:rsidRDefault="00794EB9" w:rsidP="00794EB9">
      <w:pPr>
        <w:ind w:hanging="2"/>
        <w:jc w:val="both"/>
        <w:rPr>
          <w:rFonts w:ascii="Arial" w:hAnsi="Arial" w:cs="Arial"/>
          <w:i/>
          <w:sz w:val="22"/>
          <w:szCs w:val="22"/>
          <w:u w:val="single"/>
        </w:rPr>
      </w:pPr>
      <w:r w:rsidRPr="00794EB9">
        <w:rPr>
          <w:rFonts w:ascii="Arial" w:eastAsia="Calibri" w:hAnsi="Arial" w:cs="Arial"/>
          <w:sz w:val="22"/>
          <w:szCs w:val="22"/>
        </w:rPr>
        <w:t xml:space="preserve">Sobre la sensación de seguridad en el espacio público, el 83.6% dijo sentirse inseguro en los cajeros en vía pública, el 70.2% en el transporte público, el 69.1% en las calles que usan habitualmente y el 60.5% en los parques o centros recreativos. </w:t>
      </w:r>
      <w:r w:rsidRPr="00794EB9">
        <w:rPr>
          <w:rFonts w:ascii="Arial" w:hAnsi="Arial" w:cs="Arial"/>
          <w:i/>
          <w:sz w:val="22"/>
          <w:szCs w:val="22"/>
          <w:u w:val="single"/>
        </w:rPr>
        <w:t>(INEGI. Encuesta Nacional de Seguridad Pública Urbana. Septiembre 2021)</w:t>
      </w:r>
    </w:p>
    <w:p w14:paraId="4D1044FB" w14:textId="77777777" w:rsidR="00794EB9" w:rsidRPr="00794EB9" w:rsidRDefault="00794EB9" w:rsidP="00794EB9">
      <w:pPr>
        <w:jc w:val="both"/>
        <w:rPr>
          <w:rFonts w:ascii="Arial" w:eastAsia="Calibri" w:hAnsi="Arial" w:cs="Arial"/>
          <w:sz w:val="22"/>
          <w:szCs w:val="22"/>
        </w:rPr>
      </w:pPr>
    </w:p>
    <w:p w14:paraId="04331E7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cuanto a las expectativas de la situación actual de la delincuencia, el 22.59% de los encuestados consideró que disminuirá y el 32.25% que empeorará.</w:t>
      </w:r>
    </w:p>
    <w:p w14:paraId="38236C94" w14:textId="77777777" w:rsidR="00794EB9" w:rsidRPr="00794EB9" w:rsidRDefault="00794EB9" w:rsidP="00794EB9">
      <w:pPr>
        <w:ind w:hanging="2"/>
        <w:jc w:val="both"/>
        <w:rPr>
          <w:rFonts w:ascii="Arial" w:hAnsi="Arial" w:cs="Arial"/>
          <w:sz w:val="22"/>
          <w:szCs w:val="22"/>
        </w:rPr>
      </w:pPr>
    </w:p>
    <w:p w14:paraId="420944F4" w14:textId="77777777" w:rsidR="00794EB9" w:rsidRPr="00794EB9" w:rsidRDefault="00794EB9" w:rsidP="00794EB9">
      <w:pPr>
        <w:ind w:hanging="2"/>
        <w:jc w:val="both"/>
        <w:rPr>
          <w:rFonts w:ascii="Arial" w:hAnsi="Arial" w:cs="Arial"/>
          <w:i/>
          <w:sz w:val="22"/>
          <w:szCs w:val="22"/>
          <w:u w:val="single"/>
        </w:rPr>
      </w:pPr>
      <w:r w:rsidRPr="00794EB9">
        <w:rPr>
          <w:rFonts w:ascii="Arial" w:hAnsi="Arial" w:cs="Arial"/>
          <w:sz w:val="22"/>
          <w:szCs w:val="22"/>
        </w:rPr>
        <w:t xml:space="preserve">Otra de las preocupaciones de la ciudadanía es el índice de violencia en la comunidad, en el seno familiar y en contra de las mujeres. En 2020 se registraron 2 mil 335 delitos clasificados como violencia familiar (5.8 por ciento de total de delitos denunciados). </w:t>
      </w:r>
      <w:r w:rsidRPr="00794EB9">
        <w:rPr>
          <w:rFonts w:ascii="Arial" w:hAnsi="Arial" w:cs="Arial"/>
          <w:i/>
          <w:sz w:val="22"/>
          <w:szCs w:val="22"/>
          <w:u w:val="single"/>
        </w:rPr>
        <w:t xml:space="preserve">(Incidencia delictiva del fuero común del Secretariado Ejecutivo Nacional de Seguridad Pública) </w:t>
      </w:r>
    </w:p>
    <w:p w14:paraId="78A720A6" w14:textId="77777777" w:rsidR="00794EB9" w:rsidRPr="00794EB9" w:rsidRDefault="00794EB9" w:rsidP="00794EB9">
      <w:pPr>
        <w:ind w:hanging="2"/>
        <w:jc w:val="both"/>
        <w:rPr>
          <w:rFonts w:ascii="Arial" w:hAnsi="Arial" w:cs="Arial"/>
          <w:sz w:val="22"/>
          <w:szCs w:val="22"/>
        </w:rPr>
      </w:pPr>
    </w:p>
    <w:p w14:paraId="3E9C829B"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La consolidación de la fuerza pública municipal es un pilar fundamental en la construcción de la seguridad. En este sentido, los resultados de la Encuesta de victimización y percepción de inseguridad en León </w:t>
      </w:r>
      <w:r w:rsidRPr="00794EB9">
        <w:rPr>
          <w:rFonts w:ascii="Arial" w:hAnsi="Arial" w:cs="Arial"/>
          <w:i/>
          <w:sz w:val="22"/>
          <w:szCs w:val="22"/>
          <w:u w:val="single"/>
        </w:rPr>
        <w:t>(Parametría, 2020)</w:t>
      </w:r>
      <w:r w:rsidRPr="00794EB9">
        <w:rPr>
          <w:rFonts w:ascii="Arial" w:hAnsi="Arial" w:cs="Arial"/>
          <w:sz w:val="22"/>
          <w:szCs w:val="22"/>
        </w:rPr>
        <w:t xml:space="preserve"> muestran que el 65% de los encuestados consideran que 6 meses de formación policial es poco tiempo y el 52% que la policía municipal no está capacitada para acercarse al ciudadano.</w:t>
      </w:r>
    </w:p>
    <w:p w14:paraId="154B495B" w14:textId="77777777" w:rsidR="00794EB9" w:rsidRPr="00794EB9" w:rsidRDefault="00794EB9" w:rsidP="00794EB9">
      <w:pPr>
        <w:ind w:hanging="2"/>
        <w:jc w:val="both"/>
        <w:rPr>
          <w:rFonts w:ascii="Arial" w:hAnsi="Arial" w:cs="Arial"/>
          <w:sz w:val="22"/>
          <w:szCs w:val="22"/>
        </w:rPr>
      </w:pPr>
      <w:r w:rsidRPr="00794EB9">
        <w:rPr>
          <w:rFonts w:ascii="Arial" w:hAnsi="Arial" w:cs="Arial"/>
          <w:noProof/>
          <w:sz w:val="22"/>
          <w:szCs w:val="22"/>
          <w:lang w:val="es-MX" w:eastAsia="es-MX"/>
        </w:rPr>
        <w:lastRenderedPageBreak/>
        <w:drawing>
          <wp:inline distT="0" distB="0" distL="0" distR="0" wp14:anchorId="0275AE30" wp14:editId="77A8270C">
            <wp:extent cx="5964965" cy="4723108"/>
            <wp:effectExtent l="0" t="0" r="0" b="190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8.png"/>
                    <pic:cNvPicPr/>
                  </pic:nvPicPr>
                  <pic:blipFill>
                    <a:blip r:embed="rId30" cstate="print">
                      <a:extLst>
                        <a:ext uri="{BEBA8EAE-BF5A-486C-A8C5-ECC9F3942E4B}">
                          <a14:imgProps xmlns:a14="http://schemas.microsoft.com/office/drawing/2010/main">
                            <a14:imgLayer r:embed="rId3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964965" cy="4723108"/>
                    </a:xfrm>
                    <a:prstGeom prst="rect">
                      <a:avLst/>
                    </a:prstGeom>
                  </pic:spPr>
                </pic:pic>
              </a:graphicData>
            </a:graphic>
          </wp:inline>
        </w:drawing>
      </w:r>
    </w:p>
    <w:p w14:paraId="0449E1C2" w14:textId="77777777" w:rsidR="00794EB9" w:rsidRPr="00794EB9" w:rsidRDefault="00794EB9" w:rsidP="00794EB9">
      <w:pPr>
        <w:ind w:hanging="2"/>
        <w:rPr>
          <w:rFonts w:ascii="Arial" w:hAnsi="Arial" w:cs="Arial"/>
          <w:sz w:val="22"/>
          <w:szCs w:val="22"/>
        </w:rPr>
      </w:pPr>
    </w:p>
    <w:p w14:paraId="21667DB6" w14:textId="77777777" w:rsidR="00794EB9" w:rsidRPr="00794EB9" w:rsidRDefault="00794EB9" w:rsidP="00794EB9">
      <w:pPr>
        <w:rPr>
          <w:rFonts w:ascii="Arial" w:hAnsi="Arial" w:cs="Arial"/>
          <w:b/>
          <w:sz w:val="22"/>
          <w:szCs w:val="22"/>
          <w:lang w:eastAsia="es-MX"/>
        </w:rPr>
      </w:pPr>
      <w:r w:rsidRPr="00794EB9">
        <w:rPr>
          <w:rFonts w:ascii="Arial" w:hAnsi="Arial" w:cs="Arial"/>
          <w:sz w:val="22"/>
          <w:szCs w:val="22"/>
        </w:rPr>
        <w:br w:type="page"/>
      </w:r>
    </w:p>
    <w:p w14:paraId="73F1655D"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lastRenderedPageBreak/>
        <w:t xml:space="preserve">Seguridad vial </w:t>
      </w:r>
    </w:p>
    <w:p w14:paraId="0ECA8E1C" w14:textId="77777777" w:rsidR="00794EB9" w:rsidRPr="00794EB9" w:rsidRDefault="00794EB9" w:rsidP="00794EB9">
      <w:pPr>
        <w:pStyle w:val="PMDTtulo2"/>
        <w:ind w:left="0" w:hanging="2"/>
        <w:rPr>
          <w:rFonts w:ascii="Arial" w:hAnsi="Arial"/>
          <w:color w:val="auto"/>
          <w:sz w:val="22"/>
          <w:szCs w:val="22"/>
        </w:rPr>
      </w:pPr>
    </w:p>
    <w:p w14:paraId="0BBA7C40" w14:textId="77777777" w:rsidR="00794EB9" w:rsidRPr="00794EB9" w:rsidRDefault="00794EB9" w:rsidP="00794EB9">
      <w:pPr>
        <w:pBdr>
          <w:top w:val="nil"/>
          <w:left w:val="nil"/>
          <w:bottom w:val="nil"/>
          <w:right w:val="nil"/>
          <w:between w:val="nil"/>
        </w:pBdr>
        <w:ind w:hanging="2"/>
        <w:jc w:val="both"/>
        <w:rPr>
          <w:rFonts w:ascii="Arial" w:eastAsia="Calibri" w:hAnsi="Arial" w:cs="Arial"/>
          <w:sz w:val="22"/>
          <w:szCs w:val="22"/>
        </w:rPr>
      </w:pPr>
      <w:r w:rsidRPr="00794EB9">
        <w:rPr>
          <w:rFonts w:ascii="Arial" w:hAnsi="Arial" w:cs="Arial"/>
          <w:sz w:val="22"/>
          <w:szCs w:val="22"/>
        </w:rPr>
        <w:t>De acuerdo con las estadísticas de accidentes de tránsito terrestre de INEGI, en 2020 se registraron en León 3 mil 594 accidentes</w:t>
      </w:r>
      <w:r w:rsidRPr="00794EB9">
        <w:rPr>
          <w:rFonts w:ascii="Arial" w:eastAsia="Calibri" w:hAnsi="Arial" w:cs="Arial"/>
          <w:sz w:val="22"/>
          <w:szCs w:val="22"/>
        </w:rPr>
        <w:t xml:space="preserve"> en la zona urbana.  </w:t>
      </w:r>
    </w:p>
    <w:p w14:paraId="0C3D5FF2"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9967F56"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Respecto al tipo de accidentes de tránsito, del total registrados, 1 mil 881 siniestros fueron colisiones con vehículo automotor (52.3%), 804 fueron colisiones con objetos fijos (22.4%), 586 con motocicleta (16.3%), 135 con ciclistas (3.8%), 115 fueron atropellamientos a peatones (3.2%) y 73 fueron de otros tipos (2%).</w:t>
      </w:r>
    </w:p>
    <w:p w14:paraId="0D9FD778" w14:textId="77777777" w:rsidR="00794EB9" w:rsidRPr="00794EB9" w:rsidRDefault="00794EB9" w:rsidP="00794EB9">
      <w:pPr>
        <w:ind w:hanging="2"/>
        <w:jc w:val="both"/>
        <w:rPr>
          <w:rFonts w:ascii="Arial" w:hAnsi="Arial" w:cs="Arial"/>
          <w:sz w:val="22"/>
          <w:szCs w:val="22"/>
        </w:rPr>
      </w:pPr>
    </w:p>
    <w:p w14:paraId="4819C62C"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De estos siniestros se reporta que en 3 mil 161 de los casos el conductor no se encontraba sobrio (88%), en 262 accidentes el conductor estaba sobrio (7.2%) y en los 171 casos restantes se desconoce el estado de sobriedad del conductor (4.8%). </w:t>
      </w:r>
    </w:p>
    <w:p w14:paraId="1FD46CF0"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 </w:t>
      </w:r>
    </w:p>
    <w:p w14:paraId="3363FCB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A su vez, 29 de estos accidentes fueron fatales (1%), 796 sólo tuvieron heridos (22%) y en 2 mil 769 siniestros sólo hubo daños materiales (77%). </w:t>
      </w:r>
    </w:p>
    <w:p w14:paraId="1DE1F369"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0043C636" w14:textId="77777777" w:rsidR="00794EB9" w:rsidRPr="00794EB9" w:rsidRDefault="00794EB9" w:rsidP="00794EB9">
      <w:pPr>
        <w:pBdr>
          <w:top w:val="nil"/>
          <w:left w:val="nil"/>
          <w:bottom w:val="nil"/>
          <w:right w:val="nil"/>
          <w:between w:val="nil"/>
        </w:pBdr>
        <w:ind w:hanging="2"/>
        <w:jc w:val="both"/>
        <w:rPr>
          <w:rFonts w:ascii="Arial" w:hAnsi="Arial" w:cs="Arial"/>
          <w:i/>
          <w:sz w:val="22"/>
          <w:szCs w:val="22"/>
        </w:rPr>
      </w:pPr>
      <w:r w:rsidRPr="00794EB9">
        <w:rPr>
          <w:rFonts w:ascii="Arial" w:hAnsi="Arial" w:cs="Arial"/>
          <w:sz w:val="22"/>
          <w:szCs w:val="22"/>
        </w:rPr>
        <w:t xml:space="preserve">Respecto a las sanciones de tránsito, entre octubre de 2020 y junio de 2021, se generaron 7 mil 438 certificados médicos a conductores con algún grado de intoxicación alcohólica o que se encontraron bajo el influjo de sustancias psicotrópicas, estupefacientes o similares. Además, en el mismo periodo, se contabilizaron 20 mil 721 infractores viales que realizaron actividades de apoyo comunitario. </w:t>
      </w:r>
      <w:r w:rsidRPr="00794EB9">
        <w:rPr>
          <w:rFonts w:ascii="Arial" w:hAnsi="Arial" w:cs="Arial"/>
          <w:i/>
          <w:sz w:val="22"/>
          <w:szCs w:val="22"/>
          <w:u w:val="single"/>
        </w:rPr>
        <w:t>(Datos proporcionados por la Secretaría de Seguridad Pública del municipio de León, junio 2021.)</w:t>
      </w:r>
    </w:p>
    <w:p w14:paraId="4317A889"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7DA95BF8"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b/>
          <w:noProof/>
          <w:sz w:val="22"/>
          <w:szCs w:val="22"/>
          <w:lang w:val="es-MX" w:eastAsia="es-MX"/>
        </w:rPr>
        <w:drawing>
          <wp:inline distT="0" distB="0" distL="0" distR="0" wp14:anchorId="08EEFFBC" wp14:editId="53D589F7">
            <wp:extent cx="5760000" cy="2765251"/>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9.png"/>
                    <pic:cNvPicPr/>
                  </pic:nvPicPr>
                  <pic:blipFill rotWithShape="1">
                    <a:blip r:embed="rId32" cstate="print">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rcRect b="57421"/>
                    <a:stretch/>
                  </pic:blipFill>
                  <pic:spPr bwMode="auto">
                    <a:xfrm>
                      <a:off x="0" y="0"/>
                      <a:ext cx="5760000" cy="2765251"/>
                    </a:xfrm>
                    <a:prstGeom prst="rect">
                      <a:avLst/>
                    </a:prstGeom>
                    <a:ln>
                      <a:noFill/>
                    </a:ln>
                    <a:extLst>
                      <a:ext uri="{53640926-AAD7-44D8-BBD7-CCE9431645EC}">
                        <a14:shadowObscured xmlns:a14="http://schemas.microsoft.com/office/drawing/2010/main"/>
                      </a:ext>
                    </a:extLst>
                  </pic:spPr>
                </pic:pic>
              </a:graphicData>
            </a:graphic>
          </wp:inline>
        </w:drawing>
      </w:r>
    </w:p>
    <w:p w14:paraId="653A3D44"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b/>
          <w:noProof/>
          <w:sz w:val="22"/>
          <w:szCs w:val="22"/>
          <w:lang w:val="es-MX" w:eastAsia="es-MX"/>
        </w:rPr>
        <w:lastRenderedPageBreak/>
        <w:drawing>
          <wp:inline distT="0" distB="0" distL="0" distR="0" wp14:anchorId="421AAB30" wp14:editId="14261DD7">
            <wp:extent cx="5760000" cy="3860926"/>
            <wp:effectExtent l="0" t="0" r="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9.png"/>
                    <pic:cNvPicPr/>
                  </pic:nvPicPr>
                  <pic:blipFill rotWithShape="1">
                    <a:blip r:embed="rId32" cstate="print">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rcRect t="40551"/>
                    <a:stretch/>
                  </pic:blipFill>
                  <pic:spPr bwMode="auto">
                    <a:xfrm>
                      <a:off x="0" y="0"/>
                      <a:ext cx="5760000" cy="3860926"/>
                    </a:xfrm>
                    <a:prstGeom prst="rect">
                      <a:avLst/>
                    </a:prstGeom>
                    <a:ln>
                      <a:noFill/>
                    </a:ln>
                    <a:extLst>
                      <a:ext uri="{53640926-AAD7-44D8-BBD7-CCE9431645EC}">
                        <a14:shadowObscured xmlns:a14="http://schemas.microsoft.com/office/drawing/2010/main"/>
                      </a:ext>
                    </a:extLst>
                  </pic:spPr>
                </pic:pic>
              </a:graphicData>
            </a:graphic>
          </wp:inline>
        </w:drawing>
      </w:r>
    </w:p>
    <w:p w14:paraId="064D436E"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5D2091C0" w14:textId="77777777" w:rsidR="00794EB9" w:rsidRPr="00794EB9" w:rsidRDefault="00794EB9" w:rsidP="00794EB9">
      <w:pPr>
        <w:ind w:hanging="2"/>
        <w:rPr>
          <w:rFonts w:ascii="Arial" w:hAnsi="Arial" w:cs="Arial"/>
          <w:sz w:val="22"/>
          <w:szCs w:val="22"/>
          <w:u w:val="single"/>
        </w:rPr>
      </w:pPr>
      <w:r w:rsidRPr="00794EB9">
        <w:rPr>
          <w:rFonts w:ascii="Arial" w:hAnsi="Arial" w:cs="Arial"/>
          <w:b/>
          <w:sz w:val="22"/>
          <w:szCs w:val="22"/>
          <w:u w:val="single"/>
        </w:rPr>
        <w:t xml:space="preserve">Economía y empleo </w:t>
      </w:r>
    </w:p>
    <w:p w14:paraId="458454D5" w14:textId="77777777" w:rsidR="00794EB9" w:rsidRPr="00794EB9" w:rsidRDefault="00794EB9" w:rsidP="00794EB9">
      <w:pPr>
        <w:ind w:hanging="2"/>
        <w:rPr>
          <w:rFonts w:ascii="Arial" w:hAnsi="Arial" w:cs="Arial"/>
          <w:sz w:val="22"/>
          <w:szCs w:val="22"/>
        </w:rPr>
      </w:pPr>
    </w:p>
    <w:p w14:paraId="00B7404E"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Empleo y competitividad </w:t>
      </w:r>
    </w:p>
    <w:p w14:paraId="112AAA69" w14:textId="77777777" w:rsidR="00794EB9" w:rsidRPr="00794EB9" w:rsidRDefault="00794EB9" w:rsidP="00794EB9">
      <w:pPr>
        <w:pStyle w:val="PMDTtulo2"/>
        <w:ind w:left="0" w:hanging="2"/>
        <w:rPr>
          <w:rFonts w:ascii="Arial" w:hAnsi="Arial"/>
          <w:color w:val="auto"/>
          <w:sz w:val="22"/>
          <w:szCs w:val="22"/>
        </w:rPr>
      </w:pPr>
    </w:p>
    <w:p w14:paraId="2CD828DB"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Al 30 de septiembre de 2021 en el municipio se registraron 386 mil 183 trabajadores asegurados en el IMSS. El mayor porcentaje (15%) se empleó en la fabricación de calzado e industria del cuero, por lo cual son las actividades económicas emblemáticas de la ciudad y pilares en la generación de empleos. El segundo sector con mayor porcentaje de trabajadores asegurados fue el de servicios profesionales y técnicos (8.4%).</w:t>
      </w:r>
    </w:p>
    <w:p w14:paraId="7BA42D10" w14:textId="77777777" w:rsidR="00794EB9" w:rsidRPr="00794EB9" w:rsidRDefault="00794EB9" w:rsidP="00794EB9">
      <w:pPr>
        <w:pStyle w:val="PMDNormal"/>
        <w:ind w:left="0" w:hanging="2"/>
        <w:rPr>
          <w:rFonts w:ascii="Arial" w:hAnsi="Arial" w:cs="Arial"/>
          <w:color w:val="auto"/>
        </w:rPr>
      </w:pPr>
    </w:p>
    <w:p w14:paraId="6461BCA7"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En el segundo trimestre de 2021, en la ciudad de León, del total de personas ocupadas sólo el 1.9% percibió más de cinco salarios mínimos, mientras que el 35.2% percibió entre menos de uno hasta dos salarios mínimos. </w:t>
      </w:r>
    </w:p>
    <w:p w14:paraId="148F423D" w14:textId="77777777" w:rsidR="00794EB9" w:rsidRPr="00794EB9" w:rsidRDefault="00794EB9" w:rsidP="00794EB9">
      <w:pPr>
        <w:pStyle w:val="PMDNormal"/>
        <w:ind w:left="0" w:hanging="2"/>
        <w:rPr>
          <w:rFonts w:ascii="Arial" w:hAnsi="Arial" w:cs="Arial"/>
          <w:color w:val="auto"/>
        </w:rPr>
      </w:pPr>
    </w:p>
    <w:p w14:paraId="56ECE365"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La tasa de informalidad laboral fue del 49.4%, es decir que 379 mil 204 personas se ocupaban en el sector informal o en empleos formales en condiciones de informalidad por falta de prestaciones y largas jornadas de trabajo.</w:t>
      </w:r>
    </w:p>
    <w:p w14:paraId="58DC6D3C" w14:textId="77777777" w:rsidR="00794EB9" w:rsidRPr="00794EB9" w:rsidRDefault="00794EB9" w:rsidP="00794EB9">
      <w:pPr>
        <w:pStyle w:val="PMDNormal"/>
        <w:ind w:left="0" w:hanging="2"/>
        <w:rPr>
          <w:rFonts w:ascii="Arial" w:hAnsi="Arial" w:cs="Arial"/>
          <w:color w:val="auto"/>
        </w:rPr>
      </w:pPr>
    </w:p>
    <w:p w14:paraId="1B5784F2"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La tasa de subocupación se incrementó de 6.1% a 17%, del segundo trimestre de 2019 al mismo trimestre de 2021, lo que representa un incremento de 91 mil 653 personas que manifestaron tener necesidad y disponibilidad de un empleo adicional.</w:t>
      </w:r>
    </w:p>
    <w:p w14:paraId="0793EBD8" w14:textId="77777777" w:rsidR="00794EB9" w:rsidRPr="00794EB9" w:rsidRDefault="00794EB9" w:rsidP="00794EB9">
      <w:pPr>
        <w:pStyle w:val="PMDNormal"/>
        <w:ind w:left="0" w:hanging="2"/>
        <w:rPr>
          <w:rFonts w:ascii="Arial" w:hAnsi="Arial" w:cs="Arial"/>
          <w:color w:val="auto"/>
        </w:rPr>
      </w:pPr>
    </w:p>
    <w:p w14:paraId="50CB6C39"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En el mismo periodo, la población en condiciones críticas de ocupación se duplicó de 78 mil 847 a 173 mil 110 personas; en términos porcentuales representó un incremento del 12.4% al 22.6% respecto al total de la población ocupada. </w:t>
      </w:r>
    </w:p>
    <w:p w14:paraId="2703ADBC" w14:textId="77777777" w:rsidR="00794EB9" w:rsidRPr="00794EB9" w:rsidRDefault="00794EB9" w:rsidP="00794EB9">
      <w:pPr>
        <w:pStyle w:val="PMDNormal"/>
        <w:ind w:left="0" w:hanging="2"/>
        <w:rPr>
          <w:rFonts w:ascii="Arial" w:hAnsi="Arial" w:cs="Arial"/>
          <w:color w:val="auto"/>
        </w:rPr>
      </w:pPr>
    </w:p>
    <w:p w14:paraId="532CD5C5"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lastRenderedPageBreak/>
        <w:t xml:space="preserve">Cabe señalar que las condiciones críticas de ocupación representan la relación entre las horas de trabajo y la remuneración que reciben los trabajadores. Incluye a las personas que trabajan menos de 35 horas a la semana por razones ajenas a su voluntad, a quienes trabajan más de 35 horas ganando menos de un salario mínimo y quienes trabajan más de 48 horas por semana percibiendo hasta dos salarios mínimos. </w:t>
      </w:r>
      <w:r w:rsidRPr="00794EB9">
        <w:rPr>
          <w:rFonts w:ascii="Arial" w:eastAsia="Arial" w:hAnsi="Arial" w:cs="Arial"/>
          <w:i/>
          <w:color w:val="auto"/>
          <w:u w:val="single"/>
          <w:lang w:eastAsia="es-ES"/>
        </w:rPr>
        <w:t>(ENOE, INEGI.)</w:t>
      </w:r>
    </w:p>
    <w:p w14:paraId="7A11C38D" w14:textId="77777777" w:rsidR="00794EB9" w:rsidRPr="00794EB9" w:rsidRDefault="00794EB9" w:rsidP="00794EB9">
      <w:pPr>
        <w:pStyle w:val="PMDNormal"/>
        <w:ind w:left="0" w:hanging="2"/>
        <w:rPr>
          <w:rFonts w:ascii="Arial" w:hAnsi="Arial" w:cs="Arial"/>
          <w:color w:val="auto"/>
        </w:rPr>
      </w:pPr>
    </w:p>
    <w:p w14:paraId="1687E206"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Por otra parte, las exportaciones registraron 358 millones de dólares en el primer semestre de 2020, presentando una disminución en su variación anual de 17% respecto al mismo periodo de 2019. El municipio de León aporta el 4.2% de las exportaciones del estado de Guanajuato.</w:t>
      </w:r>
    </w:p>
    <w:p w14:paraId="75F6C5EF" w14:textId="77777777" w:rsidR="00794EB9" w:rsidRPr="00794EB9" w:rsidRDefault="00794EB9" w:rsidP="00794EB9">
      <w:pPr>
        <w:pStyle w:val="PMDNormal"/>
        <w:ind w:left="0" w:hanging="2"/>
        <w:rPr>
          <w:rFonts w:ascii="Arial" w:hAnsi="Arial" w:cs="Arial"/>
          <w:color w:val="auto"/>
        </w:rPr>
      </w:pPr>
    </w:p>
    <w:p w14:paraId="17146627"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El índice general de competitividad de la Zona Metropolitana de León (ZML) se incrementó de media baja en 2018 a media alta en 2020, ubicándose en la novena posición respecto a las 15 ciudades de más de un millón de habitantes. Cabe destacar que en la edición 2018 se encontraba en la última posición de esas 15.</w:t>
      </w:r>
    </w:p>
    <w:p w14:paraId="049F9141" w14:textId="77777777" w:rsidR="00794EB9" w:rsidRPr="00794EB9" w:rsidRDefault="00794EB9" w:rsidP="00794EB9">
      <w:pPr>
        <w:pStyle w:val="PMDNormal"/>
        <w:ind w:left="0" w:hanging="2"/>
        <w:rPr>
          <w:rFonts w:ascii="Arial" w:hAnsi="Arial" w:cs="Arial"/>
          <w:color w:val="auto"/>
        </w:rPr>
      </w:pPr>
    </w:p>
    <w:p w14:paraId="78942F18" w14:textId="77777777" w:rsidR="00794EB9" w:rsidRPr="00794EB9" w:rsidRDefault="00794EB9" w:rsidP="00794EB9">
      <w:pPr>
        <w:pStyle w:val="PMDNormal"/>
        <w:ind w:leftChars="0" w:left="0" w:firstLineChars="0" w:firstLine="0"/>
        <w:rPr>
          <w:rFonts w:ascii="Arial" w:hAnsi="Arial" w:cs="Arial"/>
          <w:color w:val="auto"/>
        </w:rPr>
      </w:pPr>
    </w:p>
    <w:p w14:paraId="67DFACAB" w14:textId="77777777" w:rsidR="00794EB9" w:rsidRPr="00794EB9" w:rsidRDefault="00794EB9" w:rsidP="00794EB9">
      <w:pPr>
        <w:pStyle w:val="PMDTtulo2"/>
        <w:ind w:left="0" w:hanging="2"/>
        <w:rPr>
          <w:rFonts w:ascii="Arial" w:hAnsi="Arial"/>
          <w:color w:val="auto"/>
          <w:sz w:val="22"/>
          <w:szCs w:val="22"/>
        </w:rPr>
      </w:pPr>
    </w:p>
    <w:p w14:paraId="0AF00D31"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noProof/>
          <w:color w:val="auto"/>
          <w:sz w:val="22"/>
          <w:szCs w:val="22"/>
        </w:rPr>
        <w:drawing>
          <wp:inline distT="0" distB="0" distL="0" distR="0" wp14:anchorId="15538CF0" wp14:editId="41527FC5">
            <wp:extent cx="5821729" cy="1883228"/>
            <wp:effectExtent l="0" t="0" r="7620" b="317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13.png"/>
                    <pic:cNvPicPr/>
                  </pic:nvPicPr>
                  <pic:blipFill rotWithShape="1">
                    <a:blip r:embed="rId34" cstate="print">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val="0"/>
                        </a:ext>
                      </a:extLst>
                    </a:blip>
                    <a:srcRect b="56419"/>
                    <a:stretch/>
                  </pic:blipFill>
                  <pic:spPr bwMode="auto">
                    <a:xfrm>
                      <a:off x="0" y="0"/>
                      <a:ext cx="5833446" cy="1887018"/>
                    </a:xfrm>
                    <a:prstGeom prst="rect">
                      <a:avLst/>
                    </a:prstGeom>
                    <a:ln>
                      <a:noFill/>
                    </a:ln>
                    <a:extLst>
                      <a:ext uri="{53640926-AAD7-44D8-BBD7-CCE9431645EC}">
                        <a14:shadowObscured xmlns:a14="http://schemas.microsoft.com/office/drawing/2010/main"/>
                      </a:ext>
                    </a:extLst>
                  </pic:spPr>
                </pic:pic>
              </a:graphicData>
            </a:graphic>
          </wp:inline>
        </w:drawing>
      </w:r>
    </w:p>
    <w:p w14:paraId="3636C7F3"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noProof/>
          <w:color w:val="auto"/>
          <w:sz w:val="22"/>
          <w:szCs w:val="22"/>
        </w:rPr>
        <w:drawing>
          <wp:inline distT="0" distB="0" distL="0" distR="0" wp14:anchorId="14FC8555" wp14:editId="3693BC69">
            <wp:extent cx="5821729" cy="2459718"/>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13.png"/>
                    <pic:cNvPicPr/>
                  </pic:nvPicPr>
                  <pic:blipFill rotWithShape="1">
                    <a:blip r:embed="rId34" cstate="print">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val="0"/>
                        </a:ext>
                      </a:extLst>
                    </a:blip>
                    <a:srcRect t="43078"/>
                    <a:stretch/>
                  </pic:blipFill>
                  <pic:spPr bwMode="auto">
                    <a:xfrm>
                      <a:off x="0" y="0"/>
                      <a:ext cx="5833446" cy="2464669"/>
                    </a:xfrm>
                    <a:prstGeom prst="rect">
                      <a:avLst/>
                    </a:prstGeom>
                    <a:ln>
                      <a:noFill/>
                    </a:ln>
                    <a:extLst>
                      <a:ext uri="{53640926-AAD7-44D8-BBD7-CCE9431645EC}">
                        <a14:shadowObscured xmlns:a14="http://schemas.microsoft.com/office/drawing/2010/main"/>
                      </a:ext>
                    </a:extLst>
                  </pic:spPr>
                </pic:pic>
              </a:graphicData>
            </a:graphic>
          </wp:inline>
        </w:drawing>
      </w:r>
    </w:p>
    <w:p w14:paraId="6EA18320"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Desarrollo económico </w:t>
      </w:r>
    </w:p>
    <w:p w14:paraId="45305843" w14:textId="77777777" w:rsidR="00794EB9" w:rsidRPr="00794EB9" w:rsidRDefault="00794EB9" w:rsidP="00794EB9">
      <w:pPr>
        <w:pStyle w:val="PMDTtulo2"/>
        <w:ind w:left="0" w:hanging="2"/>
        <w:rPr>
          <w:rFonts w:ascii="Arial" w:hAnsi="Arial"/>
          <w:color w:val="auto"/>
          <w:sz w:val="22"/>
          <w:szCs w:val="22"/>
        </w:rPr>
      </w:pPr>
    </w:p>
    <w:p w14:paraId="6AB6E312"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En León la tecnificación de la agricultura y la producción de cultivos más rentables, han permitido obtener mayores rendimientos en una superficie de tierra menor a la de hace diez años. En 2010, el valor de la producción de una hectárea cosechada fue de 17 mil 517 </w:t>
      </w:r>
      <w:r w:rsidRPr="00794EB9">
        <w:rPr>
          <w:rFonts w:ascii="Arial" w:hAnsi="Arial" w:cs="Arial"/>
          <w:color w:val="auto"/>
        </w:rPr>
        <w:lastRenderedPageBreak/>
        <w:t>pesos, cifra que se incrementó a 36 mil 147 pesos en 2020, lo que representó un aumento del 106.3% (18 mil 629 pesos).</w:t>
      </w:r>
    </w:p>
    <w:p w14:paraId="0532167D" w14:textId="77777777" w:rsidR="00794EB9" w:rsidRPr="00794EB9" w:rsidRDefault="00794EB9" w:rsidP="00794EB9">
      <w:pPr>
        <w:pStyle w:val="PMDNormal"/>
        <w:ind w:left="0" w:hanging="2"/>
        <w:rPr>
          <w:rFonts w:ascii="Arial" w:hAnsi="Arial" w:cs="Arial"/>
          <w:color w:val="auto"/>
        </w:rPr>
      </w:pPr>
    </w:p>
    <w:p w14:paraId="6D9570EE"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El mayor peso de la economía todavía se concentra en un sector tradicional. La industria del cuero-calzado se posiciona como el subsector de mayor importancia, tanto en unidades económicas como en el personal ocupado y valor agregado censal bruto. En 2018, el municipio captó el 57.6% del Valor Agregado Censal Bruto (VACB) que generó el sector cuero-calzado a nivel nacional.</w:t>
      </w:r>
    </w:p>
    <w:p w14:paraId="191A4B28" w14:textId="77777777" w:rsidR="00794EB9" w:rsidRPr="00794EB9" w:rsidRDefault="00794EB9" w:rsidP="00794EB9">
      <w:pPr>
        <w:pStyle w:val="PMDNormal"/>
        <w:ind w:left="0" w:hanging="2"/>
        <w:rPr>
          <w:rFonts w:ascii="Arial" w:hAnsi="Arial" w:cs="Arial"/>
          <w:color w:val="auto"/>
        </w:rPr>
      </w:pPr>
    </w:p>
    <w:p w14:paraId="20C1F834"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Uno de los sectores que presenta un destacado crecimiento es la fabricación de equipo de transporte que, de 2013 a 2018, tuvo una tasa de crecimiento anual en su personal ocupado y en su valor agregado censal bruto de 50.9% y 61.3% respectivamente.</w:t>
      </w:r>
    </w:p>
    <w:p w14:paraId="4C5B9EFC" w14:textId="77777777" w:rsidR="00794EB9" w:rsidRPr="00794EB9" w:rsidRDefault="00794EB9" w:rsidP="00794EB9">
      <w:pPr>
        <w:pStyle w:val="PMDNormal"/>
        <w:ind w:left="0" w:hanging="2"/>
        <w:rPr>
          <w:rFonts w:ascii="Arial" w:hAnsi="Arial" w:cs="Arial"/>
          <w:color w:val="auto"/>
        </w:rPr>
      </w:pPr>
    </w:p>
    <w:p w14:paraId="71EEF6F2"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A su vez, de las 72 mil 934 unidades económicas que había en León en 2019, los comercios al menudeo representaron el 38.5% (28 mil 078 unidades), como negocios con menos de 10 empleados, lo cuales comúnmente son familiares del propietario.</w:t>
      </w:r>
      <w:r w:rsidRPr="00794EB9">
        <w:rPr>
          <w:rFonts w:ascii="Arial" w:hAnsi="Arial" w:cs="Arial"/>
          <w:i/>
          <w:color w:val="auto"/>
        </w:rPr>
        <w:t xml:space="preserve"> </w:t>
      </w:r>
      <w:r w:rsidRPr="00794EB9">
        <w:rPr>
          <w:rFonts w:ascii="Arial" w:hAnsi="Arial" w:cs="Arial"/>
          <w:i/>
          <w:color w:val="auto"/>
          <w:u w:val="single"/>
        </w:rPr>
        <w:t>(INEGI. Censos Económicos 2019)</w:t>
      </w:r>
    </w:p>
    <w:p w14:paraId="7784941A" w14:textId="77777777" w:rsidR="00794EB9" w:rsidRPr="00794EB9" w:rsidRDefault="00794EB9" w:rsidP="00794EB9">
      <w:pPr>
        <w:pStyle w:val="PMDNormal"/>
        <w:ind w:leftChars="0" w:left="0" w:firstLineChars="0" w:firstLine="0"/>
        <w:rPr>
          <w:rFonts w:ascii="Arial" w:hAnsi="Arial" w:cs="Arial"/>
          <w:color w:val="auto"/>
        </w:rPr>
      </w:pPr>
    </w:p>
    <w:p w14:paraId="3432A2C1"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En menos de una década se crearon seis parques industriales en León: Colinas de León l y ll, STIVA, PILBA, VYNMSA y Parque Sur. Al mes de mayo de 2021, se encontraban 45 empresas instaladas en estos parques. De las hectáreas disponibles, se vendió el 53.8% de la superficie de los parques, sin embargo, el porcentaje de ocupación aún es bajo.</w:t>
      </w:r>
    </w:p>
    <w:p w14:paraId="159AA2F4" w14:textId="77777777" w:rsidR="00794EB9" w:rsidRPr="00794EB9" w:rsidRDefault="00794EB9" w:rsidP="00794EB9">
      <w:pPr>
        <w:pStyle w:val="PMDNormal"/>
        <w:ind w:left="0" w:hanging="2"/>
        <w:rPr>
          <w:rFonts w:ascii="Arial" w:hAnsi="Arial" w:cs="Arial"/>
          <w:color w:val="auto"/>
        </w:rPr>
      </w:pPr>
    </w:p>
    <w:p w14:paraId="686A2023"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En 2020 se registraron ante el Instituto Mexicano de la Propiedad Industrial (IMPI) cuatro patentes y 44 diseños industriales. De 2018 a 2019, las exportaciones de valor agregado y tecnología disminuyeron ligeramente de 10.51 a 10.49 millones de dólares, lo que hace evidente la necesidad de dar un impulso a la economía del conocimiento.</w:t>
      </w:r>
    </w:p>
    <w:p w14:paraId="4A5FD314" w14:textId="77777777" w:rsidR="00794EB9" w:rsidRPr="00794EB9" w:rsidRDefault="00794EB9" w:rsidP="00794EB9">
      <w:pPr>
        <w:pStyle w:val="PMDNormal"/>
        <w:ind w:left="0" w:hanging="2"/>
        <w:rPr>
          <w:rFonts w:ascii="Arial" w:hAnsi="Arial" w:cs="Arial"/>
          <w:color w:val="auto"/>
        </w:rPr>
      </w:pPr>
    </w:p>
    <w:p w14:paraId="5931837A"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En el segundo trimestre de 2021, se contó con 268 mil 064 jóvenes de 15 a 29 años económicamente activos, de los cuales 25 mil 759 (9.6%) se encontraban desempleados. Lo jóvenes se enfrentan a escasas oportunidades de trabajo y emprendimiento. </w:t>
      </w:r>
    </w:p>
    <w:p w14:paraId="5B8DB7A9" w14:textId="77777777" w:rsidR="00794EB9" w:rsidRPr="00794EB9" w:rsidRDefault="00794EB9" w:rsidP="00794EB9">
      <w:pPr>
        <w:pStyle w:val="PMDNormal"/>
        <w:ind w:left="0" w:hanging="2"/>
        <w:rPr>
          <w:rFonts w:ascii="Arial" w:hAnsi="Arial" w:cs="Arial"/>
          <w:color w:val="auto"/>
        </w:rPr>
      </w:pPr>
    </w:p>
    <w:p w14:paraId="66CBAE27"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El grado promedio de escolaridad de la Población Económicamente Activa (PEA) es de 10.5 años, lo equivalente al primer grado del nivel medio superior.</w:t>
      </w:r>
    </w:p>
    <w:p w14:paraId="2EE4ED41" w14:textId="77777777" w:rsidR="00794EB9" w:rsidRPr="00794EB9" w:rsidRDefault="00794EB9" w:rsidP="00794EB9">
      <w:pPr>
        <w:pStyle w:val="PMDNormal"/>
        <w:ind w:left="0" w:hanging="2"/>
        <w:rPr>
          <w:rFonts w:ascii="Arial" w:hAnsi="Arial" w:cs="Arial"/>
          <w:color w:val="auto"/>
        </w:rPr>
      </w:pPr>
    </w:p>
    <w:p w14:paraId="1F6E9D59" w14:textId="77777777" w:rsidR="00794EB9" w:rsidRPr="00794EB9" w:rsidRDefault="00794EB9" w:rsidP="00794EB9">
      <w:pPr>
        <w:pStyle w:val="PMDNormal"/>
        <w:ind w:left="0" w:hanging="2"/>
        <w:rPr>
          <w:rFonts w:ascii="Arial" w:hAnsi="Arial" w:cs="Arial"/>
          <w:color w:val="auto"/>
        </w:rPr>
      </w:pPr>
      <w:r w:rsidRPr="00794EB9">
        <w:rPr>
          <w:rFonts w:ascii="Arial" w:hAnsi="Arial" w:cs="Arial"/>
          <w:noProof/>
          <w:color w:val="auto"/>
        </w:rPr>
        <w:lastRenderedPageBreak/>
        <w:drawing>
          <wp:inline distT="0" distB="0" distL="0" distR="0" wp14:anchorId="5CAFDA44" wp14:editId="61553F8A">
            <wp:extent cx="5760000" cy="2781529"/>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12.png"/>
                    <pic:cNvPicPr/>
                  </pic:nvPicPr>
                  <pic:blipFill rotWithShape="1">
                    <a:blip r:embed="rId36" cstate="print">
                      <a:extLst>
                        <a:ext uri="{BEBA8EAE-BF5A-486C-A8C5-ECC9F3942E4B}">
                          <a14:imgProps xmlns:a14="http://schemas.microsoft.com/office/drawing/2010/main">
                            <a14:imgLayer r:embed="rId37">
                              <a14:imgEffect>
                                <a14:saturation sat="0"/>
                              </a14:imgEffect>
                            </a14:imgLayer>
                          </a14:imgProps>
                        </a:ext>
                        <a:ext uri="{28A0092B-C50C-407E-A947-70E740481C1C}">
                          <a14:useLocalDpi xmlns:a14="http://schemas.microsoft.com/office/drawing/2010/main" val="0"/>
                        </a:ext>
                      </a:extLst>
                    </a:blip>
                    <a:srcRect b="51296"/>
                    <a:stretch/>
                  </pic:blipFill>
                  <pic:spPr bwMode="auto">
                    <a:xfrm>
                      <a:off x="0" y="0"/>
                      <a:ext cx="5760000" cy="2781529"/>
                    </a:xfrm>
                    <a:prstGeom prst="rect">
                      <a:avLst/>
                    </a:prstGeom>
                    <a:ln>
                      <a:noFill/>
                    </a:ln>
                    <a:extLst>
                      <a:ext uri="{53640926-AAD7-44D8-BBD7-CCE9431645EC}">
                        <a14:shadowObscured xmlns:a14="http://schemas.microsoft.com/office/drawing/2010/main"/>
                      </a:ext>
                    </a:extLst>
                  </pic:spPr>
                </pic:pic>
              </a:graphicData>
            </a:graphic>
          </wp:inline>
        </w:drawing>
      </w:r>
    </w:p>
    <w:p w14:paraId="719724CA" w14:textId="77777777" w:rsidR="00794EB9" w:rsidRPr="00794EB9" w:rsidRDefault="00794EB9" w:rsidP="00794EB9">
      <w:pPr>
        <w:pStyle w:val="PMDNormal"/>
        <w:ind w:left="0" w:hanging="2"/>
        <w:rPr>
          <w:rFonts w:ascii="Arial" w:hAnsi="Arial" w:cs="Arial"/>
          <w:color w:val="auto"/>
        </w:rPr>
      </w:pPr>
    </w:p>
    <w:p w14:paraId="4E6B41D5" w14:textId="77777777" w:rsidR="00794EB9" w:rsidRPr="00794EB9" w:rsidRDefault="00794EB9" w:rsidP="00794EB9">
      <w:pPr>
        <w:pStyle w:val="PMDNormal"/>
        <w:ind w:left="0" w:hanging="2"/>
        <w:rPr>
          <w:rFonts w:ascii="Arial" w:hAnsi="Arial" w:cs="Arial"/>
          <w:color w:val="auto"/>
        </w:rPr>
      </w:pPr>
      <w:r w:rsidRPr="00794EB9">
        <w:rPr>
          <w:rFonts w:ascii="Arial" w:hAnsi="Arial" w:cs="Arial"/>
          <w:noProof/>
          <w:color w:val="auto"/>
        </w:rPr>
        <w:drawing>
          <wp:inline distT="0" distB="0" distL="0" distR="0" wp14:anchorId="1E736CFF" wp14:editId="4D2940A3">
            <wp:extent cx="5760000" cy="2929591"/>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12.png"/>
                    <pic:cNvPicPr/>
                  </pic:nvPicPr>
                  <pic:blipFill rotWithShape="1">
                    <a:blip r:embed="rId36" cstate="print">
                      <a:extLst>
                        <a:ext uri="{BEBA8EAE-BF5A-486C-A8C5-ECC9F3942E4B}">
                          <a14:imgProps xmlns:a14="http://schemas.microsoft.com/office/drawing/2010/main">
                            <a14:imgLayer r:embed="rId37">
                              <a14:imgEffect>
                                <a14:saturation sat="0"/>
                              </a14:imgEffect>
                            </a14:imgLayer>
                          </a14:imgProps>
                        </a:ext>
                        <a:ext uri="{28A0092B-C50C-407E-A947-70E740481C1C}">
                          <a14:useLocalDpi xmlns:a14="http://schemas.microsoft.com/office/drawing/2010/main" val="0"/>
                        </a:ext>
                      </a:extLst>
                    </a:blip>
                    <a:srcRect t="48704"/>
                    <a:stretch/>
                  </pic:blipFill>
                  <pic:spPr bwMode="auto">
                    <a:xfrm>
                      <a:off x="0" y="0"/>
                      <a:ext cx="5760000" cy="2929591"/>
                    </a:xfrm>
                    <a:prstGeom prst="rect">
                      <a:avLst/>
                    </a:prstGeom>
                    <a:ln>
                      <a:noFill/>
                    </a:ln>
                    <a:extLst>
                      <a:ext uri="{53640926-AAD7-44D8-BBD7-CCE9431645EC}">
                        <a14:shadowObscured xmlns:a14="http://schemas.microsoft.com/office/drawing/2010/main"/>
                      </a:ext>
                    </a:extLst>
                  </pic:spPr>
                </pic:pic>
              </a:graphicData>
            </a:graphic>
          </wp:inline>
        </w:drawing>
      </w:r>
    </w:p>
    <w:p w14:paraId="03C96A50" w14:textId="77777777" w:rsidR="00794EB9" w:rsidRPr="00794EB9" w:rsidRDefault="00794EB9" w:rsidP="00794EB9">
      <w:pPr>
        <w:pStyle w:val="PMDNormal"/>
        <w:ind w:left="0" w:hanging="2"/>
        <w:rPr>
          <w:rFonts w:ascii="Arial" w:hAnsi="Arial" w:cs="Arial"/>
          <w:color w:val="auto"/>
        </w:rPr>
      </w:pPr>
    </w:p>
    <w:p w14:paraId="6100420C" w14:textId="77777777" w:rsidR="00794EB9" w:rsidRPr="00794EB9" w:rsidRDefault="00794EB9" w:rsidP="00794EB9">
      <w:pPr>
        <w:pStyle w:val="PMDTtulo2"/>
        <w:ind w:left="0" w:hanging="2"/>
        <w:rPr>
          <w:rFonts w:ascii="Arial" w:hAnsi="Arial"/>
          <w:color w:val="auto"/>
          <w:sz w:val="22"/>
          <w:szCs w:val="22"/>
        </w:rPr>
      </w:pPr>
    </w:p>
    <w:p w14:paraId="61F2AF08"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Reactivación económica </w:t>
      </w:r>
    </w:p>
    <w:p w14:paraId="3631BC98" w14:textId="77777777" w:rsidR="00794EB9" w:rsidRPr="00794EB9" w:rsidRDefault="00794EB9" w:rsidP="00794EB9">
      <w:pPr>
        <w:pStyle w:val="PMDTtulo2"/>
        <w:ind w:left="0" w:hanging="2"/>
        <w:rPr>
          <w:rFonts w:ascii="Arial" w:hAnsi="Arial"/>
          <w:color w:val="auto"/>
          <w:sz w:val="22"/>
          <w:szCs w:val="22"/>
        </w:rPr>
      </w:pPr>
    </w:p>
    <w:p w14:paraId="2D1CE245"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A un año y medio de la crisis sanitaria y económica originada por el COVID-19, la economía leonesa muestra signos de recuperación al incrementarse los niveles de algunos indicadores en temas clave como el empleo y el turismo. Sin embargo, es necesario crear estrategias que reactiven la economía para una recuperación más rápida, pues algunos indicadores, todavía no logran alcanzar los niveles que presentaban antes de la pandemia. </w:t>
      </w:r>
    </w:p>
    <w:p w14:paraId="48213CBE" w14:textId="77777777" w:rsidR="00794EB9" w:rsidRPr="00794EB9" w:rsidRDefault="00794EB9" w:rsidP="00794EB9">
      <w:pPr>
        <w:pStyle w:val="PMDNormal"/>
        <w:ind w:left="0" w:hanging="2"/>
        <w:rPr>
          <w:rFonts w:ascii="Arial" w:hAnsi="Arial" w:cs="Arial"/>
          <w:color w:val="auto"/>
        </w:rPr>
      </w:pPr>
    </w:p>
    <w:p w14:paraId="3E243065"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Los puntos en los que puede incidir el municipio son: impulso a sectores estratégicos, fortalecimiento de sectores consolidados, apoyo al emprendimiento, inversión en innovación tecnológica y empresarial, fomento de la propiedad industrial, apoyo en el </w:t>
      </w:r>
      <w:r w:rsidRPr="00794EB9">
        <w:rPr>
          <w:rFonts w:ascii="Arial" w:hAnsi="Arial" w:cs="Arial"/>
          <w:color w:val="auto"/>
        </w:rPr>
        <w:lastRenderedPageBreak/>
        <w:t>desarrollo de las Mipymes, así como atracción de inversiones (incrementar la inversión extranjera directa).</w:t>
      </w:r>
    </w:p>
    <w:p w14:paraId="0D6177B3" w14:textId="77777777" w:rsidR="00794EB9" w:rsidRPr="00794EB9" w:rsidRDefault="00794EB9" w:rsidP="00794EB9">
      <w:pPr>
        <w:pStyle w:val="PMDNormal"/>
        <w:ind w:left="0" w:hanging="2"/>
        <w:rPr>
          <w:rFonts w:ascii="Arial" w:hAnsi="Arial" w:cs="Arial"/>
          <w:color w:val="auto"/>
        </w:rPr>
      </w:pPr>
    </w:p>
    <w:p w14:paraId="6F39BBCE" w14:textId="77777777" w:rsidR="00794EB9" w:rsidRPr="00794EB9" w:rsidRDefault="00794EB9" w:rsidP="00794EB9">
      <w:pPr>
        <w:pStyle w:val="PMDNormal"/>
        <w:ind w:left="0" w:hanging="2"/>
        <w:rPr>
          <w:rFonts w:ascii="Arial" w:hAnsi="Arial" w:cs="Arial"/>
          <w:i/>
          <w:color w:val="auto"/>
          <w:u w:val="single"/>
        </w:rPr>
      </w:pPr>
      <w:r w:rsidRPr="00794EB9">
        <w:rPr>
          <w:rFonts w:ascii="Arial" w:hAnsi="Arial" w:cs="Arial"/>
          <w:color w:val="auto"/>
        </w:rPr>
        <w:t xml:space="preserve">Con la pandemia por COVID -19, las micro, pequeñas y medianas empresas (MiPyMES) fueron las más afectadas, en 2020, el 21.12% tuvo que cerrar sus puertas de forma definitiva. </w:t>
      </w:r>
      <w:r w:rsidRPr="00794EB9">
        <w:rPr>
          <w:rFonts w:ascii="Arial" w:hAnsi="Arial" w:cs="Arial"/>
          <w:i/>
          <w:color w:val="auto"/>
          <w:u w:val="single"/>
        </w:rPr>
        <w:t>(INEGI. Estudio sobre la Demografía de los Negocios, EDN, 2020)</w:t>
      </w:r>
    </w:p>
    <w:p w14:paraId="14E6CD5E" w14:textId="77777777" w:rsidR="00794EB9" w:rsidRPr="00794EB9" w:rsidRDefault="00794EB9" w:rsidP="00794EB9">
      <w:pPr>
        <w:pStyle w:val="PMDNormal"/>
        <w:ind w:left="0" w:hanging="2"/>
        <w:rPr>
          <w:rFonts w:ascii="Arial" w:hAnsi="Arial" w:cs="Arial"/>
          <w:color w:val="auto"/>
        </w:rPr>
      </w:pPr>
    </w:p>
    <w:p w14:paraId="7561489E"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Las MiPyMES generalmente no cuentan con un presupuesto suficiente para actualizar su tecnología, se enfrentan a trámites administrativos complejos y pocas facilidades para obtener créditos, entre otros, no obstante, son la principal fuente generadora de empleos en León con el 72.9% de los puestos de trabajo.</w:t>
      </w:r>
    </w:p>
    <w:p w14:paraId="302BBB74" w14:textId="77777777" w:rsidR="00794EB9" w:rsidRPr="00794EB9" w:rsidRDefault="00794EB9" w:rsidP="00794EB9">
      <w:pPr>
        <w:pStyle w:val="PMDNormal"/>
        <w:ind w:leftChars="0" w:left="0" w:firstLineChars="0" w:firstLine="0"/>
        <w:rPr>
          <w:rFonts w:ascii="Arial" w:hAnsi="Arial" w:cs="Arial"/>
          <w:color w:val="auto"/>
        </w:rPr>
      </w:pPr>
    </w:p>
    <w:p w14:paraId="18C313E8"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La tasa de desempleo muestra una tendencia descendente al disminuir de 8.3% en el auge de la pandemia a 6.3% en el segundo trimestre de 2021, reflejando una recuperación del empleo. No obstante, todavía dista del 3.8% que presentó antes de la crisis sanitaria (primer trimestre de 2020). </w:t>
      </w:r>
    </w:p>
    <w:p w14:paraId="0EDF58B1" w14:textId="77777777" w:rsidR="00794EB9" w:rsidRPr="00794EB9" w:rsidRDefault="00794EB9" w:rsidP="00794EB9">
      <w:pPr>
        <w:pStyle w:val="PMDNormal"/>
        <w:ind w:left="0" w:hanging="2"/>
        <w:rPr>
          <w:rFonts w:ascii="Arial" w:hAnsi="Arial" w:cs="Arial"/>
          <w:color w:val="auto"/>
        </w:rPr>
      </w:pPr>
    </w:p>
    <w:p w14:paraId="295A34A0"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Sin embargo, los salarios parecen no estar recuperándose de la misma manera. En el segundo trimestre de 2021, de cada 100 personas ocupadas, 31 no pudieron comprar la canasta alimentaria con el ingreso de su trabajo, mientras que en el trimestre anterior eran 27 personas.</w:t>
      </w:r>
    </w:p>
    <w:p w14:paraId="04A1AC0E" w14:textId="77777777" w:rsidR="00794EB9" w:rsidRPr="00794EB9" w:rsidRDefault="00794EB9" w:rsidP="00794EB9">
      <w:pPr>
        <w:pStyle w:val="PMDNormal"/>
        <w:ind w:leftChars="0" w:left="0" w:firstLineChars="0" w:firstLine="0"/>
        <w:rPr>
          <w:rFonts w:ascii="Arial" w:hAnsi="Arial" w:cs="Arial"/>
          <w:color w:val="auto"/>
        </w:rPr>
      </w:pPr>
    </w:p>
    <w:p w14:paraId="495244F7" w14:textId="77777777" w:rsidR="00794EB9" w:rsidRPr="00794EB9" w:rsidRDefault="00794EB9" w:rsidP="00794EB9">
      <w:pPr>
        <w:pStyle w:val="Textonotapie"/>
        <w:ind w:hanging="2"/>
        <w:jc w:val="both"/>
        <w:rPr>
          <w:rFonts w:ascii="Arial" w:hAnsi="Arial" w:cs="Arial"/>
          <w:i/>
          <w:szCs w:val="22"/>
        </w:rPr>
      </w:pPr>
      <w:r w:rsidRPr="00794EB9">
        <w:rPr>
          <w:rFonts w:ascii="Arial" w:hAnsi="Arial" w:cs="Arial"/>
          <w:szCs w:val="22"/>
        </w:rPr>
        <w:t xml:space="preserve">Cabe destacar que antes de la pandemia, de acuerdo con datos del CONEVAL, la carencia alimentaria presentaba una tendencia de crecimiento anual, al situarse en 10.8%. </w:t>
      </w:r>
      <w:r w:rsidRPr="00794EB9">
        <w:rPr>
          <w:rFonts w:ascii="Arial" w:hAnsi="Arial" w:cs="Arial"/>
          <w:i/>
          <w:szCs w:val="22"/>
          <w:u w:val="single"/>
        </w:rPr>
        <w:t>(Datos de la medición de la pobreza de CONEVAL, periodo 2010 – 2015.)</w:t>
      </w:r>
      <w:r w:rsidRPr="00794EB9">
        <w:rPr>
          <w:rFonts w:ascii="Arial" w:hAnsi="Arial" w:cs="Arial"/>
          <w:i/>
          <w:szCs w:val="22"/>
        </w:rPr>
        <w:t xml:space="preserve">  </w:t>
      </w:r>
    </w:p>
    <w:p w14:paraId="742C9430" w14:textId="77777777" w:rsidR="00794EB9" w:rsidRPr="00794EB9" w:rsidRDefault="00794EB9" w:rsidP="00794EB9">
      <w:pPr>
        <w:pStyle w:val="PMDNormal"/>
        <w:ind w:leftChars="0" w:left="0" w:firstLineChars="0" w:firstLine="0"/>
        <w:rPr>
          <w:rFonts w:ascii="Arial" w:hAnsi="Arial" w:cs="Arial"/>
          <w:color w:val="auto"/>
        </w:rPr>
      </w:pPr>
    </w:p>
    <w:p w14:paraId="6D3DFB2F"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De septiembre de 2020 al mismo mes de 2021, el número de turistas se incrementó de 47 mil 539 a 85 mil 476 personas, representando un aumento del 79.8%, mientras que la ocupación hotelera se incrementó del 17.9% al 30% en el mismo periodo. Los indicadores turísticos presentan una recuperación progresiva, no obstante, todavía son muy bajos en comparación con los niveles pre-pandemia.</w:t>
      </w:r>
    </w:p>
    <w:p w14:paraId="7DDA1CC0" w14:textId="77777777" w:rsidR="00794EB9" w:rsidRPr="00794EB9" w:rsidRDefault="00794EB9" w:rsidP="00794EB9">
      <w:pPr>
        <w:pStyle w:val="PMDNormal"/>
        <w:ind w:left="0" w:hanging="2"/>
        <w:rPr>
          <w:rFonts w:ascii="Arial" w:hAnsi="Arial" w:cs="Arial"/>
          <w:color w:val="auto"/>
        </w:rPr>
      </w:pPr>
    </w:p>
    <w:p w14:paraId="338DFA7F"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Al 30 de septiembre de 2021 en León se registraron 386 mil 183 trabajadores asegurados en el IMSS, mostrando una ligera recuperación al incrementarse 3.3% respecto al mismo mes de 2020, sin embargo, en 2019 esta cifra ascendía a 401 mil 316 trabajadores asegurados.</w:t>
      </w:r>
    </w:p>
    <w:p w14:paraId="68CFA0A4" w14:textId="77777777" w:rsidR="00794EB9" w:rsidRPr="00794EB9" w:rsidRDefault="00794EB9" w:rsidP="00794EB9">
      <w:pPr>
        <w:pStyle w:val="PMDNormal"/>
        <w:ind w:left="0" w:hanging="2"/>
        <w:rPr>
          <w:rFonts w:ascii="Arial" w:hAnsi="Arial" w:cs="Arial"/>
          <w:color w:val="auto"/>
        </w:rPr>
      </w:pPr>
    </w:p>
    <w:p w14:paraId="0052B0DD"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Las remesas para León no fueron afectadas por la crisis económica originada por el COVID-19, muestran una tendencia creciente. Si bien, la entrada de divisas beneficia económicamente al municipio, podría ser un indicio de mayor migración de la población de León a Estados Unidos.</w:t>
      </w:r>
    </w:p>
    <w:p w14:paraId="7F57B65E" w14:textId="77777777" w:rsidR="00794EB9" w:rsidRPr="00794EB9" w:rsidRDefault="00794EB9" w:rsidP="00794EB9">
      <w:pPr>
        <w:pStyle w:val="PMDNormal"/>
        <w:ind w:left="0" w:hanging="2"/>
        <w:rPr>
          <w:rFonts w:ascii="Arial" w:hAnsi="Arial" w:cs="Arial"/>
          <w:color w:val="auto"/>
        </w:rPr>
      </w:pPr>
    </w:p>
    <w:p w14:paraId="62FC3B2B"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Durante el 2020, la inflación en la ciudad de León se mantuvo estable dentro del objetivo del Banco de México (entre el dos y cuatro por ciento). Sin embargo, durante septiembre de 2021 se registró una tasa de inflación interanual de 5.8%, mientras en el país fue de 6%. No se habían registrado niveles de inflación tan altos desde diciembre de 2018, cuando fue de 4.9%.</w:t>
      </w:r>
    </w:p>
    <w:p w14:paraId="0176D4FD" w14:textId="77777777" w:rsidR="00794EB9" w:rsidRPr="00794EB9" w:rsidRDefault="00794EB9" w:rsidP="00794EB9">
      <w:pPr>
        <w:pStyle w:val="PMDNormal"/>
        <w:ind w:left="0" w:hanging="2"/>
        <w:rPr>
          <w:rFonts w:ascii="Arial" w:hAnsi="Arial" w:cs="Arial"/>
          <w:color w:val="auto"/>
        </w:rPr>
      </w:pPr>
      <w:r w:rsidRPr="00794EB9">
        <w:rPr>
          <w:rFonts w:ascii="Arial" w:hAnsi="Arial" w:cs="Arial"/>
          <w:noProof/>
          <w:color w:val="auto"/>
        </w:rPr>
        <w:lastRenderedPageBreak/>
        <w:drawing>
          <wp:inline distT="0" distB="0" distL="0" distR="0" wp14:anchorId="42A18A6D" wp14:editId="4A484FF0">
            <wp:extent cx="5760000" cy="2703381"/>
            <wp:effectExtent l="0" t="0" r="0" b="190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20.png"/>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760000" cy="2703381"/>
                    </a:xfrm>
                    <a:prstGeom prst="rect">
                      <a:avLst/>
                    </a:prstGeom>
                  </pic:spPr>
                </pic:pic>
              </a:graphicData>
            </a:graphic>
          </wp:inline>
        </w:drawing>
      </w:r>
    </w:p>
    <w:p w14:paraId="46D5A4C2" w14:textId="77777777" w:rsidR="00794EB9" w:rsidRPr="00794EB9" w:rsidRDefault="00794EB9" w:rsidP="00794EB9">
      <w:pPr>
        <w:pStyle w:val="PMDNormal"/>
        <w:ind w:left="0" w:hanging="2"/>
        <w:rPr>
          <w:rFonts w:ascii="Arial" w:hAnsi="Arial" w:cs="Arial"/>
          <w:color w:val="auto"/>
        </w:rPr>
      </w:pPr>
    </w:p>
    <w:p w14:paraId="0D1E7ED2" w14:textId="77777777" w:rsidR="00794EB9" w:rsidRPr="00794EB9" w:rsidRDefault="00794EB9" w:rsidP="00794EB9">
      <w:pPr>
        <w:ind w:hanging="2"/>
        <w:rPr>
          <w:rFonts w:ascii="Arial" w:hAnsi="Arial" w:cs="Arial"/>
          <w:sz w:val="22"/>
          <w:szCs w:val="22"/>
          <w:u w:val="single"/>
        </w:rPr>
      </w:pPr>
      <w:r w:rsidRPr="00794EB9">
        <w:rPr>
          <w:rFonts w:ascii="Arial" w:hAnsi="Arial" w:cs="Arial"/>
          <w:b/>
          <w:sz w:val="22"/>
          <w:szCs w:val="22"/>
          <w:u w:val="single"/>
        </w:rPr>
        <w:t xml:space="preserve">Inclusión social y calidad de vida </w:t>
      </w:r>
    </w:p>
    <w:p w14:paraId="65F40325" w14:textId="77777777" w:rsidR="00794EB9" w:rsidRPr="00794EB9" w:rsidRDefault="00794EB9" w:rsidP="00794EB9">
      <w:pPr>
        <w:ind w:hanging="2"/>
        <w:rPr>
          <w:rFonts w:ascii="Arial" w:hAnsi="Arial" w:cs="Arial"/>
          <w:sz w:val="22"/>
          <w:szCs w:val="22"/>
        </w:rPr>
      </w:pPr>
    </w:p>
    <w:p w14:paraId="5D299FDF"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Desarrollo y cohesión social </w:t>
      </w:r>
    </w:p>
    <w:p w14:paraId="20E70A67" w14:textId="77777777" w:rsidR="00794EB9" w:rsidRPr="00794EB9" w:rsidRDefault="00794EB9" w:rsidP="00794EB9">
      <w:pPr>
        <w:pStyle w:val="PMDTtulo2"/>
        <w:ind w:left="0" w:hanging="2"/>
        <w:rPr>
          <w:rFonts w:ascii="Arial" w:hAnsi="Arial"/>
          <w:color w:val="auto"/>
          <w:sz w:val="22"/>
          <w:szCs w:val="22"/>
        </w:rPr>
      </w:pPr>
    </w:p>
    <w:p w14:paraId="5A86C378"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Los efectos de la triple crisis sanitaria, económica y social ocasionada por la pandemia de COVID-19 modificó casi todos los aspectos de la vida de las personas desde la forma de convivir, hacer negocios, trabajar, movernos, estudiar y aprender. Este impacto ha profundizado la vulnerabilidad social de la población, frente a los contagios y la lenta recuperación económica, generando así una mayor desigualdad.</w:t>
      </w:r>
    </w:p>
    <w:p w14:paraId="7F05B95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19A359C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De acuerdo con el Consejo Nacional de Evaluación de la Política de Desarrollo Social (CONEVAL), en 2015, León se encontraba dentro de los cinco municipios con mayor número de personas en alguna situación de pobreza (522 mil 736 personas). </w:t>
      </w:r>
    </w:p>
    <w:p w14:paraId="2AB7085F"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4AC8F46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A su vez, de acuerdo con el índice de marginación urbana y por localidad del Consejo Nacional de Población </w:t>
      </w:r>
      <w:r w:rsidRPr="00794EB9">
        <w:rPr>
          <w:rFonts w:ascii="Arial" w:hAnsi="Arial" w:cs="Arial"/>
          <w:i/>
          <w:sz w:val="22"/>
          <w:szCs w:val="22"/>
          <w:u w:val="single"/>
        </w:rPr>
        <w:t>(CONAPO 2021)</w:t>
      </w:r>
      <w:r w:rsidRPr="00794EB9">
        <w:rPr>
          <w:rFonts w:ascii="Arial" w:hAnsi="Arial" w:cs="Arial"/>
          <w:sz w:val="22"/>
          <w:szCs w:val="22"/>
        </w:rPr>
        <w:t xml:space="preserve"> se estimó que en 2020 vivían en zonas de alta y muy alta marginación en el área urbana 244 mil 885 personas y 2 mil 406 en la zona rural. Es importante señalar, que esta información se generó antes de la pandemia, por lo que no se ven reflejados los estragos que ésta ocasionó.</w:t>
      </w:r>
    </w:p>
    <w:p w14:paraId="1A544592"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DFDB015"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En León se identifican zonas de la ciudad con un alto porcentaje de personas con carencias sociales denominados Polígonos de Desarrollo. De acuerdo con datos registrados en 2020, en estos polígonos viven 391 mil 425 personas (22.7% de la población municipal). </w:t>
      </w:r>
      <w:r w:rsidRPr="00794EB9">
        <w:rPr>
          <w:rFonts w:ascii="Arial" w:hAnsi="Arial" w:cs="Arial"/>
          <w:i/>
          <w:sz w:val="22"/>
          <w:szCs w:val="22"/>
          <w:u w:val="single"/>
        </w:rPr>
        <w:t>(INEGI. Datos del Censo de Población y Vivienda 2020)</w:t>
      </w:r>
      <w:r w:rsidRPr="00794EB9">
        <w:rPr>
          <w:rFonts w:ascii="Arial" w:hAnsi="Arial" w:cs="Arial"/>
          <w:sz w:val="22"/>
          <w:szCs w:val="22"/>
        </w:rPr>
        <w:t xml:space="preserve"> En estas zonas destacan carencias como: acceso al agua potable, vivienda de calidad, déficit de equipamiento urbano y una deficiente movilidad.</w:t>
      </w:r>
    </w:p>
    <w:p w14:paraId="7858D86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0372481A"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De las 15 mil 707 viviendas sin agua entubada que se identifican en el municipio, 10 mil 079 se encuentran en estos polígonos. Asimismo, de las 5 mil 965 viviendas con piso de tierra, 2 mil 818 se encuentran en estas zonas.</w:t>
      </w:r>
    </w:p>
    <w:p w14:paraId="5244C3EB"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  </w:t>
      </w:r>
    </w:p>
    <w:p w14:paraId="331CEA3C"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La conectividad digital es otra problemática que se acentúa en estos polígonos, ya que de las 244 mil 961 viviendas que no cuentan con computadora y las 175 mil 751 viviendas que </w:t>
      </w:r>
      <w:r w:rsidRPr="00794EB9">
        <w:rPr>
          <w:rFonts w:ascii="Arial" w:hAnsi="Arial" w:cs="Arial"/>
          <w:sz w:val="22"/>
          <w:szCs w:val="22"/>
        </w:rPr>
        <w:lastRenderedPageBreak/>
        <w:t>no disponen de Internet en el municipio, se estima que 64 mil 356 viviendas sin computadora y 50 mil 408 viviendas sin internet se localizan en los polígonos de desarrollo. De las viviendas sin Internet 21 mil 732 se encuentran en la zona rural.</w:t>
      </w:r>
    </w:p>
    <w:p w14:paraId="7752CDCB"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3EADE852"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Con la pandemia se generó una segregación en el sistema educativo, ya que de los 91 mil 148 niñas, niños, adolescentes y jóvenes (de 3 a 17 años) del municipio que no asisten a la escuela, se estima que 28 mil 805 viven en estos polígonos. </w:t>
      </w:r>
    </w:p>
    <w:p w14:paraId="30B66A2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11253BF" w14:textId="77777777" w:rsidR="00794EB9" w:rsidRPr="00794EB9" w:rsidRDefault="00794EB9" w:rsidP="00794EB9">
      <w:pPr>
        <w:ind w:hanging="2"/>
        <w:jc w:val="both"/>
        <w:rPr>
          <w:rFonts w:ascii="Arial" w:hAnsi="Arial" w:cs="Arial"/>
          <w:i/>
          <w:sz w:val="22"/>
          <w:szCs w:val="22"/>
          <w:u w:val="single"/>
        </w:rPr>
      </w:pPr>
      <w:r w:rsidRPr="00794EB9">
        <w:rPr>
          <w:rFonts w:ascii="Arial" w:hAnsi="Arial" w:cs="Arial"/>
          <w:sz w:val="22"/>
          <w:szCs w:val="22"/>
        </w:rPr>
        <w:t xml:space="preserve">A raíz de la pandemia estas carencias se intensificaron, de acuerdo con el estudio de efectos sociales y económicos, en los hogares de los Polígonos de Desarrollo se incrementaron los gastos en la compra de alimentos en un 41.8%, en medicamentos y gastos médicos un 32.9%, en servicios básicos como agua, luz y gas un 48.9%, en Internet un 34.4% y en transporte o gasolina un 33.2%. </w:t>
      </w:r>
      <w:r w:rsidRPr="00794EB9">
        <w:rPr>
          <w:rFonts w:ascii="Arial" w:hAnsi="Arial" w:cs="Arial"/>
          <w:i/>
          <w:sz w:val="22"/>
          <w:szCs w:val="22"/>
          <w:u w:val="single"/>
        </w:rPr>
        <w:t>(IMPLAN 2021. Efectos sociales y económicos en los hogares de los Polígonos de Desarrollo durante la pandemia del COVID-19).</w:t>
      </w:r>
    </w:p>
    <w:p w14:paraId="1723A579" w14:textId="77777777" w:rsidR="00794EB9" w:rsidRPr="00794EB9" w:rsidRDefault="00794EB9" w:rsidP="00794EB9">
      <w:pPr>
        <w:pBdr>
          <w:top w:val="nil"/>
          <w:left w:val="nil"/>
          <w:bottom w:val="nil"/>
          <w:right w:val="nil"/>
          <w:between w:val="nil"/>
        </w:pBdr>
        <w:jc w:val="both"/>
        <w:rPr>
          <w:rFonts w:ascii="Arial" w:hAnsi="Arial" w:cs="Arial"/>
          <w:sz w:val="22"/>
          <w:szCs w:val="22"/>
        </w:rPr>
      </w:pPr>
    </w:p>
    <w:p w14:paraId="4D8FD9B0"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El 13% de hogares no pudieron seguir pagando la mensualidad o la renta y el 1% debió dejar la vivienda que rentaba.</w:t>
      </w:r>
    </w:p>
    <w:p w14:paraId="229F20C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4DB89AED"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Para salir adelante y contar con ingresos económicos en estos hogares se recurrió al endeudamiento, realizaron actividades como recuperadores urbanos, incluidos niñas y niños; además, las personas han realizado o aceptado trabajos de mayor esfuerzo físico y en condiciones precarias.</w:t>
      </w:r>
    </w:p>
    <w:p w14:paraId="3E1C57E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0642E26" w14:textId="77777777" w:rsidR="00794EB9" w:rsidRPr="00794EB9" w:rsidRDefault="00794EB9" w:rsidP="00794EB9">
      <w:pPr>
        <w:ind w:hanging="2"/>
        <w:jc w:val="both"/>
        <w:rPr>
          <w:rFonts w:ascii="Arial" w:hAnsi="Arial" w:cs="Arial"/>
          <w:i/>
          <w:sz w:val="22"/>
          <w:szCs w:val="22"/>
          <w:u w:val="single"/>
        </w:rPr>
      </w:pPr>
      <w:r w:rsidRPr="00794EB9">
        <w:rPr>
          <w:rFonts w:ascii="Arial" w:hAnsi="Arial" w:cs="Arial"/>
          <w:sz w:val="22"/>
          <w:szCs w:val="22"/>
        </w:rPr>
        <w:t xml:space="preserve">Desde los hogares de los Polígonos de Desarrollo las personas refirieron estar bien a pesar de las dificultades en un 38.5%; en un 27.5% aseguraron que están igual que antes de la pandemia, el 24.8% señaló que esta crisis les ha unido más, mientras que el 9.2% afirmó tener muchos problemas a partir de la pandemia. Quienes afirmaron que la pandemia les ha provocado problemáticas y dificultades en la relación familiar, señalaron que han tenido pleitos, discusiones y situaciones de violencia intradoméstica. </w:t>
      </w:r>
      <w:r w:rsidRPr="00794EB9">
        <w:rPr>
          <w:rFonts w:ascii="Arial" w:hAnsi="Arial" w:cs="Arial"/>
          <w:i/>
          <w:sz w:val="22"/>
          <w:szCs w:val="22"/>
          <w:u w:val="single"/>
        </w:rPr>
        <w:t>(IMPLAN 2021. Efectos sociales y económicos en los hogares de los Polígonos de Desarrollo durante la pandemia del COVID-19).</w:t>
      </w:r>
    </w:p>
    <w:p w14:paraId="7E4B58B8" w14:textId="77777777" w:rsidR="00794EB9" w:rsidRPr="00794EB9" w:rsidRDefault="00794EB9" w:rsidP="00794EB9">
      <w:pPr>
        <w:pBdr>
          <w:top w:val="nil"/>
          <w:left w:val="nil"/>
          <w:bottom w:val="nil"/>
          <w:right w:val="nil"/>
          <w:between w:val="nil"/>
        </w:pBdr>
        <w:jc w:val="both"/>
        <w:rPr>
          <w:rFonts w:ascii="Arial" w:hAnsi="Arial" w:cs="Arial"/>
          <w:sz w:val="22"/>
          <w:szCs w:val="22"/>
        </w:rPr>
      </w:pPr>
    </w:p>
    <w:p w14:paraId="2B9780C8"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Por su parte, la percepción de organismos de la sociedad civil ha sido que las mujeres se han enfrentado a altos niveles de estrés, depresión, disminución de la autoestima e incluso violencia intradoméstica, aunado a la falta de espacios para la convivencia y desahogo de problemas por el cierre temporal de centros comunitarios. </w:t>
      </w:r>
    </w:p>
    <w:p w14:paraId="6E344EE5"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7C3AA04"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Estas circunstancias dentro del hogar también traen consigo cambios en la cohesión social en general, donde se observaron conductas antisociales como vandalismo, o bien, que en el 60.9% de los hogares perciben que los delitos se incrementaron.</w:t>
      </w:r>
    </w:p>
    <w:p w14:paraId="585E3AFC"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3209C61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De acuerdo con datos de INEGI, de los jóvenes de 12 a 29 años encuestados, el 38.1% dijo tener amigos o amigas que han estado involucrados o han participado en al menos una situación bajo una óptica delictiva (actos de vandalismo, golpeado a alguien, portado un arma, robado, pertenecido a una banda violenta, arrestados o participado en grupos criminales). </w:t>
      </w:r>
      <w:r w:rsidRPr="00794EB9">
        <w:rPr>
          <w:rFonts w:ascii="Arial" w:hAnsi="Arial" w:cs="Arial"/>
          <w:i/>
          <w:sz w:val="22"/>
          <w:szCs w:val="22"/>
          <w:u w:val="single"/>
        </w:rPr>
        <w:t>(INEGI, 2014 Encuesta de Cohesión Social para la Prevención de la Violencia y la Delincuencia, ECOPRED, con información de 47 ciudades)</w:t>
      </w:r>
    </w:p>
    <w:p w14:paraId="3C013374" w14:textId="77777777" w:rsidR="00794EB9" w:rsidRPr="00794EB9" w:rsidRDefault="00794EB9" w:rsidP="00794EB9">
      <w:pPr>
        <w:pBdr>
          <w:top w:val="nil"/>
          <w:left w:val="nil"/>
          <w:bottom w:val="nil"/>
          <w:right w:val="nil"/>
          <w:between w:val="nil"/>
        </w:pBdr>
        <w:jc w:val="both"/>
        <w:rPr>
          <w:rFonts w:ascii="Arial" w:hAnsi="Arial" w:cs="Arial"/>
          <w:sz w:val="22"/>
          <w:szCs w:val="22"/>
        </w:rPr>
      </w:pPr>
    </w:p>
    <w:p w14:paraId="151FAD7A"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Adicionalmente, el 11% de las personas en los hogares afirmó que se ha perdido la confianza entre vecinos para cuidarse mutuamente, aunque el 14% señaló que ésta se ha </w:t>
      </w:r>
      <w:r w:rsidRPr="00794EB9">
        <w:rPr>
          <w:rFonts w:ascii="Arial" w:hAnsi="Arial" w:cs="Arial"/>
          <w:sz w:val="22"/>
          <w:szCs w:val="22"/>
        </w:rPr>
        <w:lastRenderedPageBreak/>
        <w:t>mejorado, el 12.8% tiene aún menos disposición de la gente para participar en la comunidad y el 11% ve una peor situación con relación a la forma de resolver conflictos en la colonia.</w:t>
      </w:r>
    </w:p>
    <w:p w14:paraId="7B4EEDF8" w14:textId="77777777" w:rsidR="00794EB9" w:rsidRPr="00794EB9" w:rsidRDefault="00794EB9" w:rsidP="00794EB9">
      <w:pPr>
        <w:pStyle w:val="PMDTtulo2"/>
        <w:ind w:left="0" w:hanging="2"/>
        <w:rPr>
          <w:rFonts w:ascii="Arial" w:hAnsi="Arial"/>
          <w:b w:val="0"/>
          <w:color w:val="auto"/>
          <w:sz w:val="22"/>
          <w:szCs w:val="22"/>
        </w:rPr>
      </w:pPr>
    </w:p>
    <w:p w14:paraId="1E0C3C55"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Grupos en situación de vulnerabilidad </w:t>
      </w:r>
    </w:p>
    <w:p w14:paraId="56733875" w14:textId="77777777" w:rsidR="00794EB9" w:rsidRPr="00794EB9" w:rsidRDefault="00794EB9" w:rsidP="00794EB9">
      <w:pPr>
        <w:pStyle w:val="PMDTtulo2"/>
        <w:ind w:left="0" w:hanging="2"/>
        <w:rPr>
          <w:rFonts w:ascii="Arial" w:hAnsi="Arial"/>
          <w:color w:val="auto"/>
          <w:sz w:val="22"/>
          <w:szCs w:val="22"/>
        </w:rPr>
      </w:pPr>
    </w:p>
    <w:p w14:paraId="1D49C775"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En León existen diversos grupos de personas susceptibles a la exclusión, entre los cuales se encuentran de adultos mayores, personas con diversidad funcional, las niñas, niños y adolescentes, los jóvenes que no tienen posibilidad de estudiar ni trabajar, personas de ascendencia indígena, así como mujeres jefas de familia con dificultades para integrarse al mundo laboral.</w:t>
      </w:r>
    </w:p>
    <w:p w14:paraId="32759D02" w14:textId="77777777" w:rsidR="00794EB9" w:rsidRPr="00794EB9" w:rsidRDefault="00794EB9" w:rsidP="00794EB9">
      <w:pPr>
        <w:pStyle w:val="PMDTtulo2"/>
        <w:ind w:left="0" w:hanging="2"/>
        <w:rPr>
          <w:rFonts w:ascii="Arial" w:hAnsi="Arial"/>
          <w:b w:val="0"/>
          <w:color w:val="auto"/>
          <w:sz w:val="22"/>
          <w:szCs w:val="22"/>
        </w:rPr>
      </w:pPr>
    </w:p>
    <w:p w14:paraId="651536D5"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Los adultos mayores forman un grupo de población en crecimiento, el cual presenta varias carencias sociales como el acceso a servicios de salud 13.4% (22 mil 272 no tienen afiliación) y una pensión, además, es el principal grupo de población susceptible a padecer enfermedades crónico degenerativas </w:t>
      </w:r>
      <w:r w:rsidRPr="00794EB9">
        <w:rPr>
          <w:rFonts w:ascii="Arial" w:hAnsi="Arial"/>
          <w:b w:val="0"/>
          <w:i/>
          <w:color w:val="auto"/>
          <w:sz w:val="22"/>
          <w:szCs w:val="22"/>
          <w:u w:val="single"/>
        </w:rPr>
        <w:t>(INEGI, 2020).</w:t>
      </w:r>
    </w:p>
    <w:p w14:paraId="79E572CD" w14:textId="77777777" w:rsidR="00794EB9" w:rsidRPr="00794EB9" w:rsidRDefault="00794EB9" w:rsidP="00794EB9">
      <w:pPr>
        <w:pStyle w:val="PMDTtulo2"/>
        <w:ind w:left="0" w:hanging="2"/>
        <w:rPr>
          <w:rFonts w:ascii="Arial" w:hAnsi="Arial"/>
          <w:b w:val="0"/>
          <w:color w:val="auto"/>
          <w:sz w:val="22"/>
          <w:szCs w:val="22"/>
        </w:rPr>
      </w:pPr>
    </w:p>
    <w:p w14:paraId="7272121D"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Otro grupo generacional susceptible a presentar alguna vulnerabilidad está conformado por las niñas, niños y adolescentes, a quienes se debe procurar que ejerzan sus derechos en aspectos sociales, económicos y culturales para desarrollar una infancia con calidad. </w:t>
      </w:r>
    </w:p>
    <w:p w14:paraId="1D2DD541" w14:textId="77777777" w:rsidR="00794EB9" w:rsidRPr="00794EB9" w:rsidRDefault="00794EB9" w:rsidP="00794EB9">
      <w:pPr>
        <w:pStyle w:val="PMDTtulo2"/>
        <w:ind w:left="0" w:hanging="2"/>
        <w:rPr>
          <w:rFonts w:ascii="Arial" w:hAnsi="Arial"/>
          <w:b w:val="0"/>
          <w:color w:val="auto"/>
          <w:sz w:val="22"/>
          <w:szCs w:val="22"/>
        </w:rPr>
      </w:pPr>
    </w:p>
    <w:p w14:paraId="025AD5B1"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En León el 16% de niñas, niños y adolescentes de 3 a 14 años no asisten al preescolar, primaria o secundaria; asimismo 89 mil 069 menores de 0 a 14 años de edad no tienen afiliación a servicios de salud (23.3%). </w:t>
      </w:r>
    </w:p>
    <w:p w14:paraId="71C487D1" w14:textId="77777777" w:rsidR="00794EB9" w:rsidRPr="00794EB9" w:rsidRDefault="00794EB9" w:rsidP="00794EB9">
      <w:pPr>
        <w:pStyle w:val="PMDTtulo2"/>
        <w:ind w:left="0" w:hanging="2"/>
        <w:rPr>
          <w:rFonts w:ascii="Arial" w:hAnsi="Arial"/>
          <w:b w:val="0"/>
          <w:color w:val="auto"/>
          <w:sz w:val="22"/>
          <w:szCs w:val="22"/>
        </w:rPr>
      </w:pPr>
    </w:p>
    <w:p w14:paraId="1B9B56B0"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Dentro de los grupos generacionales susceptibles a vulnerabilidad también se encuentran las y los jóvenes con bajas posibilidades de integrarse al mundo laboral. En León, de las 51 mil 480 personas desocupadas, 25 mil 759 son personas de 15 a 29 años de edad (50% del total de desempleados).</w:t>
      </w:r>
      <w:r w:rsidRPr="00794EB9">
        <w:rPr>
          <w:rFonts w:ascii="Arial" w:hAnsi="Arial"/>
          <w:color w:val="auto"/>
          <w:sz w:val="22"/>
          <w:szCs w:val="22"/>
        </w:rPr>
        <w:t xml:space="preserve"> </w:t>
      </w:r>
      <w:r w:rsidRPr="00794EB9">
        <w:rPr>
          <w:rFonts w:ascii="Arial" w:hAnsi="Arial"/>
          <w:b w:val="0"/>
          <w:i/>
          <w:color w:val="auto"/>
          <w:sz w:val="22"/>
          <w:szCs w:val="22"/>
          <w:u w:val="single"/>
        </w:rPr>
        <w:t>(INEGI, ENOE, segundo trimestre de 2020)</w:t>
      </w:r>
    </w:p>
    <w:p w14:paraId="31596EC9" w14:textId="77777777" w:rsidR="00794EB9" w:rsidRPr="00794EB9" w:rsidRDefault="00794EB9" w:rsidP="00794EB9">
      <w:pPr>
        <w:pStyle w:val="PMDTtulo2"/>
        <w:ind w:left="0" w:hanging="2"/>
        <w:rPr>
          <w:rFonts w:ascii="Arial" w:hAnsi="Arial"/>
          <w:b w:val="0"/>
          <w:color w:val="auto"/>
          <w:sz w:val="22"/>
          <w:szCs w:val="22"/>
        </w:rPr>
      </w:pPr>
    </w:p>
    <w:p w14:paraId="4EFBEE7C" w14:textId="77777777" w:rsidR="00794EB9" w:rsidRPr="00794EB9" w:rsidRDefault="00794EB9" w:rsidP="00794EB9">
      <w:pPr>
        <w:pStyle w:val="PMDNormal"/>
        <w:ind w:leftChars="0" w:left="0" w:firstLineChars="0" w:firstLine="0"/>
        <w:rPr>
          <w:rFonts w:ascii="Arial" w:eastAsia="Arial" w:hAnsi="Arial" w:cs="Arial"/>
          <w:i/>
          <w:color w:val="auto"/>
          <w:u w:val="single"/>
        </w:rPr>
      </w:pPr>
      <w:r w:rsidRPr="00794EB9">
        <w:rPr>
          <w:rFonts w:ascii="Arial" w:hAnsi="Arial" w:cs="Arial"/>
          <w:color w:val="auto"/>
        </w:rPr>
        <w:t xml:space="preserve">A su vez, la falta de posibilidades laborales, además de motivadores que les brinden tranquilidad al salir de la rutina, y libertad de despejarse, son algunos factores que influyen para que el 60% de los jóvenes no se vean viviendo en León en un futuro. </w:t>
      </w:r>
      <w:r w:rsidRPr="00794EB9">
        <w:rPr>
          <w:rFonts w:ascii="Arial" w:eastAsia="Arial" w:hAnsi="Arial" w:cs="Arial"/>
          <w:i/>
          <w:color w:val="auto"/>
          <w:u w:val="single"/>
        </w:rPr>
        <w:t>(Datos obtenidos del estudio Valores Futuros León para el proceso de actualización del Plan Municipal de Desarrollo. León hacia el futuro. Visión 2045 y del Programa Municipal de</w:t>
      </w:r>
      <w:r w:rsidRPr="00794EB9">
        <w:rPr>
          <w:rFonts w:ascii="Arial" w:hAnsi="Arial" w:cs="Arial"/>
          <w:i/>
          <w:color w:val="auto"/>
          <w:lang w:eastAsia="en-US"/>
        </w:rPr>
        <w:t xml:space="preserve"> </w:t>
      </w:r>
      <w:r w:rsidRPr="00794EB9">
        <w:rPr>
          <w:rFonts w:ascii="Arial" w:eastAsia="Arial" w:hAnsi="Arial" w:cs="Arial"/>
          <w:i/>
          <w:color w:val="auto"/>
          <w:u w:val="single"/>
        </w:rPr>
        <w:t>Desarrollo Urbano y Ordenamiento Ecológico y Territorial. IMPLAN, 2019. Y del Estudio sociocultural realizado por el Instituto Municipal de la Juventud de León, 2021)</w:t>
      </w:r>
    </w:p>
    <w:p w14:paraId="31F8E03E" w14:textId="77777777" w:rsidR="00794EB9" w:rsidRPr="00794EB9" w:rsidRDefault="00794EB9" w:rsidP="00794EB9">
      <w:pPr>
        <w:pStyle w:val="PMDTtulo2"/>
        <w:ind w:left="0" w:hanging="2"/>
        <w:rPr>
          <w:rFonts w:ascii="Arial" w:hAnsi="Arial"/>
          <w:b w:val="0"/>
          <w:color w:val="auto"/>
          <w:sz w:val="22"/>
          <w:szCs w:val="22"/>
        </w:rPr>
      </w:pPr>
    </w:p>
    <w:p w14:paraId="33BF7228"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Por otro lado, un 4.4 por ciento de la población en León, presenta alguna diversidad funcional física o mental, y exclusión de algunos procesos sociales por no contarse con los mecanismos necesarios para su atención, como puede ser el acceso a la educación o falta de servicios de salud. </w:t>
      </w:r>
      <w:r w:rsidRPr="00794EB9">
        <w:rPr>
          <w:rFonts w:ascii="Arial" w:hAnsi="Arial"/>
          <w:b w:val="0"/>
          <w:i/>
          <w:color w:val="auto"/>
          <w:sz w:val="22"/>
          <w:szCs w:val="22"/>
          <w:u w:val="single"/>
        </w:rPr>
        <w:t>(INEGI, 2020)</w:t>
      </w:r>
    </w:p>
    <w:p w14:paraId="528B34E2" w14:textId="77777777" w:rsidR="00794EB9" w:rsidRPr="00794EB9" w:rsidRDefault="00794EB9" w:rsidP="00794EB9">
      <w:pPr>
        <w:pStyle w:val="PMDTtulo2"/>
        <w:ind w:left="0" w:hanging="2"/>
        <w:rPr>
          <w:rFonts w:ascii="Arial" w:hAnsi="Arial"/>
          <w:b w:val="0"/>
          <w:color w:val="auto"/>
          <w:sz w:val="22"/>
          <w:szCs w:val="22"/>
        </w:rPr>
      </w:pPr>
    </w:p>
    <w:p w14:paraId="41789F76"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La población de habla indígena se ve forzada a emigrar a otros lugares en busca de alternativas de desarrollo, enfrentando desventajas sociales y limitantes en el acceso a bienes y servicios. En León se identificaron 7 mil 043 personas en hogares indígenas.</w:t>
      </w:r>
    </w:p>
    <w:p w14:paraId="4B8A5825" w14:textId="77777777" w:rsidR="00794EB9" w:rsidRPr="00794EB9" w:rsidRDefault="00794EB9" w:rsidP="00794EB9">
      <w:pPr>
        <w:pStyle w:val="PMDTtulo2"/>
        <w:ind w:left="0" w:hanging="2"/>
        <w:rPr>
          <w:rFonts w:ascii="Arial" w:hAnsi="Arial"/>
          <w:b w:val="0"/>
          <w:color w:val="auto"/>
          <w:sz w:val="22"/>
          <w:szCs w:val="22"/>
        </w:rPr>
      </w:pPr>
    </w:p>
    <w:p w14:paraId="15645AF6"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En estos hogares, sobre todo para las niñas, niños y adolescentes, se da un bajo nivel de oportunidades. El 71.9% de menores de 3 a 14 años de ascendencia indígena no asiste a la escuela. </w:t>
      </w:r>
      <w:r w:rsidRPr="00794EB9">
        <w:rPr>
          <w:rFonts w:ascii="Arial" w:hAnsi="Arial"/>
          <w:b w:val="0"/>
          <w:i/>
          <w:color w:val="auto"/>
          <w:sz w:val="22"/>
          <w:szCs w:val="22"/>
          <w:u w:val="single"/>
        </w:rPr>
        <w:t>(Censo de Población y Vivienda, 2020)</w:t>
      </w:r>
    </w:p>
    <w:p w14:paraId="460248D6" w14:textId="77777777" w:rsidR="00794EB9" w:rsidRPr="00794EB9" w:rsidRDefault="00794EB9" w:rsidP="00794EB9">
      <w:pPr>
        <w:pStyle w:val="PMDTtulo2"/>
        <w:ind w:left="0" w:hanging="2"/>
        <w:rPr>
          <w:rFonts w:ascii="Arial" w:hAnsi="Arial"/>
          <w:b w:val="0"/>
          <w:color w:val="auto"/>
          <w:sz w:val="22"/>
          <w:szCs w:val="22"/>
        </w:rPr>
      </w:pPr>
    </w:p>
    <w:p w14:paraId="60B11FCB"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lastRenderedPageBreak/>
        <w:t xml:space="preserve">Otro grupo de población en situación de vulnerabilidad son las mujeres. En 2020, el 31.5% de los hogares en León tenían a una mujer como jefa de hogar, enfrentada a problemáticas como encontrar un empleo de calidad que se adapte a la necesidad de compensar el tiempo de cuidados de los menores o enfermos del hogar, además de contar con un ingreso digno.    </w:t>
      </w:r>
    </w:p>
    <w:p w14:paraId="061D97B9" w14:textId="77777777" w:rsidR="00794EB9" w:rsidRPr="00794EB9" w:rsidRDefault="00794EB9" w:rsidP="00794EB9">
      <w:pPr>
        <w:pStyle w:val="PMDTtulo2"/>
        <w:ind w:left="0" w:hanging="2"/>
        <w:rPr>
          <w:rFonts w:ascii="Arial" w:hAnsi="Arial"/>
          <w:b w:val="0"/>
          <w:color w:val="auto"/>
          <w:sz w:val="22"/>
          <w:szCs w:val="22"/>
        </w:rPr>
      </w:pPr>
    </w:p>
    <w:p w14:paraId="38525A0A"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La brecha salarial entre hombres y mujeres aumenta conforme se incrementa el nivel de ingresos, tan sólo 67 mujeres por cada 100 hombres reciben más de tres salarios mínimos como ingreso. </w:t>
      </w:r>
      <w:r w:rsidRPr="00794EB9">
        <w:rPr>
          <w:rFonts w:ascii="Arial" w:hAnsi="Arial"/>
          <w:b w:val="0"/>
          <w:i/>
          <w:color w:val="auto"/>
          <w:sz w:val="22"/>
          <w:szCs w:val="22"/>
          <w:u w:val="single"/>
        </w:rPr>
        <w:t>(INEGI, segundo semestre de 2021)</w:t>
      </w:r>
      <w:r w:rsidRPr="00794EB9">
        <w:rPr>
          <w:rFonts w:ascii="Arial" w:hAnsi="Arial"/>
          <w:b w:val="0"/>
          <w:i/>
          <w:color w:val="auto"/>
          <w:sz w:val="22"/>
          <w:szCs w:val="22"/>
        </w:rPr>
        <w:t xml:space="preserve"> </w:t>
      </w:r>
    </w:p>
    <w:p w14:paraId="4A551690" w14:textId="77777777" w:rsidR="00794EB9" w:rsidRPr="00794EB9" w:rsidRDefault="00794EB9" w:rsidP="00794EB9">
      <w:pPr>
        <w:pStyle w:val="PMDTtulo2"/>
        <w:ind w:left="0" w:hanging="2"/>
        <w:rPr>
          <w:rFonts w:ascii="Arial" w:hAnsi="Arial"/>
          <w:b w:val="0"/>
          <w:color w:val="auto"/>
          <w:sz w:val="22"/>
          <w:szCs w:val="22"/>
        </w:rPr>
      </w:pPr>
    </w:p>
    <w:p w14:paraId="3D4F5F7D"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Por otra parte, el embarazo y la maternidad adolescente son problemas no sólo de salud, sino sociales y económicos, que limitan las oportunidades de desarrollo y de crecimiento en diversos aspectos en la vida de las y los adolescentes, principalmente en lo educativo y las dificultades en la inserción laboral.</w:t>
      </w:r>
    </w:p>
    <w:p w14:paraId="290F1BB3" w14:textId="77777777" w:rsidR="00794EB9" w:rsidRPr="00794EB9" w:rsidRDefault="00794EB9" w:rsidP="00794EB9">
      <w:pPr>
        <w:pStyle w:val="PMDTtulo2"/>
        <w:ind w:left="0" w:hanging="2"/>
        <w:rPr>
          <w:rFonts w:ascii="Arial" w:hAnsi="Arial"/>
          <w:b w:val="0"/>
          <w:color w:val="auto"/>
          <w:sz w:val="22"/>
          <w:szCs w:val="22"/>
        </w:rPr>
      </w:pPr>
    </w:p>
    <w:p w14:paraId="43A65AF9"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En el 2019, se registraron 28 mil 173 nacimientos, de los cuales 4 mil 591 fueron de madres de 15 a 19 años y 110 de menores de 15 años.</w:t>
      </w:r>
    </w:p>
    <w:p w14:paraId="5FFCDE18" w14:textId="77777777" w:rsidR="00794EB9" w:rsidRPr="00794EB9" w:rsidRDefault="00794EB9" w:rsidP="00794EB9">
      <w:pPr>
        <w:pStyle w:val="PMDTtulo2"/>
        <w:ind w:left="0" w:hanging="2"/>
        <w:rPr>
          <w:rFonts w:ascii="Arial" w:hAnsi="Arial"/>
          <w:b w:val="0"/>
          <w:color w:val="auto"/>
          <w:sz w:val="22"/>
          <w:szCs w:val="22"/>
        </w:rPr>
      </w:pPr>
    </w:p>
    <w:p w14:paraId="02E11E2E" w14:textId="77777777" w:rsidR="00794EB9" w:rsidRPr="00794EB9" w:rsidRDefault="00794EB9" w:rsidP="00794EB9">
      <w:pPr>
        <w:pStyle w:val="PMDTtulo2"/>
        <w:ind w:left="0" w:hanging="2"/>
        <w:jc w:val="center"/>
        <w:rPr>
          <w:rFonts w:ascii="Arial" w:hAnsi="Arial"/>
          <w:b w:val="0"/>
          <w:color w:val="auto"/>
          <w:sz w:val="22"/>
          <w:szCs w:val="22"/>
        </w:rPr>
      </w:pPr>
      <w:r w:rsidRPr="00794EB9">
        <w:rPr>
          <w:rFonts w:ascii="Arial" w:hAnsi="Arial"/>
          <w:b w:val="0"/>
          <w:noProof/>
          <w:color w:val="auto"/>
          <w:sz w:val="22"/>
          <w:szCs w:val="22"/>
        </w:rPr>
        <w:lastRenderedPageBreak/>
        <w:drawing>
          <wp:inline distT="0" distB="0" distL="0" distR="0" wp14:anchorId="532F89F2" wp14:editId="61CBE7FF">
            <wp:extent cx="5314315" cy="5721985"/>
            <wp:effectExtent l="0" t="0" r="0" b="5715"/>
            <wp:docPr id="26"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14315" cy="5721985"/>
                    </a:xfrm>
                    <a:prstGeom prst="rect">
                      <a:avLst/>
                    </a:prstGeom>
                    <a:noFill/>
                    <a:ln>
                      <a:noFill/>
                    </a:ln>
                  </pic:spPr>
                </pic:pic>
              </a:graphicData>
            </a:graphic>
          </wp:inline>
        </w:drawing>
      </w:r>
    </w:p>
    <w:p w14:paraId="114F8DED" w14:textId="77777777" w:rsidR="00794EB9" w:rsidRPr="00794EB9" w:rsidRDefault="00794EB9" w:rsidP="00794EB9">
      <w:pPr>
        <w:pStyle w:val="PMDTtulo2"/>
        <w:ind w:left="0" w:hanging="2"/>
        <w:rPr>
          <w:rFonts w:ascii="Arial" w:hAnsi="Arial"/>
          <w:b w:val="0"/>
          <w:color w:val="auto"/>
          <w:sz w:val="22"/>
          <w:szCs w:val="22"/>
        </w:rPr>
      </w:pPr>
    </w:p>
    <w:p w14:paraId="34046DF4"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Educación</w:t>
      </w:r>
    </w:p>
    <w:p w14:paraId="28FB049B" w14:textId="77777777" w:rsidR="00794EB9" w:rsidRPr="00794EB9" w:rsidRDefault="00794EB9" w:rsidP="00794EB9">
      <w:pPr>
        <w:pStyle w:val="PMDTtulo2"/>
        <w:ind w:left="0" w:hanging="2"/>
        <w:rPr>
          <w:rFonts w:ascii="Arial" w:hAnsi="Arial"/>
          <w:color w:val="auto"/>
          <w:sz w:val="22"/>
          <w:szCs w:val="22"/>
        </w:rPr>
      </w:pPr>
    </w:p>
    <w:p w14:paraId="40EC756A"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Las repercusiones que dejó la pandemia en todos los niveles educativos, establece como reto garantizar que los mecanismos alternativos de educación se conviertan en elementos integradores y generadores de igualdad social, además de apostar por una educación de calidad. </w:t>
      </w:r>
    </w:p>
    <w:p w14:paraId="4A614BCF"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11A6180C"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Con la etapa de confinamiento y de educación a distancia se dejó al descubierto la falta de plataformas digitales, sobre todo en instituciones públicas, para la impartición de clases, así como la infraestructura que garantice la conectividad digital.</w:t>
      </w:r>
    </w:p>
    <w:p w14:paraId="2BF541A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7AE46D78"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Durante este periodo, escuelas y espacios educativos sin ocupar fueron objeto de vandalismo. De acuerdo con la Secretaría de Educación Pública (SEP), en Guanajuato se reportaron 600 escuelas vandalizadas, de las cuales 200 se encuentran en León, que </w:t>
      </w:r>
      <w:r w:rsidRPr="00794EB9">
        <w:rPr>
          <w:rFonts w:ascii="Arial" w:hAnsi="Arial" w:cs="Arial"/>
          <w:sz w:val="22"/>
          <w:szCs w:val="22"/>
        </w:rPr>
        <w:lastRenderedPageBreak/>
        <w:t xml:space="preserve">presentan daños como destrucción del inmobiliario, robo de cableado, daños en tuberías de agua, entre otros. </w:t>
      </w:r>
    </w:p>
    <w:p w14:paraId="2848919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    </w:t>
      </w:r>
    </w:p>
    <w:p w14:paraId="03058D59"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La baja cobertura educativa en algunos niveles escolares, aunada al abandono y deserción escolar son retos que con la pandemia se intensificaron y que aún no se ve reflejado su impacto en los indicadores oficiales.</w:t>
      </w:r>
    </w:p>
    <w:p w14:paraId="070C33C0"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7A2A0AD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De acuerdo con datos de la Secretaría de Educación de Guanajuato (SEG) la cobertura educativa en el ciclo escolar 2019 – 2020 fue en nivel preescolar del 67.9%, primaria del 100% y secundaria del 92%. A su vez, en el nivel medio superior (bachillerato) y superior fue del 74.4% y 38% respectivamente </w:t>
      </w:r>
      <w:r w:rsidRPr="00794EB9">
        <w:rPr>
          <w:rFonts w:ascii="Arial" w:hAnsi="Arial" w:cs="Arial"/>
          <w:i/>
          <w:sz w:val="22"/>
          <w:szCs w:val="22"/>
          <w:u w:val="single"/>
          <w:lang w:eastAsia="es-MX"/>
        </w:rPr>
        <w:t>(SEG, ciclo 2018-2019)</w:t>
      </w:r>
      <w:r w:rsidRPr="00794EB9">
        <w:rPr>
          <w:rFonts w:ascii="Arial" w:hAnsi="Arial" w:cs="Arial"/>
          <w:sz w:val="22"/>
          <w:szCs w:val="22"/>
          <w:lang w:eastAsia="es-MX"/>
        </w:rPr>
        <w:t>.</w:t>
      </w:r>
    </w:p>
    <w:p w14:paraId="39EFC75F"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3EC0653F"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El abandono escolar es otra de las grandes problemáticas sociales difíciles de abatir. Los niveles educativos más afectados son medio superior o bachillerato con un 16.6% y superior con un 11.6%. </w:t>
      </w:r>
      <w:r w:rsidRPr="00794EB9">
        <w:rPr>
          <w:rFonts w:ascii="Arial" w:hAnsi="Arial" w:cs="Arial"/>
          <w:i/>
          <w:sz w:val="22"/>
          <w:szCs w:val="22"/>
          <w:u w:val="single"/>
        </w:rPr>
        <w:t>(Secretaría de Educación de Guanajuato, ciclo 2018-2019 y ciclo 2017-2018 respectivamente)</w:t>
      </w:r>
      <w:r w:rsidRPr="00794EB9">
        <w:rPr>
          <w:rFonts w:ascii="Arial" w:hAnsi="Arial" w:cs="Arial"/>
          <w:sz w:val="22"/>
          <w:szCs w:val="22"/>
        </w:rPr>
        <w:t xml:space="preserve"> </w:t>
      </w:r>
    </w:p>
    <w:p w14:paraId="75F904A4"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D33F0DA" w14:textId="77777777" w:rsidR="00794EB9" w:rsidRPr="00794EB9" w:rsidRDefault="00794EB9" w:rsidP="00794EB9">
      <w:pPr>
        <w:pStyle w:val="Textonotapie"/>
        <w:ind w:hanging="2"/>
        <w:jc w:val="both"/>
        <w:rPr>
          <w:rFonts w:ascii="Arial" w:eastAsia="Arial" w:hAnsi="Arial" w:cs="Arial"/>
          <w:i/>
          <w:szCs w:val="22"/>
          <w:u w:val="single"/>
          <w:lang w:eastAsia="es-MX"/>
        </w:rPr>
      </w:pPr>
      <w:r w:rsidRPr="00794EB9">
        <w:rPr>
          <w:rFonts w:ascii="Arial" w:eastAsia="Arial" w:hAnsi="Arial" w:cs="Arial"/>
          <w:szCs w:val="22"/>
        </w:rPr>
        <w:t>Se identificó que, a raíz de la pandemia, entre los principales motivos del abandono están: contribuir con la economía del hogar, pérdida de contacto con la escuela, carencia de tecnologías de la comunicación o falta de interés por cuestiones emocionales.</w:t>
      </w:r>
      <w:r w:rsidRPr="00794EB9">
        <w:rPr>
          <w:rFonts w:ascii="Arial" w:hAnsi="Arial" w:cs="Arial"/>
          <w:szCs w:val="22"/>
        </w:rPr>
        <w:t xml:space="preserve"> </w:t>
      </w:r>
      <w:r w:rsidRPr="00794EB9">
        <w:rPr>
          <w:rFonts w:ascii="Arial" w:eastAsia="Arial" w:hAnsi="Arial" w:cs="Arial"/>
          <w:i/>
          <w:szCs w:val="22"/>
          <w:u w:val="single"/>
          <w:lang w:eastAsia="es-MX"/>
        </w:rPr>
        <w:t>(Situación actual y retos prioritarios de la Educación Básica en el Municipio de León, IMPLAN 2021)</w:t>
      </w:r>
    </w:p>
    <w:p w14:paraId="7CABBCF9" w14:textId="77777777" w:rsidR="00794EB9" w:rsidRPr="00794EB9" w:rsidRDefault="00794EB9" w:rsidP="00794EB9">
      <w:pPr>
        <w:pBdr>
          <w:top w:val="nil"/>
          <w:left w:val="nil"/>
          <w:bottom w:val="nil"/>
          <w:right w:val="nil"/>
          <w:between w:val="nil"/>
        </w:pBdr>
        <w:jc w:val="both"/>
        <w:rPr>
          <w:rFonts w:ascii="Arial" w:hAnsi="Arial" w:cs="Arial"/>
          <w:sz w:val="22"/>
          <w:szCs w:val="22"/>
        </w:rPr>
      </w:pPr>
    </w:p>
    <w:p w14:paraId="637D9E4E"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Por otra parte, el grado promedio de escolaridad de la población de 15 años y más pasó de 9.2 grados en 2015 a 9.8 grados de escolaridad en 2020. </w:t>
      </w:r>
    </w:p>
    <w:p w14:paraId="652F0E4B"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59444C0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Este nivel de escolaridad repercute en el mercado laboral, ya que de cada 100 leoneses ocupados sólo 18 cuentan con estudios universitarios </w:t>
      </w:r>
      <w:r w:rsidRPr="00794EB9">
        <w:rPr>
          <w:rFonts w:ascii="Arial" w:hAnsi="Arial" w:cs="Arial"/>
          <w:i/>
          <w:sz w:val="22"/>
          <w:szCs w:val="22"/>
          <w:u w:val="single"/>
          <w:lang w:eastAsia="es-MX"/>
        </w:rPr>
        <w:t>(INEGI. ENOE, segundo trimestre 2021)</w:t>
      </w:r>
      <w:r w:rsidRPr="00794EB9">
        <w:rPr>
          <w:rFonts w:ascii="Arial" w:hAnsi="Arial" w:cs="Arial"/>
          <w:sz w:val="22"/>
          <w:szCs w:val="22"/>
        </w:rPr>
        <w:t xml:space="preserve">. </w:t>
      </w:r>
    </w:p>
    <w:p w14:paraId="2C25A14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3AA805FE"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5AFAB0C5"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5E5C6B0D"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1A83CABC"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4D054F2F"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5FBBA37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3C7A69C4"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3F3848C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D4C4265"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noProof/>
          <w:color w:val="auto"/>
          <w:sz w:val="22"/>
          <w:szCs w:val="22"/>
        </w:rPr>
        <w:lastRenderedPageBreak/>
        <w:drawing>
          <wp:inline distT="0" distB="0" distL="0" distR="0" wp14:anchorId="66900EBB" wp14:editId="3F9207C1">
            <wp:extent cx="6091861" cy="6417892"/>
            <wp:effectExtent l="0" t="0" r="4445" b="254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10.png"/>
                    <pic:cNvPicPr/>
                  </pic:nvPicPr>
                  <pic:blipFill>
                    <a:blip r:embed="rId41" cstate="print">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091861" cy="6417892"/>
                    </a:xfrm>
                    <a:prstGeom prst="rect">
                      <a:avLst/>
                    </a:prstGeom>
                  </pic:spPr>
                </pic:pic>
              </a:graphicData>
            </a:graphic>
          </wp:inline>
        </w:drawing>
      </w:r>
    </w:p>
    <w:p w14:paraId="219C0990" w14:textId="77777777" w:rsidR="00794EB9" w:rsidRPr="00794EB9" w:rsidRDefault="00794EB9" w:rsidP="00794EB9">
      <w:pPr>
        <w:pStyle w:val="PMDTtulo2"/>
        <w:ind w:left="0" w:hanging="2"/>
        <w:rPr>
          <w:rFonts w:ascii="Arial" w:hAnsi="Arial"/>
          <w:color w:val="auto"/>
          <w:sz w:val="22"/>
          <w:szCs w:val="22"/>
        </w:rPr>
      </w:pPr>
    </w:p>
    <w:p w14:paraId="7A27B04D"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Salud</w:t>
      </w:r>
    </w:p>
    <w:p w14:paraId="5FA375C1" w14:textId="77777777" w:rsidR="00794EB9" w:rsidRPr="00794EB9" w:rsidRDefault="00794EB9" w:rsidP="00794EB9">
      <w:pPr>
        <w:pStyle w:val="PMDTtulo2"/>
        <w:ind w:left="0" w:hanging="2"/>
        <w:rPr>
          <w:rFonts w:ascii="Arial" w:hAnsi="Arial"/>
          <w:color w:val="auto"/>
          <w:sz w:val="22"/>
          <w:szCs w:val="22"/>
        </w:rPr>
      </w:pPr>
    </w:p>
    <w:p w14:paraId="1CE949A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Las últimas décadas se han caracterizado por el descenso de las tasas de mortalidad y el incremento de la esperanza de vida, sin embargo, han aumentado los padecimientos crónico degenerativos como diabetes y enfermedades del corazón, trayendo consigo un detrimento de la calidad de vida, sobre todo en personas de edad avanzada. El 2020 se caracterizó por la pandemia de COVID-19, lo que trajo consigo un exceso de mortalidad.   </w:t>
      </w:r>
    </w:p>
    <w:p w14:paraId="3CBB4BA8" w14:textId="77777777" w:rsidR="00794EB9" w:rsidRPr="00794EB9" w:rsidRDefault="00794EB9" w:rsidP="00794EB9">
      <w:pPr>
        <w:pBdr>
          <w:top w:val="nil"/>
          <w:left w:val="nil"/>
          <w:bottom w:val="nil"/>
          <w:right w:val="nil"/>
          <w:between w:val="nil"/>
        </w:pBdr>
        <w:jc w:val="both"/>
        <w:rPr>
          <w:rFonts w:ascii="Arial" w:hAnsi="Arial" w:cs="Arial"/>
          <w:sz w:val="22"/>
          <w:szCs w:val="22"/>
        </w:rPr>
      </w:pPr>
    </w:p>
    <w:p w14:paraId="78524A8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lastRenderedPageBreak/>
        <w:t>De acuerdo con el Registro Nacional de Población (RENAPO) en León ocurrieron 13 mil 080 defunciones en 2020, de las cuales no todas fueron de residentes habituales del municipio, ya que residían en otra entidad o municipio del estado de Guanajuato.</w:t>
      </w:r>
    </w:p>
    <w:p w14:paraId="080185AB"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3D71B12F" w14:textId="77777777" w:rsidR="00794EB9" w:rsidRPr="00794EB9" w:rsidRDefault="00794EB9" w:rsidP="00794EB9">
      <w:pPr>
        <w:pBdr>
          <w:top w:val="nil"/>
          <w:left w:val="nil"/>
          <w:bottom w:val="nil"/>
          <w:right w:val="nil"/>
          <w:between w:val="nil"/>
        </w:pBdr>
        <w:ind w:hanging="2"/>
        <w:jc w:val="both"/>
        <w:rPr>
          <w:rFonts w:ascii="Arial" w:hAnsi="Arial" w:cs="Arial"/>
          <w:i/>
          <w:sz w:val="22"/>
          <w:szCs w:val="22"/>
        </w:rPr>
      </w:pPr>
      <w:r w:rsidRPr="00794EB9">
        <w:rPr>
          <w:rFonts w:ascii="Arial" w:hAnsi="Arial" w:cs="Arial"/>
          <w:sz w:val="22"/>
          <w:szCs w:val="22"/>
        </w:rPr>
        <w:t xml:space="preserve">A través de las estadísticas de INEGI, en 2020 se registraron 12 mil 641 defunciones de residentes habituales en el municipio de León. Dentro de las principales causas de muerte se encuentran los padecimientos crónico degenerativos como la diabetes mellitus o enfermedades de corazón con el 32.4% (4 mil 096 casos), de los cuales el 77% tenían más de 60 años de edad (3 mil 141 defunciones). </w:t>
      </w:r>
      <w:r w:rsidRPr="00794EB9">
        <w:rPr>
          <w:rFonts w:ascii="Arial" w:hAnsi="Arial" w:cs="Arial"/>
          <w:i/>
          <w:sz w:val="22"/>
          <w:szCs w:val="22"/>
          <w:u w:val="single"/>
        </w:rPr>
        <w:t>(Número de defunciones de acuerdo a la Clasificación Internacional de Enfermedades (CIE-10), incluye las claves E40-E46 e I00 hasta I69.)</w:t>
      </w:r>
    </w:p>
    <w:p w14:paraId="4DA73D8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3F03BA3" w14:textId="77777777" w:rsidR="00794EB9" w:rsidRPr="00794EB9" w:rsidRDefault="00794EB9" w:rsidP="00794EB9">
      <w:pPr>
        <w:pBdr>
          <w:top w:val="nil"/>
          <w:left w:val="nil"/>
          <w:bottom w:val="nil"/>
          <w:right w:val="nil"/>
          <w:between w:val="nil"/>
        </w:pBdr>
        <w:ind w:hanging="2"/>
        <w:jc w:val="both"/>
        <w:rPr>
          <w:rFonts w:ascii="Arial" w:hAnsi="Arial" w:cs="Arial"/>
          <w:i/>
          <w:sz w:val="22"/>
          <w:szCs w:val="22"/>
        </w:rPr>
      </w:pPr>
      <w:r w:rsidRPr="00794EB9">
        <w:rPr>
          <w:rFonts w:ascii="Arial" w:hAnsi="Arial" w:cs="Arial"/>
          <w:sz w:val="22"/>
          <w:szCs w:val="22"/>
        </w:rPr>
        <w:t xml:space="preserve">La enfermedad ocasionada por COVID-19 se posicionó dentro de las principales causas de mortalidad, al representar el 20.2% de las defunciones de residentes habituales en León. Tan sólo, del 1 de enero al 30 de octubre de 2021, en la página oficial del gobierno federal sobre el seguimiento de la pandemia, se registraron 2 mil 161 defunciones por esta causa. </w:t>
      </w:r>
      <w:r w:rsidRPr="00794EB9">
        <w:rPr>
          <w:rFonts w:ascii="Arial" w:hAnsi="Arial" w:cs="Arial"/>
          <w:i/>
          <w:sz w:val="22"/>
          <w:szCs w:val="22"/>
          <w:u w:val="single"/>
        </w:rPr>
        <w:t xml:space="preserve">(Cifras preliminares consultadas el 01 de noviembre de 2021 de </w:t>
      </w:r>
      <w:hyperlink r:id="rId43" w:anchor="DownZCSV" w:history="1">
        <w:r w:rsidRPr="00794EB9">
          <w:rPr>
            <w:rStyle w:val="Hipervnculo"/>
            <w:rFonts w:ascii="Arial" w:hAnsi="Arial" w:cs="Arial"/>
            <w:i/>
            <w:sz w:val="22"/>
            <w:szCs w:val="22"/>
          </w:rPr>
          <w:t>https://datos.covid-19.conacyt.mx/#DownZCSV</w:t>
        </w:r>
      </w:hyperlink>
      <w:r w:rsidRPr="00794EB9">
        <w:rPr>
          <w:rStyle w:val="Hipervnculo"/>
          <w:rFonts w:ascii="Arial" w:hAnsi="Arial" w:cs="Arial"/>
          <w:i/>
          <w:sz w:val="22"/>
          <w:szCs w:val="22"/>
        </w:rPr>
        <w:t>)</w:t>
      </w:r>
    </w:p>
    <w:p w14:paraId="522C9CA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1482949A" w14:textId="77777777" w:rsidR="00794EB9" w:rsidRPr="00794EB9" w:rsidRDefault="00794EB9" w:rsidP="00794EB9">
      <w:pPr>
        <w:pBdr>
          <w:top w:val="nil"/>
          <w:left w:val="nil"/>
          <w:bottom w:val="nil"/>
          <w:right w:val="nil"/>
          <w:between w:val="nil"/>
        </w:pBdr>
        <w:ind w:left="-2"/>
        <w:jc w:val="both"/>
        <w:rPr>
          <w:rFonts w:ascii="Arial" w:hAnsi="Arial" w:cs="Arial"/>
          <w:sz w:val="22"/>
          <w:szCs w:val="22"/>
        </w:rPr>
      </w:pPr>
      <w:r w:rsidRPr="00794EB9">
        <w:rPr>
          <w:rFonts w:ascii="Arial" w:hAnsi="Arial" w:cs="Arial"/>
          <w:sz w:val="22"/>
          <w:szCs w:val="22"/>
        </w:rPr>
        <w:t>Con esta pandemia, la salud mental se ha convertido en un problema grave como consecuencia del distanciamiento social y el incremento de las malas condiciones económicas.</w:t>
      </w:r>
    </w:p>
    <w:p w14:paraId="708B9AEE" w14:textId="77777777" w:rsidR="00794EB9" w:rsidRPr="00794EB9" w:rsidRDefault="00794EB9" w:rsidP="00794EB9">
      <w:pPr>
        <w:pBdr>
          <w:top w:val="nil"/>
          <w:left w:val="nil"/>
          <w:bottom w:val="nil"/>
          <w:right w:val="nil"/>
          <w:between w:val="nil"/>
        </w:pBdr>
        <w:jc w:val="both"/>
        <w:rPr>
          <w:rFonts w:ascii="Arial" w:hAnsi="Arial" w:cs="Arial"/>
          <w:sz w:val="22"/>
          <w:szCs w:val="22"/>
        </w:rPr>
      </w:pPr>
    </w:p>
    <w:p w14:paraId="36C38523" w14:textId="77777777" w:rsidR="00794EB9" w:rsidRPr="00794EB9" w:rsidRDefault="00794EB9" w:rsidP="00794EB9">
      <w:pPr>
        <w:pBdr>
          <w:top w:val="nil"/>
          <w:left w:val="nil"/>
          <w:bottom w:val="nil"/>
          <w:right w:val="nil"/>
          <w:between w:val="nil"/>
        </w:pBdr>
        <w:ind w:hanging="2"/>
        <w:jc w:val="both"/>
        <w:rPr>
          <w:rFonts w:ascii="Arial" w:hAnsi="Arial" w:cs="Arial"/>
          <w:i/>
          <w:sz w:val="22"/>
          <w:szCs w:val="22"/>
        </w:rPr>
      </w:pPr>
      <w:r w:rsidRPr="00794EB9">
        <w:rPr>
          <w:rFonts w:ascii="Arial" w:hAnsi="Arial" w:cs="Arial"/>
          <w:sz w:val="22"/>
          <w:szCs w:val="22"/>
        </w:rPr>
        <w:t>En un estudio reciente realizado en los Polígonos de Desarrollo, se detectó que el 49% de los hogares ha vivido un alto nivel de estrés y ansiedad, el 28.5% experimentó depresión o tristeza profunda, en el 7.5% se incrementó el consumo de alcohol o drogas y en el 41.6% experimentaron aislamiento o soledad. Además, en el 5.8% de los hogares alguien tuvo momentos de crisis mental</w:t>
      </w:r>
      <w:r w:rsidRPr="00794EB9">
        <w:rPr>
          <w:rFonts w:ascii="Arial" w:hAnsi="Arial" w:cs="Arial"/>
          <w:i/>
          <w:sz w:val="22"/>
          <w:szCs w:val="22"/>
        </w:rPr>
        <w:t>.</w:t>
      </w:r>
      <w:r w:rsidRPr="00794EB9">
        <w:rPr>
          <w:rFonts w:ascii="Arial" w:hAnsi="Arial" w:cs="Arial"/>
          <w:i/>
          <w:sz w:val="22"/>
          <w:szCs w:val="22"/>
          <w:vertAlign w:val="superscript"/>
        </w:rPr>
        <w:t xml:space="preserve"> (</w:t>
      </w:r>
      <w:r w:rsidRPr="00794EB9">
        <w:rPr>
          <w:rFonts w:ascii="Arial" w:hAnsi="Arial" w:cs="Arial"/>
          <w:i/>
          <w:sz w:val="22"/>
          <w:szCs w:val="22"/>
          <w:u w:val="single"/>
        </w:rPr>
        <w:t>IMPLAN 2021. Efectos sociales y económicos en los hogares de los Polígonos de Desarrollo durante la pandemia del COVID-19.)</w:t>
      </w:r>
    </w:p>
    <w:p w14:paraId="05D7601E"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328F0E8E"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De acuerdo con el Sistema Nacional de Información en Salud, de enero a octubre de 2021, tan sólo en el Hospital Psiquiátrico de León se atendieron 11 mil 224 casos por adicciones.  </w:t>
      </w:r>
    </w:p>
    <w:p w14:paraId="352E2525" w14:textId="77777777" w:rsidR="00794EB9" w:rsidRPr="00794EB9" w:rsidRDefault="00794EB9" w:rsidP="00794EB9">
      <w:pPr>
        <w:jc w:val="both"/>
        <w:rPr>
          <w:rFonts w:ascii="Arial" w:hAnsi="Arial" w:cs="Arial"/>
          <w:sz w:val="22"/>
          <w:szCs w:val="22"/>
        </w:rPr>
      </w:pPr>
    </w:p>
    <w:p w14:paraId="4653C1D3" w14:textId="77777777" w:rsidR="00794EB9" w:rsidRPr="00794EB9" w:rsidRDefault="00794EB9" w:rsidP="00794EB9">
      <w:pPr>
        <w:pStyle w:val="Textonotapie"/>
        <w:ind w:hanging="2"/>
        <w:jc w:val="both"/>
        <w:rPr>
          <w:rFonts w:ascii="Arial" w:hAnsi="Arial" w:cs="Arial"/>
          <w:i/>
          <w:szCs w:val="22"/>
        </w:rPr>
      </w:pPr>
      <w:r w:rsidRPr="00794EB9">
        <w:rPr>
          <w:rFonts w:ascii="Arial" w:eastAsia="Arial" w:hAnsi="Arial" w:cs="Arial"/>
          <w:szCs w:val="22"/>
        </w:rPr>
        <w:t xml:space="preserve">En Guanajuato, de los casos atendidos en los Centros de Integración Juvenil el 36.3% fue por consumo de cristal, el 24.6% por alucinógenos, el 16.9% por alcohol, el 9.3% por marihuana y el 12.9% restante por crack, cocaína, heroína, inhalables, opio o morfina. </w:t>
      </w:r>
      <w:r w:rsidRPr="00794EB9">
        <w:rPr>
          <w:rFonts w:ascii="Arial" w:eastAsia="Arial" w:hAnsi="Arial" w:cs="Arial"/>
          <w:i/>
          <w:szCs w:val="22"/>
          <w:u w:val="single"/>
        </w:rPr>
        <w:t>(Sistema de vigilancia epidemiológica de las adicciones, SISVEA, 2019)</w:t>
      </w:r>
    </w:p>
    <w:p w14:paraId="163F9D23" w14:textId="77777777" w:rsidR="00794EB9" w:rsidRPr="00794EB9" w:rsidRDefault="00794EB9" w:rsidP="00794EB9">
      <w:pPr>
        <w:pBdr>
          <w:top w:val="nil"/>
          <w:left w:val="nil"/>
          <w:bottom w:val="nil"/>
          <w:right w:val="nil"/>
          <w:between w:val="nil"/>
        </w:pBdr>
        <w:jc w:val="both"/>
        <w:rPr>
          <w:rFonts w:ascii="Arial" w:hAnsi="Arial" w:cs="Arial"/>
          <w:sz w:val="22"/>
          <w:szCs w:val="22"/>
        </w:rPr>
      </w:pPr>
    </w:p>
    <w:p w14:paraId="217C0742"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Por otra parte, el municipio cuenta con un equipamiento de salud pública compuesto por 90 clínicas y hospitales del IMSS, ISSSTE, centros de salud, clínicas y hospitales a cargo de la Secretaría de Salud de Guanajuato; 34 clínicas y hospitales particulares, además de cinco centros para la atención de adicciones de carácter público.  </w:t>
      </w:r>
    </w:p>
    <w:p w14:paraId="2E2F23A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1778BBE"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Con respecto a los recursos médicos del equipamiento de salud, se estima que en León hay un consultorio, 2.1 médicos y 3.0 enfermeras(os) por cada mil habitantes.</w:t>
      </w:r>
    </w:p>
    <w:p w14:paraId="4238DC34"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1A648B1D"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En relación a los servicios de salud, de acuerdo con datos oficiales del Censo de Población y Vivienda 2020, el 77.5 por ciento de la población de León contaba con afiliación a dichos servicios, lo que representa un total de 1 millón 333 mil 176 personas.</w:t>
      </w:r>
    </w:p>
    <w:p w14:paraId="1E39914F"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18838E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01FBA80D"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E6A9BB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noProof/>
          <w:sz w:val="22"/>
          <w:szCs w:val="22"/>
          <w:lang w:val="es-MX" w:eastAsia="es-MX"/>
        </w:rPr>
        <w:drawing>
          <wp:inline distT="0" distB="0" distL="0" distR="0" wp14:anchorId="60405F90" wp14:editId="209EF919">
            <wp:extent cx="5856514" cy="4522597"/>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18.png"/>
                    <pic:cNvPicPr/>
                  </pic:nvPicPr>
                  <pic:blipFill>
                    <a:blip r:embed="rId44" cstate="print">
                      <a:extLst>
                        <a:ext uri="{BEBA8EAE-BF5A-486C-A8C5-ECC9F3942E4B}">
                          <a14:imgProps xmlns:a14="http://schemas.microsoft.com/office/drawing/2010/main">
                            <a14:imgLayer r:embed="rId4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866107" cy="4530005"/>
                    </a:xfrm>
                    <a:prstGeom prst="rect">
                      <a:avLst/>
                    </a:prstGeom>
                  </pic:spPr>
                </pic:pic>
              </a:graphicData>
            </a:graphic>
          </wp:inline>
        </w:drawing>
      </w:r>
    </w:p>
    <w:p w14:paraId="4AE3AC25"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1B4FE5EE"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Cultura y patrimonio </w:t>
      </w:r>
    </w:p>
    <w:p w14:paraId="633490CF"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72A43BA0" w14:textId="77777777" w:rsidR="00794EB9" w:rsidRPr="00794EB9" w:rsidRDefault="00794EB9" w:rsidP="00794EB9">
      <w:pPr>
        <w:pBdr>
          <w:top w:val="nil"/>
          <w:left w:val="nil"/>
          <w:bottom w:val="nil"/>
          <w:right w:val="nil"/>
          <w:between w:val="nil"/>
        </w:pBdr>
        <w:jc w:val="both"/>
        <w:rPr>
          <w:rFonts w:ascii="Arial" w:hAnsi="Arial" w:cs="Arial"/>
          <w:i/>
          <w:sz w:val="22"/>
          <w:szCs w:val="22"/>
        </w:rPr>
      </w:pPr>
      <w:r w:rsidRPr="00794EB9">
        <w:rPr>
          <w:rFonts w:ascii="Arial" w:hAnsi="Arial" w:cs="Arial"/>
          <w:sz w:val="22"/>
          <w:szCs w:val="22"/>
        </w:rPr>
        <w:t>Parte fundamental de este patrimonio tangible municipal está compuesto por las zonas del Centro Histórico, Barrio Arriba, El Coecillo, La Conquista, Los Héroes, Santuario de Guadalupe, San Miguel, San Juan de Dios y Parque Hidalgo. De las zonas mencionadas, destaca el Centro Histórico, con la traza urbana fundacional de León, el cual corresponde a 24 manzanas con un área aproximada de 36 hectáreas.</w:t>
      </w:r>
      <w:r w:rsidRPr="00794EB9">
        <w:rPr>
          <w:rFonts w:ascii="Arial" w:eastAsia="Calibri" w:hAnsi="Arial" w:cs="Arial"/>
          <w:sz w:val="22"/>
          <w:szCs w:val="22"/>
        </w:rPr>
        <w:t xml:space="preserve"> En </w:t>
      </w:r>
      <w:r w:rsidRPr="00794EB9">
        <w:rPr>
          <w:rFonts w:ascii="Arial" w:hAnsi="Arial" w:cs="Arial"/>
          <w:sz w:val="22"/>
          <w:szCs w:val="22"/>
        </w:rPr>
        <w:t xml:space="preserve">cuanto al área rural, existen 43 comunidades con elementos arquitectónicos a proteger. </w:t>
      </w:r>
      <w:r w:rsidRPr="00794EB9">
        <w:rPr>
          <w:rFonts w:ascii="Arial" w:hAnsi="Arial" w:cs="Arial"/>
          <w:i/>
          <w:sz w:val="22"/>
          <w:szCs w:val="22"/>
          <w:u w:val="single"/>
        </w:rPr>
        <w:t>(Reglamento para la Protección, Mejoramiento y Conservación de la Imagen Urbana y del Patrimonio Cultural del municipio de León.)</w:t>
      </w:r>
      <w:r w:rsidRPr="00794EB9">
        <w:rPr>
          <w:rFonts w:ascii="Arial" w:hAnsi="Arial" w:cs="Arial"/>
          <w:i/>
          <w:sz w:val="22"/>
          <w:szCs w:val="22"/>
        </w:rPr>
        <w:t xml:space="preserve"> </w:t>
      </w:r>
    </w:p>
    <w:p w14:paraId="21904E95" w14:textId="77777777" w:rsidR="00794EB9" w:rsidRPr="00794EB9" w:rsidRDefault="00794EB9" w:rsidP="00794EB9">
      <w:pPr>
        <w:pBdr>
          <w:top w:val="nil"/>
          <w:left w:val="nil"/>
          <w:bottom w:val="nil"/>
          <w:right w:val="nil"/>
          <w:between w:val="nil"/>
        </w:pBdr>
        <w:ind w:left="2" w:hanging="2"/>
        <w:jc w:val="both"/>
        <w:rPr>
          <w:rFonts w:ascii="Arial" w:hAnsi="Arial" w:cs="Arial"/>
          <w:sz w:val="22"/>
          <w:szCs w:val="22"/>
        </w:rPr>
      </w:pPr>
    </w:p>
    <w:p w14:paraId="38235B82" w14:textId="77777777" w:rsidR="00794EB9" w:rsidRPr="00794EB9" w:rsidRDefault="00794EB9" w:rsidP="00794EB9">
      <w:pPr>
        <w:ind w:left="2" w:hanging="2"/>
        <w:jc w:val="both"/>
        <w:rPr>
          <w:rFonts w:ascii="Arial" w:hAnsi="Arial" w:cs="Arial"/>
          <w:sz w:val="22"/>
          <w:szCs w:val="22"/>
        </w:rPr>
      </w:pPr>
      <w:r w:rsidRPr="00794EB9">
        <w:rPr>
          <w:rFonts w:ascii="Arial" w:hAnsi="Arial" w:cs="Arial"/>
          <w:sz w:val="22"/>
          <w:szCs w:val="22"/>
        </w:rPr>
        <w:t>El patrimonio intangible de León se compone de fiestas y tradiciones como de la fundación de León, la fiesta de la Virgen de la Luz y el Combate de Flores</w:t>
      </w:r>
      <w:r w:rsidRPr="00794EB9">
        <w:rPr>
          <w:rFonts w:ascii="Arial" w:hAnsi="Arial" w:cs="Arial"/>
          <w:i/>
          <w:sz w:val="22"/>
          <w:szCs w:val="22"/>
          <w:vertAlign w:val="superscript"/>
        </w:rPr>
        <w:t xml:space="preserve"> (</w:t>
      </w:r>
      <w:r w:rsidRPr="00794EB9">
        <w:rPr>
          <w:rFonts w:ascii="Arial" w:hAnsi="Arial" w:cs="Arial"/>
          <w:i/>
          <w:sz w:val="22"/>
          <w:szCs w:val="22"/>
          <w:u w:val="single"/>
        </w:rPr>
        <w:t>Sistema de Información Cultural, Gobierno de México)</w:t>
      </w:r>
      <w:r w:rsidRPr="00794EB9">
        <w:rPr>
          <w:rFonts w:ascii="Arial" w:hAnsi="Arial" w:cs="Arial"/>
          <w:sz w:val="22"/>
          <w:szCs w:val="22"/>
        </w:rPr>
        <w:t xml:space="preserve">, principalmente, además de la celebración del Día de Muertos con su respectivo festival que se realiza anualmente. </w:t>
      </w:r>
    </w:p>
    <w:p w14:paraId="3F7A589A" w14:textId="77777777" w:rsidR="00794EB9" w:rsidRPr="00794EB9" w:rsidRDefault="00794EB9" w:rsidP="00794EB9">
      <w:pPr>
        <w:ind w:left="2" w:hanging="2"/>
        <w:jc w:val="both"/>
        <w:rPr>
          <w:rFonts w:ascii="Arial" w:hAnsi="Arial" w:cs="Arial"/>
          <w:sz w:val="22"/>
          <w:szCs w:val="22"/>
        </w:rPr>
      </w:pPr>
    </w:p>
    <w:p w14:paraId="53A5E5A2" w14:textId="77777777" w:rsidR="00794EB9" w:rsidRPr="00794EB9" w:rsidRDefault="00794EB9" w:rsidP="00794EB9">
      <w:pPr>
        <w:ind w:hanging="2"/>
        <w:jc w:val="both"/>
        <w:rPr>
          <w:rFonts w:ascii="Arial" w:hAnsi="Arial" w:cs="Arial"/>
          <w:i/>
          <w:sz w:val="22"/>
          <w:szCs w:val="22"/>
          <w:u w:val="single"/>
          <w:lang w:eastAsia="es-MX"/>
        </w:rPr>
      </w:pPr>
      <w:r w:rsidRPr="00794EB9">
        <w:rPr>
          <w:rFonts w:ascii="Arial" w:hAnsi="Arial" w:cs="Arial"/>
          <w:sz w:val="22"/>
          <w:szCs w:val="22"/>
        </w:rPr>
        <w:t xml:space="preserve">Sobre los recintos culturales, destacan las Casas de la Cultura Diego Rivera y Efrén Hernández, las Escuelas de Música y de Artes Plásticas, las Galerías Jesús Gallardo y Eloísa Jiménez, la Plaza de Gallos, los Museos de la Ciudad y de las Identidades Leonesas, </w:t>
      </w:r>
      <w:r w:rsidRPr="00794EB9">
        <w:rPr>
          <w:rFonts w:ascii="Arial" w:hAnsi="Arial" w:cs="Arial"/>
          <w:sz w:val="22"/>
          <w:szCs w:val="22"/>
        </w:rPr>
        <w:lastRenderedPageBreak/>
        <w:t xml:space="preserve">los Teatros María Grever y Manuel Doblado y el Fórum Cultural Guanajuato. </w:t>
      </w:r>
      <w:r w:rsidRPr="00794EB9">
        <w:rPr>
          <w:rFonts w:ascii="Arial" w:hAnsi="Arial" w:cs="Arial"/>
          <w:i/>
          <w:sz w:val="22"/>
          <w:szCs w:val="22"/>
          <w:u w:val="single"/>
          <w:lang w:eastAsia="es-MX"/>
        </w:rPr>
        <w:t>(Incluye el Teatro del Bicentenario Roberto Plasencia Saldaña, la Biblioteca Central Estatal Wigberto Jiménez Moreno, el Museo de Arte e Historia de Guanajuato, la Sala de Conciertos Mateo Herrera, la Calzada de las Artes y la Sede Fórum Cultural de la Universidad de Guanajuato.)</w:t>
      </w:r>
    </w:p>
    <w:p w14:paraId="1E6761F4" w14:textId="77777777" w:rsidR="00794EB9" w:rsidRPr="00794EB9" w:rsidRDefault="00794EB9" w:rsidP="00794EB9">
      <w:pPr>
        <w:ind w:left="2" w:hanging="2"/>
        <w:jc w:val="both"/>
        <w:rPr>
          <w:rFonts w:ascii="Arial" w:hAnsi="Arial" w:cs="Arial"/>
          <w:sz w:val="22"/>
          <w:szCs w:val="22"/>
        </w:rPr>
      </w:pPr>
      <w:r w:rsidRPr="00794EB9">
        <w:rPr>
          <w:rFonts w:ascii="Arial" w:hAnsi="Arial" w:cs="Arial"/>
          <w:sz w:val="22"/>
          <w:szCs w:val="22"/>
        </w:rPr>
        <w:t xml:space="preserve"> </w:t>
      </w:r>
    </w:p>
    <w:p w14:paraId="7F2588E8" w14:textId="77777777" w:rsidR="00794EB9" w:rsidRPr="00794EB9" w:rsidRDefault="00794EB9" w:rsidP="00794EB9">
      <w:pPr>
        <w:ind w:left="2" w:hanging="2"/>
        <w:jc w:val="both"/>
        <w:rPr>
          <w:rFonts w:ascii="Arial" w:hAnsi="Arial" w:cs="Arial"/>
          <w:sz w:val="22"/>
          <w:szCs w:val="22"/>
        </w:rPr>
      </w:pPr>
      <w:r w:rsidRPr="00794EB9">
        <w:rPr>
          <w:rFonts w:ascii="Arial" w:hAnsi="Arial" w:cs="Arial"/>
          <w:sz w:val="22"/>
          <w:szCs w:val="22"/>
        </w:rPr>
        <w:t xml:space="preserve">Además de actividades en recintos, el Instituto Cultural de León organiza dinámicas culturales comunitarias en distintas colonias y fuera del área urbana consolidada, pese a la ausencia de equipamiento. </w:t>
      </w:r>
    </w:p>
    <w:p w14:paraId="5E02201E" w14:textId="77777777" w:rsidR="00794EB9" w:rsidRPr="00794EB9" w:rsidRDefault="00794EB9" w:rsidP="00794EB9">
      <w:pPr>
        <w:ind w:left="2" w:hanging="2"/>
        <w:jc w:val="both"/>
        <w:rPr>
          <w:rFonts w:ascii="Arial" w:hAnsi="Arial" w:cs="Arial"/>
          <w:sz w:val="22"/>
          <w:szCs w:val="22"/>
        </w:rPr>
      </w:pPr>
    </w:p>
    <w:p w14:paraId="12971836" w14:textId="77777777" w:rsidR="00794EB9" w:rsidRPr="00794EB9" w:rsidRDefault="00794EB9" w:rsidP="00794EB9">
      <w:pPr>
        <w:ind w:left="2" w:hanging="2"/>
        <w:jc w:val="both"/>
        <w:rPr>
          <w:rFonts w:ascii="Arial" w:hAnsi="Arial" w:cs="Arial"/>
          <w:sz w:val="22"/>
          <w:szCs w:val="22"/>
        </w:rPr>
      </w:pPr>
      <w:r w:rsidRPr="00794EB9">
        <w:rPr>
          <w:rFonts w:ascii="Arial" w:hAnsi="Arial" w:cs="Arial"/>
          <w:sz w:val="22"/>
          <w:szCs w:val="22"/>
        </w:rPr>
        <w:t>En cuanto a la difusión de la cultura, en León se realizan eventos de importancia regional, nacional e internacional tales como la Bienal de Arte Contemporáneo de León, el Congreso de Educación Artística para el Desarrollo Humano, la Feria Estatal de León, la Feria Nacional del Libro, el Festival Internacional del Globo, el Festival Internacional Cervantino, entre otros.</w:t>
      </w:r>
    </w:p>
    <w:p w14:paraId="49888604" w14:textId="77777777" w:rsidR="00794EB9" w:rsidRPr="00794EB9" w:rsidRDefault="00794EB9" w:rsidP="00794EB9">
      <w:pPr>
        <w:ind w:left="2" w:hanging="2"/>
        <w:jc w:val="both"/>
        <w:rPr>
          <w:rFonts w:ascii="Arial" w:hAnsi="Arial" w:cs="Arial"/>
          <w:sz w:val="22"/>
          <w:szCs w:val="22"/>
        </w:rPr>
      </w:pPr>
    </w:p>
    <w:p w14:paraId="158A1C5A" w14:textId="77777777" w:rsidR="00794EB9" w:rsidRPr="00794EB9" w:rsidRDefault="00794EB9" w:rsidP="00794EB9">
      <w:pPr>
        <w:ind w:left="2" w:hanging="2"/>
        <w:jc w:val="both"/>
        <w:rPr>
          <w:rFonts w:ascii="Arial" w:hAnsi="Arial" w:cs="Arial"/>
          <w:sz w:val="22"/>
          <w:szCs w:val="22"/>
        </w:rPr>
      </w:pPr>
      <w:r w:rsidRPr="00794EB9">
        <w:rPr>
          <w:rFonts w:ascii="Arial" w:hAnsi="Arial" w:cs="Arial"/>
          <w:sz w:val="22"/>
          <w:szCs w:val="22"/>
        </w:rPr>
        <w:t>Gran parte de estos eventos han cambiado su programación y su modalidad a causa de la pandemia de COVID-19, transitando hacia la realización de dinámicas virtuales, semipresenciales y presenciales con aforos controlados.</w:t>
      </w:r>
    </w:p>
    <w:p w14:paraId="6E6E5473" w14:textId="77777777" w:rsidR="00794EB9" w:rsidRPr="00794EB9" w:rsidRDefault="00794EB9" w:rsidP="00794EB9">
      <w:pPr>
        <w:ind w:left="2" w:hanging="2"/>
        <w:jc w:val="both"/>
        <w:rPr>
          <w:rFonts w:ascii="Arial" w:hAnsi="Arial" w:cs="Arial"/>
          <w:sz w:val="22"/>
          <w:szCs w:val="22"/>
        </w:rPr>
      </w:pPr>
    </w:p>
    <w:p w14:paraId="19AAC2FB" w14:textId="77777777" w:rsidR="00794EB9" w:rsidRPr="00794EB9" w:rsidRDefault="00794EB9" w:rsidP="00794EB9">
      <w:pPr>
        <w:ind w:left="2" w:hanging="2"/>
        <w:jc w:val="both"/>
        <w:rPr>
          <w:rFonts w:ascii="Arial" w:hAnsi="Arial" w:cs="Arial"/>
          <w:sz w:val="22"/>
          <w:szCs w:val="22"/>
        </w:rPr>
      </w:pPr>
      <w:r w:rsidRPr="00794EB9">
        <w:rPr>
          <w:rFonts w:ascii="Arial" w:hAnsi="Arial" w:cs="Arial"/>
          <w:sz w:val="22"/>
          <w:szCs w:val="22"/>
        </w:rPr>
        <w:t xml:space="preserve">Los eventos virtuales permitieron un mayor alcance en la difusión de las actividades, la edición 23º del Festival Internacional de Arte Contemporáneo (2020) registró 6 mil 164 visitas en la página web y 46 mil 247 personas en redes sociales. Sobre eventos híbridos, destaca la realización de 348 eventos artísticos, incluyendo 28 actividades asociadas al cine y 39 acciones de arte contemporáneo (octubre 2020 a septiembre de 2021). </w:t>
      </w:r>
    </w:p>
    <w:p w14:paraId="4706CCC2" w14:textId="77777777" w:rsidR="00794EB9" w:rsidRPr="00794EB9" w:rsidRDefault="00794EB9" w:rsidP="00794EB9">
      <w:pPr>
        <w:ind w:left="2" w:hanging="2"/>
        <w:jc w:val="both"/>
        <w:rPr>
          <w:rFonts w:ascii="Arial" w:hAnsi="Arial" w:cs="Arial"/>
          <w:sz w:val="22"/>
          <w:szCs w:val="22"/>
        </w:rPr>
      </w:pPr>
    </w:p>
    <w:p w14:paraId="6AEA0371" w14:textId="77777777" w:rsidR="00794EB9" w:rsidRPr="00794EB9" w:rsidRDefault="00794EB9" w:rsidP="00794EB9">
      <w:pPr>
        <w:ind w:left="2" w:hanging="2"/>
        <w:jc w:val="both"/>
        <w:rPr>
          <w:rFonts w:ascii="Arial" w:hAnsi="Arial" w:cs="Arial"/>
          <w:sz w:val="22"/>
          <w:szCs w:val="22"/>
        </w:rPr>
      </w:pPr>
      <w:r w:rsidRPr="00794EB9">
        <w:rPr>
          <w:rFonts w:ascii="Arial" w:hAnsi="Arial" w:cs="Arial"/>
          <w:sz w:val="22"/>
          <w:szCs w:val="22"/>
        </w:rPr>
        <w:t>En tanto las actividades con aforos controlados, en lo que va de 2021, tras la reapertura del Museo de las Identidades Leonesas, tres exposiciones temporales recibieron 1 mil 786 visitantes.</w:t>
      </w:r>
    </w:p>
    <w:p w14:paraId="2E930581" w14:textId="77777777" w:rsidR="00794EB9" w:rsidRPr="00794EB9" w:rsidRDefault="00794EB9" w:rsidP="00794EB9">
      <w:pPr>
        <w:ind w:left="2" w:hanging="2"/>
        <w:jc w:val="both"/>
        <w:rPr>
          <w:rFonts w:ascii="Arial" w:hAnsi="Arial" w:cs="Arial"/>
          <w:sz w:val="22"/>
          <w:szCs w:val="22"/>
        </w:rPr>
      </w:pPr>
    </w:p>
    <w:p w14:paraId="5946FEA7" w14:textId="77777777" w:rsidR="00794EB9" w:rsidRPr="00794EB9" w:rsidRDefault="00794EB9" w:rsidP="00794EB9">
      <w:pPr>
        <w:pBdr>
          <w:top w:val="nil"/>
          <w:left w:val="nil"/>
          <w:bottom w:val="nil"/>
          <w:right w:val="nil"/>
          <w:between w:val="nil"/>
        </w:pBdr>
        <w:ind w:left="2" w:hanging="2"/>
        <w:jc w:val="both"/>
        <w:rPr>
          <w:rFonts w:ascii="Arial" w:hAnsi="Arial" w:cs="Arial"/>
          <w:sz w:val="22"/>
          <w:szCs w:val="22"/>
        </w:rPr>
      </w:pPr>
      <w:r w:rsidRPr="00794EB9">
        <w:rPr>
          <w:rFonts w:ascii="Arial" w:hAnsi="Arial" w:cs="Arial"/>
          <w:sz w:val="22"/>
          <w:szCs w:val="22"/>
        </w:rPr>
        <w:t>En suma, tanto el patrimonio tangible e intangible como las actividades culturales que se realizan en un municipio, son elementos que coadyuvan con la construcción de una cohesión social y un sentido de pertenencia e identidad entre sus habitantes, sin embargo, de acuerdo con los resultados obtenidos en la iniciativa Escucha Ciudadana, sólo el 37.5% manifestó sentirse orgulloso de la ciudad y sus habitantes.</w:t>
      </w:r>
    </w:p>
    <w:p w14:paraId="13A42FE0" w14:textId="77777777" w:rsidR="00794EB9" w:rsidRPr="00794EB9" w:rsidRDefault="00794EB9" w:rsidP="00794EB9">
      <w:pPr>
        <w:ind w:hanging="2"/>
        <w:rPr>
          <w:rFonts w:ascii="Arial" w:hAnsi="Arial" w:cs="Arial"/>
          <w:sz w:val="22"/>
          <w:szCs w:val="22"/>
        </w:rPr>
      </w:pPr>
      <w:r w:rsidRPr="00794EB9">
        <w:rPr>
          <w:rFonts w:ascii="Arial" w:hAnsi="Arial" w:cs="Arial"/>
          <w:noProof/>
          <w:sz w:val="22"/>
          <w:szCs w:val="22"/>
          <w:lang w:val="es-MX" w:eastAsia="es-MX"/>
        </w:rPr>
        <w:lastRenderedPageBreak/>
        <w:drawing>
          <wp:inline distT="0" distB="0" distL="0" distR="0" wp14:anchorId="0DC6E922" wp14:editId="22EA87E8">
            <wp:extent cx="5823857" cy="4951134"/>
            <wp:effectExtent l="0" t="0" r="5715"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BEBA8EAE-BF5A-486C-A8C5-ECC9F3942E4B}">
                          <a14:imgProps xmlns:a14="http://schemas.microsoft.com/office/drawing/2010/main">
                            <a14:imgLayer r:embed="rId4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835053" cy="4960652"/>
                    </a:xfrm>
                    <a:prstGeom prst="rect">
                      <a:avLst/>
                    </a:prstGeom>
                    <a:noFill/>
                  </pic:spPr>
                </pic:pic>
              </a:graphicData>
            </a:graphic>
          </wp:inline>
        </w:drawing>
      </w:r>
    </w:p>
    <w:p w14:paraId="1CCD6ABC" w14:textId="77777777" w:rsidR="00794EB9" w:rsidRPr="00794EB9" w:rsidRDefault="00794EB9" w:rsidP="00794EB9">
      <w:pPr>
        <w:pStyle w:val="PMDTtulo2"/>
        <w:ind w:left="0" w:hanging="2"/>
        <w:rPr>
          <w:rFonts w:ascii="Arial" w:hAnsi="Arial"/>
          <w:color w:val="auto"/>
          <w:sz w:val="22"/>
          <w:szCs w:val="22"/>
        </w:rPr>
      </w:pPr>
    </w:p>
    <w:p w14:paraId="0F847748"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Los habitantes de la zona rural de León</w:t>
      </w:r>
    </w:p>
    <w:p w14:paraId="67E0B57C" w14:textId="77777777" w:rsidR="00794EB9" w:rsidRPr="00794EB9" w:rsidRDefault="00794EB9" w:rsidP="00794EB9">
      <w:pPr>
        <w:pBdr>
          <w:top w:val="nil"/>
          <w:left w:val="nil"/>
          <w:bottom w:val="nil"/>
          <w:right w:val="nil"/>
          <w:between w:val="nil"/>
        </w:pBdr>
        <w:ind w:hanging="2"/>
        <w:jc w:val="both"/>
        <w:rPr>
          <w:rFonts w:ascii="Arial" w:hAnsi="Arial" w:cs="Arial"/>
          <w:b/>
          <w:sz w:val="22"/>
          <w:szCs w:val="22"/>
        </w:rPr>
      </w:pPr>
    </w:p>
    <w:p w14:paraId="329F35F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La zona rural de León tiene una población de 127 mil 613 habitantes (7.4% del total del municipio) que viven en 653 localidades dispersas en aproximadamente dos terceras partes del territorio, distribuidas de la siguiente manera:  </w:t>
      </w:r>
    </w:p>
    <w:p w14:paraId="20E5BEAA" w14:textId="77777777" w:rsidR="00794EB9" w:rsidRPr="00794EB9" w:rsidRDefault="00794EB9" w:rsidP="00794EB9">
      <w:pPr>
        <w:ind w:hanging="2"/>
        <w:jc w:val="both"/>
        <w:rPr>
          <w:rFonts w:ascii="Arial" w:hAnsi="Arial" w:cs="Arial"/>
          <w:sz w:val="22"/>
          <w:szCs w:val="22"/>
        </w:rPr>
      </w:pPr>
    </w:p>
    <w:p w14:paraId="28D03E4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Al norte del municipio se ubican 139 localidades con una población de 9 mil 410 habitantes, mientras que en la zona central se encuentran 234 localidades en las que residen 56 mil 210 habitantes y en la zona sur se localiza se concentran 280 localidades en donde viven 61 mil 993 habitantes.</w:t>
      </w:r>
    </w:p>
    <w:p w14:paraId="57F0E375" w14:textId="77777777" w:rsidR="00794EB9" w:rsidRPr="00794EB9" w:rsidRDefault="00794EB9" w:rsidP="00794EB9">
      <w:pPr>
        <w:ind w:hanging="2"/>
        <w:jc w:val="both"/>
        <w:rPr>
          <w:rFonts w:ascii="Arial" w:hAnsi="Arial" w:cs="Arial"/>
          <w:sz w:val="22"/>
          <w:szCs w:val="22"/>
        </w:rPr>
      </w:pPr>
    </w:p>
    <w:p w14:paraId="4F52E0E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Las condiciones de habitabilidad en estas zonas dependen de las características fisiográficas, de la ubicación y de los servicios disponibles para la vivienda.</w:t>
      </w:r>
    </w:p>
    <w:p w14:paraId="398B2994" w14:textId="77777777" w:rsidR="00794EB9" w:rsidRPr="00794EB9" w:rsidRDefault="00794EB9" w:rsidP="00794EB9">
      <w:pPr>
        <w:ind w:hanging="2"/>
        <w:jc w:val="both"/>
        <w:rPr>
          <w:rFonts w:ascii="Arial" w:hAnsi="Arial" w:cs="Arial"/>
          <w:sz w:val="22"/>
          <w:szCs w:val="22"/>
        </w:rPr>
      </w:pPr>
    </w:p>
    <w:p w14:paraId="2AC6F1ED" w14:textId="77777777" w:rsidR="00794EB9" w:rsidRPr="00794EB9" w:rsidRDefault="00794EB9" w:rsidP="00794EB9">
      <w:pPr>
        <w:pBdr>
          <w:top w:val="nil"/>
          <w:left w:val="nil"/>
          <w:bottom w:val="nil"/>
          <w:right w:val="nil"/>
          <w:between w:val="nil"/>
        </w:pBdr>
        <w:ind w:hanging="2"/>
        <w:jc w:val="both"/>
        <w:rPr>
          <w:rFonts w:ascii="Arial" w:hAnsi="Arial" w:cs="Arial"/>
          <w:i/>
          <w:sz w:val="22"/>
          <w:szCs w:val="22"/>
        </w:rPr>
      </w:pPr>
      <w:r w:rsidRPr="00794EB9">
        <w:rPr>
          <w:rFonts w:ascii="Arial" w:hAnsi="Arial" w:cs="Arial"/>
          <w:sz w:val="22"/>
          <w:szCs w:val="22"/>
        </w:rPr>
        <w:t xml:space="preserve">La ubicación de las localidades rurales, así como las condiciones de su entorno y de la infraestructura para la conectividad y la movilidad, determinan las características del desplazamiento de las personas y de los productos agropecuarios, de 569 localidades del municipio donde se calculó la accesibilidad a carretera pavimentada </w:t>
      </w:r>
      <w:r w:rsidRPr="00794EB9">
        <w:rPr>
          <w:rFonts w:ascii="Arial" w:hAnsi="Arial" w:cs="Arial"/>
          <w:i/>
          <w:sz w:val="22"/>
          <w:szCs w:val="22"/>
          <w:u w:val="single"/>
        </w:rPr>
        <w:t>(CONEVAL, 2020)</w:t>
      </w:r>
      <w:r w:rsidRPr="00794EB9">
        <w:rPr>
          <w:rFonts w:ascii="Arial" w:hAnsi="Arial" w:cs="Arial"/>
          <w:sz w:val="22"/>
          <w:szCs w:val="22"/>
        </w:rPr>
        <w:t xml:space="preserve"> 138 localidades están clasificadas con un grado de accesibilidad “bajo”. </w:t>
      </w:r>
      <w:r w:rsidRPr="00794EB9">
        <w:rPr>
          <w:rFonts w:ascii="Arial" w:hAnsi="Arial" w:cs="Arial"/>
          <w:i/>
          <w:sz w:val="22"/>
          <w:szCs w:val="22"/>
          <w:u w:val="single"/>
        </w:rPr>
        <w:t xml:space="preserve">(Para calcular el grado </w:t>
      </w:r>
      <w:r w:rsidRPr="00794EB9">
        <w:rPr>
          <w:rFonts w:ascii="Arial" w:hAnsi="Arial" w:cs="Arial"/>
          <w:i/>
          <w:sz w:val="22"/>
          <w:szCs w:val="22"/>
          <w:u w:val="single"/>
        </w:rPr>
        <w:lastRenderedPageBreak/>
        <w:t>de accesibilidad a carretera pavimentada, CONEVAL considera la ubicación de las localidades, las condiciones de relieve, el traslado a centros de servicios y la disponibilidad y traslado en transporte público.)</w:t>
      </w:r>
    </w:p>
    <w:p w14:paraId="2D3BDECD"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CDF1FCF"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Por otro lado, en la zona rural existen 33 mil 653 viviendas particulares, de las cuales el 83.5% se encuentran habitadas, el 11.2% deshabitadas y 5.3% se clasifican como de uso temporal. De acuerdo con estas cifras, el fenómeno de la vivienda deshabitada también se presenta en la zona rural, en menor medida, ya que en promedio una de cada 10 viviendas se encuentra deshabitada.</w:t>
      </w:r>
    </w:p>
    <w:p w14:paraId="46D43106" w14:textId="77777777" w:rsidR="00794EB9" w:rsidRPr="00794EB9" w:rsidRDefault="00794EB9" w:rsidP="00794EB9">
      <w:pPr>
        <w:tabs>
          <w:tab w:val="left" w:pos="2982"/>
        </w:tabs>
        <w:ind w:hanging="2"/>
        <w:jc w:val="both"/>
        <w:rPr>
          <w:rFonts w:ascii="Arial" w:hAnsi="Arial" w:cs="Arial"/>
          <w:sz w:val="22"/>
          <w:szCs w:val="22"/>
        </w:rPr>
      </w:pPr>
      <w:r w:rsidRPr="00794EB9">
        <w:rPr>
          <w:rFonts w:ascii="Arial" w:hAnsi="Arial" w:cs="Arial"/>
          <w:sz w:val="22"/>
          <w:szCs w:val="22"/>
        </w:rPr>
        <w:tab/>
      </w:r>
    </w:p>
    <w:p w14:paraId="5569918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Algunas viviendas de la zona rural carecen de redes de infraestructura para la prestación de servicios como agua potable, drenaje y, en menor medida, energía eléctrica. Del total de las viviendas particulares habitadas, el 11.4% no dispone de agua entubada, mientras que poco menos del 5% no dispone de drenaje, excusado o sanitario. Por otro lado, sólo 1.2% de las viviendas no cuenta con energía eléctrica.</w:t>
      </w:r>
    </w:p>
    <w:p w14:paraId="4E0042BA"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7B0CC83C"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Por las condiciones del territorio, las viviendas ubicadas en la zona norte presentan las mayores carencias de servicios básicos.</w:t>
      </w:r>
    </w:p>
    <w:p w14:paraId="346AB0DD" w14:textId="77777777" w:rsidR="00794EB9" w:rsidRPr="00794EB9" w:rsidRDefault="00794EB9" w:rsidP="00794EB9">
      <w:pPr>
        <w:ind w:hanging="2"/>
        <w:jc w:val="both"/>
        <w:rPr>
          <w:rFonts w:ascii="Arial" w:hAnsi="Arial" w:cs="Arial"/>
          <w:sz w:val="22"/>
          <w:szCs w:val="22"/>
        </w:rPr>
      </w:pPr>
    </w:p>
    <w:p w14:paraId="7C0FECEB" w14:textId="77777777" w:rsidR="00794EB9" w:rsidRPr="00794EB9" w:rsidRDefault="00794EB9" w:rsidP="00794EB9">
      <w:pPr>
        <w:pStyle w:val="Textonotapie"/>
        <w:ind w:hanging="2"/>
        <w:jc w:val="both"/>
        <w:rPr>
          <w:rFonts w:ascii="Arial" w:eastAsia="Arial" w:hAnsi="Arial" w:cs="Arial"/>
          <w:i/>
          <w:szCs w:val="22"/>
          <w:u w:val="single"/>
          <w:lang w:eastAsia="es-MX"/>
        </w:rPr>
      </w:pPr>
      <w:r w:rsidRPr="00794EB9">
        <w:rPr>
          <w:rFonts w:ascii="Arial" w:eastAsia="Arial" w:hAnsi="Arial" w:cs="Arial"/>
          <w:szCs w:val="22"/>
        </w:rPr>
        <w:t>De acuerdo con sus características sociales sobre rezago educativo, acceso a servicios de salud, calidad, espacios y servicios básicos de las viviendas, además de la disponibilidad de determinados bienes del hogar, se estima que existen 22 localidades rurales que tienen un grado de rezago social “alto” o “muy alto”.</w:t>
      </w:r>
      <w:r w:rsidRPr="00794EB9">
        <w:rPr>
          <w:rFonts w:ascii="Arial" w:hAnsi="Arial" w:cs="Arial"/>
          <w:szCs w:val="22"/>
        </w:rPr>
        <w:t xml:space="preserve"> </w:t>
      </w:r>
      <w:r w:rsidRPr="00794EB9">
        <w:rPr>
          <w:rFonts w:ascii="Arial" w:eastAsia="Arial" w:hAnsi="Arial" w:cs="Arial"/>
          <w:i/>
          <w:szCs w:val="22"/>
          <w:u w:val="single"/>
          <w:lang w:eastAsia="es-MX"/>
        </w:rPr>
        <w:t>(El grado de rezago social calculado por CONEVAL (2020), considera once variables: población de 15 años o más analfabeta; población de 6 a 14 años que no asiste a la escuela; población de 15 años y más con educación básica incompleta; población sin derechohabiencia a servicios de salud; viviendas con piso de tierra; viviendas que no disponen de excusado o sanitario; viviendas que no disponen de agua entubada de la red pública; viviendas que no disponen de drenaje; viviendas que no disponen de energía eléctrica; viviendas que no disponen de lavadora y; viviendas que no disponen de refrigerador.)</w:t>
      </w:r>
    </w:p>
    <w:p w14:paraId="0A00DD06" w14:textId="77777777" w:rsidR="00794EB9" w:rsidRPr="00794EB9" w:rsidRDefault="00794EB9" w:rsidP="00794EB9">
      <w:pPr>
        <w:pBdr>
          <w:top w:val="nil"/>
          <w:left w:val="nil"/>
          <w:bottom w:val="nil"/>
          <w:right w:val="nil"/>
          <w:between w:val="nil"/>
        </w:pBdr>
        <w:jc w:val="both"/>
        <w:rPr>
          <w:rFonts w:ascii="Arial" w:hAnsi="Arial" w:cs="Arial"/>
          <w:sz w:val="22"/>
          <w:szCs w:val="22"/>
        </w:rPr>
      </w:pPr>
    </w:p>
    <w:p w14:paraId="5E2BE726" w14:textId="77777777" w:rsidR="00794EB9" w:rsidRPr="00794EB9" w:rsidRDefault="00794EB9" w:rsidP="00794EB9">
      <w:pPr>
        <w:ind w:hanging="2"/>
        <w:jc w:val="both"/>
        <w:rPr>
          <w:rFonts w:ascii="Arial" w:hAnsi="Arial" w:cs="Arial"/>
          <w:sz w:val="22"/>
          <w:szCs w:val="22"/>
        </w:rPr>
      </w:pPr>
      <w:bookmarkStart w:id="1" w:name="_heading=h.gjdgxs" w:colFirst="0" w:colLast="0"/>
      <w:bookmarkEnd w:id="1"/>
      <w:r w:rsidRPr="00794EB9">
        <w:rPr>
          <w:rFonts w:ascii="Arial" w:hAnsi="Arial" w:cs="Arial"/>
          <w:sz w:val="22"/>
          <w:szCs w:val="22"/>
        </w:rPr>
        <w:t xml:space="preserve">Por otro lado, las condiciones económicas rurales varían en cuestión de las condiciones del territorio. En la zona norte del municipio predominan las actividades primarias para fines de autoconsumo e intercambio comunitario. En la porción central, las localidades rurales están más vinculadas a actividades de la economía urbana. En cuanto a la zona sur, predominan las actividades agropecuarias para fines de comercialización externa, donde se registran 173 Unidades Económicas Rurales. </w:t>
      </w:r>
      <w:r w:rsidRPr="00794EB9">
        <w:rPr>
          <w:rFonts w:ascii="Arial" w:hAnsi="Arial" w:cs="Arial"/>
          <w:i/>
          <w:sz w:val="22"/>
          <w:szCs w:val="22"/>
          <w:u w:val="single"/>
        </w:rPr>
        <w:t>(Frontera Agrícola Zona Sur, Segunda Etapa, IMPLAN, 2018).</w:t>
      </w:r>
    </w:p>
    <w:p w14:paraId="554F90F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8785C38" w14:textId="77777777" w:rsidR="00794EB9" w:rsidRPr="00794EB9" w:rsidRDefault="00794EB9" w:rsidP="00794EB9">
      <w:pPr>
        <w:pBdr>
          <w:top w:val="nil"/>
          <w:left w:val="nil"/>
          <w:bottom w:val="nil"/>
          <w:right w:val="nil"/>
          <w:between w:val="nil"/>
        </w:pBdr>
        <w:ind w:hanging="2"/>
        <w:jc w:val="both"/>
        <w:rPr>
          <w:rFonts w:ascii="Arial" w:hAnsi="Arial" w:cs="Arial"/>
          <w:b/>
          <w:sz w:val="22"/>
          <w:szCs w:val="22"/>
        </w:rPr>
      </w:pPr>
    </w:p>
    <w:p w14:paraId="6C76B50C"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noProof/>
          <w:color w:val="auto"/>
          <w:sz w:val="22"/>
          <w:szCs w:val="22"/>
        </w:rPr>
        <w:lastRenderedPageBreak/>
        <w:drawing>
          <wp:inline distT="0" distB="0" distL="0" distR="0" wp14:anchorId="1A6C9EDC" wp14:editId="54170DA6">
            <wp:extent cx="5823857" cy="5662413"/>
            <wp:effectExtent l="0" t="0" r="571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22.png"/>
                    <pic:cNvPicPr/>
                  </pic:nvPicPr>
                  <pic:blipFill>
                    <a:blip r:embed="rId48" cstate="print">
                      <a:extLst>
                        <a:ext uri="{BEBA8EAE-BF5A-486C-A8C5-ECC9F3942E4B}">
                          <a14:imgProps xmlns:a14="http://schemas.microsoft.com/office/drawing/2010/main">
                            <a14:imgLayer r:embed="rId4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828900" cy="5667316"/>
                    </a:xfrm>
                    <a:prstGeom prst="rect">
                      <a:avLst/>
                    </a:prstGeom>
                  </pic:spPr>
                </pic:pic>
              </a:graphicData>
            </a:graphic>
          </wp:inline>
        </w:drawing>
      </w:r>
    </w:p>
    <w:p w14:paraId="210C6BFF" w14:textId="77777777" w:rsidR="00794EB9" w:rsidRPr="00794EB9" w:rsidRDefault="00794EB9" w:rsidP="00794EB9">
      <w:pPr>
        <w:pStyle w:val="PMDTtulo2"/>
        <w:ind w:left="0" w:hanging="2"/>
        <w:rPr>
          <w:rFonts w:ascii="Arial" w:hAnsi="Arial"/>
          <w:color w:val="auto"/>
          <w:sz w:val="22"/>
          <w:szCs w:val="22"/>
        </w:rPr>
      </w:pPr>
    </w:p>
    <w:p w14:paraId="7497D8FF" w14:textId="77777777" w:rsidR="00794EB9" w:rsidRPr="00794EB9" w:rsidRDefault="00794EB9" w:rsidP="00794EB9">
      <w:pPr>
        <w:ind w:hanging="2"/>
        <w:rPr>
          <w:rFonts w:ascii="Arial" w:hAnsi="Arial" w:cs="Arial"/>
          <w:sz w:val="22"/>
          <w:szCs w:val="22"/>
          <w:u w:val="single"/>
        </w:rPr>
      </w:pPr>
      <w:r w:rsidRPr="00794EB9">
        <w:rPr>
          <w:rFonts w:ascii="Arial" w:hAnsi="Arial" w:cs="Arial"/>
          <w:b/>
          <w:sz w:val="22"/>
          <w:szCs w:val="22"/>
          <w:u w:val="single"/>
        </w:rPr>
        <w:t>Gobierno abierto</w:t>
      </w:r>
    </w:p>
    <w:p w14:paraId="006C93CB" w14:textId="77777777" w:rsidR="00794EB9" w:rsidRPr="00794EB9" w:rsidRDefault="00794EB9" w:rsidP="00794EB9">
      <w:pPr>
        <w:ind w:hanging="2"/>
        <w:rPr>
          <w:rFonts w:ascii="Arial" w:hAnsi="Arial" w:cs="Arial"/>
          <w:sz w:val="22"/>
          <w:szCs w:val="22"/>
        </w:rPr>
      </w:pPr>
    </w:p>
    <w:p w14:paraId="606E8E9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El gobierno abierto promueve la vinculación directa, ágil y eficiente con los ciudadanos a través de distintos medios y fomenta los mecanismos de participación ciudadana y el acceso a la información pública. </w:t>
      </w:r>
      <w:r w:rsidRPr="00794EB9">
        <w:rPr>
          <w:rFonts w:ascii="Arial" w:eastAsia="Calibri" w:hAnsi="Arial" w:cs="Arial"/>
          <w:sz w:val="22"/>
          <w:szCs w:val="22"/>
        </w:rPr>
        <w:t>A su vez, en un ejercicio de transparencia, comprende la digitalización, simplificación de trámites y reducción de tiempos de respuesta.</w:t>
      </w:r>
    </w:p>
    <w:p w14:paraId="0C61FBE6"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60963D9"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Entre los mecanismos en los que se ha promovido el involucramiento de los ciudadanos en León, destaca la participación de los diferentes consejos municipales, en los cuales se fomenta la co-creación de políticas públicas, así como los procesos de consultas ciudadanas.</w:t>
      </w:r>
    </w:p>
    <w:p w14:paraId="514845A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5CA454D5"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En este sentido, para la definición de las prioridades por atender en el periodo 2021-2024, se implementó la iniciativa “Escucha ciudadana”, en la cual participaron 14 mil 147 personas </w:t>
      </w:r>
      <w:r w:rsidRPr="00794EB9">
        <w:rPr>
          <w:rFonts w:ascii="Arial" w:hAnsi="Arial" w:cs="Arial"/>
          <w:sz w:val="22"/>
          <w:szCs w:val="22"/>
        </w:rPr>
        <w:lastRenderedPageBreak/>
        <w:t>de las cuales, el 91 por ciento considera que el involucramiento ciudadano en la toma de decisiones es fundamental en el proceso de construcción de un mejor León.</w:t>
      </w:r>
    </w:p>
    <w:p w14:paraId="27574852"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5A7E3C9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En relación a la participación ciudadana en las elecciones, se identifica un reto importante, ya que participó menos de la mitad del padrón electoral, lo cual representa sólo el 45.6 por ciento de los leoneses mayores de 18 años que eligieron ayuntamiento en las recientes elecciones municipales </w:t>
      </w:r>
      <w:r w:rsidRPr="00794EB9">
        <w:rPr>
          <w:rFonts w:ascii="Arial" w:hAnsi="Arial" w:cs="Arial"/>
          <w:i/>
          <w:sz w:val="22"/>
          <w:szCs w:val="22"/>
          <w:u w:val="single"/>
        </w:rPr>
        <w:t>(IEEG, 2021)</w:t>
      </w:r>
      <w:r w:rsidRPr="00794EB9">
        <w:rPr>
          <w:rFonts w:ascii="Arial" w:hAnsi="Arial" w:cs="Arial"/>
          <w:sz w:val="22"/>
          <w:szCs w:val="22"/>
        </w:rPr>
        <w:t xml:space="preserve">. </w:t>
      </w:r>
    </w:p>
    <w:p w14:paraId="37E66B28" w14:textId="77777777" w:rsidR="00794EB9" w:rsidRPr="00794EB9" w:rsidRDefault="00794EB9" w:rsidP="00794EB9">
      <w:pPr>
        <w:ind w:hanging="2"/>
        <w:jc w:val="both"/>
        <w:rPr>
          <w:rFonts w:ascii="Arial" w:hAnsi="Arial" w:cs="Arial"/>
          <w:sz w:val="22"/>
          <w:szCs w:val="22"/>
        </w:rPr>
      </w:pPr>
    </w:p>
    <w:p w14:paraId="1DA9A74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Respecto a la transparencia presupuestal y financiera, León mantiene un nivel de endeudamiento con pagos puntuales a la deuda contratada </w:t>
      </w:r>
      <w:r w:rsidRPr="00794EB9">
        <w:rPr>
          <w:rFonts w:ascii="Arial" w:hAnsi="Arial" w:cs="Arial"/>
          <w:i/>
          <w:sz w:val="22"/>
          <w:szCs w:val="22"/>
          <w:u w:val="single"/>
        </w:rPr>
        <w:t>(SHCP, 2021)</w:t>
      </w:r>
      <w:r w:rsidRPr="00794EB9">
        <w:rPr>
          <w:rFonts w:ascii="Arial" w:hAnsi="Arial" w:cs="Arial"/>
          <w:sz w:val="22"/>
          <w:szCs w:val="22"/>
        </w:rPr>
        <w:t>. En el segundo trimestre de 2020 la deuda municipal fue de 1 mil 095.07 millones de pesos, mientras que en el mismo trimestre de 2021 fue de 1 mil 017.78 millones de pesos, registrando una disminución de 77.2 millones de pesos.</w:t>
      </w:r>
    </w:p>
    <w:p w14:paraId="108284FE" w14:textId="77777777" w:rsidR="00794EB9" w:rsidRPr="00794EB9" w:rsidRDefault="00794EB9" w:rsidP="00794EB9">
      <w:pPr>
        <w:ind w:hanging="2"/>
        <w:jc w:val="both"/>
        <w:rPr>
          <w:rFonts w:ascii="Arial" w:hAnsi="Arial" w:cs="Arial"/>
          <w:sz w:val="22"/>
          <w:szCs w:val="22"/>
        </w:rPr>
      </w:pPr>
    </w:p>
    <w:p w14:paraId="7A34BAF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En cuanto a la administración de los recursos públicos, el 31% de los ingresos se obtiene de procesos de recaudación propia. El 36.7% de los egresos de la administración se destina a servicios personales y un 18.2% a inversión pública. </w:t>
      </w:r>
      <w:r w:rsidRPr="00794EB9">
        <w:rPr>
          <w:rFonts w:ascii="Arial" w:hAnsi="Arial" w:cs="Arial"/>
          <w:i/>
          <w:sz w:val="22"/>
          <w:szCs w:val="22"/>
          <w:u w:val="single"/>
        </w:rPr>
        <w:t>(Unidad de Transparencia municipal. Cuenta pública, 2020)</w:t>
      </w:r>
    </w:p>
    <w:p w14:paraId="53F5ACDC" w14:textId="77777777" w:rsidR="00794EB9" w:rsidRPr="00794EB9" w:rsidRDefault="00794EB9" w:rsidP="00794EB9">
      <w:pPr>
        <w:jc w:val="both"/>
        <w:rPr>
          <w:rFonts w:ascii="Arial" w:hAnsi="Arial" w:cs="Arial"/>
          <w:sz w:val="22"/>
          <w:szCs w:val="22"/>
        </w:rPr>
      </w:pPr>
    </w:p>
    <w:p w14:paraId="12F55C0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En 2020 León obtuvo una puntuación de 95.3%, de un 100% alcanzable, en el barómetro de información presupuestal municipal del Instituto Mexicano para la Competitividad (IMCO), lo cual implica el reconocimiento de buenas prácticas en materia de contabilidad gubernamental y transparencia presupuestal. </w:t>
      </w:r>
    </w:p>
    <w:p w14:paraId="69D72AF0" w14:textId="77777777" w:rsidR="00794EB9" w:rsidRPr="00794EB9" w:rsidRDefault="00794EB9" w:rsidP="00794EB9">
      <w:pPr>
        <w:ind w:hanging="2"/>
        <w:jc w:val="both"/>
        <w:rPr>
          <w:rFonts w:ascii="Arial" w:hAnsi="Arial" w:cs="Arial"/>
          <w:sz w:val="22"/>
          <w:szCs w:val="22"/>
        </w:rPr>
      </w:pPr>
    </w:p>
    <w:p w14:paraId="7E972934"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cuanto a la transparencia y acceso a la información pública, de enero a agosto de 2021, la unidad de transparencia recibió 1 mil 653 solicitudes, de las cuales poco más del 90% se hizo vía INFOMEX o por correo electrónico.</w:t>
      </w:r>
    </w:p>
    <w:p w14:paraId="08149EF0" w14:textId="77777777" w:rsidR="00794EB9" w:rsidRPr="00794EB9" w:rsidRDefault="00794EB9" w:rsidP="00794EB9">
      <w:pPr>
        <w:ind w:hanging="2"/>
        <w:jc w:val="both"/>
        <w:rPr>
          <w:rFonts w:ascii="Arial" w:hAnsi="Arial" w:cs="Arial"/>
          <w:sz w:val="22"/>
          <w:szCs w:val="22"/>
        </w:rPr>
      </w:pPr>
    </w:p>
    <w:p w14:paraId="1A22182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Entre los temas recurrentes en las solicitudes de información, destacan aquellos relacionados con programas de seguridad para el municipio, trámites y servicios de desarrollo urbano, así como temas demográficos. </w:t>
      </w:r>
    </w:p>
    <w:p w14:paraId="29058E80" w14:textId="77777777" w:rsidR="00794EB9" w:rsidRPr="00794EB9" w:rsidRDefault="00794EB9" w:rsidP="00794EB9">
      <w:pPr>
        <w:ind w:hanging="2"/>
        <w:jc w:val="both"/>
        <w:rPr>
          <w:rFonts w:ascii="Arial" w:hAnsi="Arial" w:cs="Arial"/>
          <w:sz w:val="22"/>
          <w:szCs w:val="22"/>
        </w:rPr>
      </w:pPr>
    </w:p>
    <w:p w14:paraId="5538816A"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Por otro lado, en el marco de la iniciativa “Escucha ciudadana”, sólo el 8.16% de los participantes mencionaron haber visitado la página web del gobierno municipal de León, entre las razones de la visita destaca la realización de trámites de tránsito municipal, pagos y registros de apoyo. </w:t>
      </w:r>
    </w:p>
    <w:p w14:paraId="73C9B332" w14:textId="77777777" w:rsidR="00794EB9" w:rsidRPr="00794EB9" w:rsidRDefault="00794EB9" w:rsidP="00794EB9">
      <w:pPr>
        <w:ind w:hanging="2"/>
        <w:rPr>
          <w:rFonts w:ascii="Arial" w:hAnsi="Arial" w:cs="Arial"/>
          <w:sz w:val="22"/>
          <w:szCs w:val="22"/>
        </w:rPr>
      </w:pPr>
    </w:p>
    <w:p w14:paraId="1BEC7064" w14:textId="77777777" w:rsidR="00794EB9" w:rsidRPr="00794EB9" w:rsidRDefault="00794EB9" w:rsidP="00794EB9">
      <w:pPr>
        <w:ind w:hanging="2"/>
        <w:rPr>
          <w:rFonts w:ascii="Arial" w:hAnsi="Arial" w:cs="Arial"/>
          <w:sz w:val="22"/>
          <w:szCs w:val="22"/>
        </w:rPr>
      </w:pPr>
      <w:r w:rsidRPr="00794EB9">
        <w:rPr>
          <w:rFonts w:ascii="Arial" w:hAnsi="Arial" w:cs="Arial"/>
          <w:noProof/>
          <w:sz w:val="22"/>
          <w:szCs w:val="22"/>
          <w:lang w:val="es-MX" w:eastAsia="es-MX"/>
        </w:rPr>
        <w:lastRenderedPageBreak/>
        <w:drawing>
          <wp:inline distT="0" distB="0" distL="0" distR="0" wp14:anchorId="13738E32" wp14:editId="5322D56D">
            <wp:extent cx="5831648" cy="4049485"/>
            <wp:effectExtent l="0" t="0" r="0" b="825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17.png"/>
                    <pic:cNvPicPr/>
                  </pic:nvPicPr>
                  <pic:blipFill>
                    <a:blip r:embed="rId50" cstate="print">
                      <a:extLst>
                        <a:ext uri="{BEBA8EAE-BF5A-486C-A8C5-ECC9F3942E4B}">
                          <a14:imgProps xmlns:a14="http://schemas.microsoft.com/office/drawing/2010/main">
                            <a14:imgLayer r:embed="rId5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836789" cy="4053055"/>
                    </a:xfrm>
                    <a:prstGeom prst="rect">
                      <a:avLst/>
                    </a:prstGeom>
                  </pic:spPr>
                </pic:pic>
              </a:graphicData>
            </a:graphic>
          </wp:inline>
        </w:drawing>
      </w:r>
    </w:p>
    <w:p w14:paraId="58A05D1B" w14:textId="77777777" w:rsidR="00794EB9" w:rsidRPr="00794EB9" w:rsidRDefault="00794EB9" w:rsidP="00794EB9">
      <w:pPr>
        <w:ind w:hanging="2"/>
        <w:rPr>
          <w:rFonts w:ascii="Arial" w:hAnsi="Arial" w:cs="Arial"/>
          <w:sz w:val="22"/>
          <w:szCs w:val="22"/>
        </w:rPr>
      </w:pPr>
    </w:p>
    <w:p w14:paraId="1B20B82B"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Servicios municipales </w:t>
      </w:r>
    </w:p>
    <w:p w14:paraId="5145F78D" w14:textId="77777777" w:rsidR="00794EB9" w:rsidRPr="00794EB9" w:rsidRDefault="00794EB9" w:rsidP="00794EB9">
      <w:pPr>
        <w:pStyle w:val="PMDTtulo2"/>
        <w:ind w:left="0" w:hanging="2"/>
        <w:rPr>
          <w:rFonts w:ascii="Arial" w:hAnsi="Arial"/>
          <w:b w:val="0"/>
          <w:color w:val="auto"/>
          <w:sz w:val="22"/>
          <w:szCs w:val="22"/>
        </w:rPr>
      </w:pPr>
    </w:p>
    <w:p w14:paraId="0436C354"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En relación a la interacción del ciudadano con el gobierno para la realización de trámites y servicios, tomando como referencia al estado de Guanajuato, el 29.2% de la población mayor de 18 años tuvo al menos una interacción con el gobierno a través de internet (por debajo de la media nacional que asciende a 32.4%) y el 14.2% llenó y envió algún formato en páginas de internet para iniciar, continuar o concluir un trámite. </w:t>
      </w:r>
    </w:p>
    <w:p w14:paraId="43F01E98" w14:textId="77777777" w:rsidR="00794EB9" w:rsidRPr="00794EB9" w:rsidRDefault="00794EB9" w:rsidP="00794EB9">
      <w:pPr>
        <w:pStyle w:val="PMDTtulo2"/>
        <w:ind w:left="0" w:hanging="2"/>
        <w:rPr>
          <w:rFonts w:ascii="Arial" w:hAnsi="Arial"/>
          <w:b w:val="0"/>
          <w:color w:val="auto"/>
          <w:sz w:val="22"/>
          <w:szCs w:val="22"/>
        </w:rPr>
      </w:pPr>
    </w:p>
    <w:p w14:paraId="6DD28615" w14:textId="77777777" w:rsidR="00794EB9" w:rsidRPr="00794EB9" w:rsidRDefault="00794EB9" w:rsidP="00794EB9">
      <w:pPr>
        <w:pStyle w:val="Textonotapie"/>
        <w:ind w:hanging="2"/>
        <w:jc w:val="both"/>
        <w:rPr>
          <w:rFonts w:ascii="Arial" w:hAnsi="Arial" w:cs="Arial"/>
          <w:i/>
          <w:szCs w:val="22"/>
          <w:u w:val="single"/>
        </w:rPr>
      </w:pPr>
      <w:r w:rsidRPr="00794EB9">
        <w:rPr>
          <w:rFonts w:ascii="Arial" w:hAnsi="Arial" w:cs="Arial"/>
          <w:szCs w:val="22"/>
        </w:rPr>
        <w:t>En la zona metropolitana de León</w:t>
      </w:r>
      <w:r w:rsidRPr="00794EB9">
        <w:rPr>
          <w:rFonts w:ascii="Arial" w:hAnsi="Arial" w:cs="Arial"/>
          <w:b/>
          <w:szCs w:val="22"/>
        </w:rPr>
        <w:t xml:space="preserve"> </w:t>
      </w:r>
      <w:r w:rsidRPr="00794EB9">
        <w:rPr>
          <w:rFonts w:ascii="Arial" w:hAnsi="Arial" w:cs="Arial"/>
          <w:i/>
          <w:szCs w:val="22"/>
          <w:u w:val="single"/>
        </w:rPr>
        <w:t>(Conformada por los municipios de León y Silao)</w:t>
      </w:r>
      <w:r w:rsidRPr="00794EB9">
        <w:rPr>
          <w:rFonts w:ascii="Arial" w:hAnsi="Arial" w:cs="Arial"/>
          <w:b/>
          <w:szCs w:val="22"/>
        </w:rPr>
        <w:t xml:space="preserve"> </w:t>
      </w:r>
      <w:r w:rsidRPr="00794EB9">
        <w:rPr>
          <w:rFonts w:ascii="Arial" w:hAnsi="Arial" w:cs="Arial"/>
          <w:szCs w:val="22"/>
        </w:rPr>
        <w:t xml:space="preserve">la población manifiesta una buena percepción sobre la prestación de algunos servicios públicos entre los que destacan la recolección de basura y el servicio de agua potable y drenaje. A su vez, la encuesta refiere que 5 de cada 100 personas usaron redes sociales para presentar quejas, denuncias o comentarios en las cuentas de gobierno. </w:t>
      </w:r>
      <w:r w:rsidRPr="00794EB9">
        <w:rPr>
          <w:rFonts w:ascii="Arial" w:hAnsi="Arial" w:cs="Arial"/>
          <w:i/>
          <w:szCs w:val="22"/>
          <w:u w:val="single"/>
        </w:rPr>
        <w:t>(INEGI 2019. Encuesta Nacional de Calidad e Impacto Gubernamental)</w:t>
      </w:r>
    </w:p>
    <w:p w14:paraId="406EBDCD"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 </w:t>
      </w:r>
    </w:p>
    <w:p w14:paraId="73744A25"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En el ámbito local, la iniciativa de “Escucha ciudadana” arrojó un reto relacionado con la mejora de los servicios públicos municipales, los participantes consideraron importante poner atención en temas como: tener funcionarios capacitados en las áreas de atención (20%), pavimentar calles (19%), otorgar facilidades en el pago de servicios (15%), contar con mayor seguridad (12%), brindar tiempos razonables para dar soluciones (7%) e invertir en proyectos inteligentes (7%).</w:t>
      </w:r>
    </w:p>
    <w:p w14:paraId="4F4D6421" w14:textId="77777777" w:rsidR="00794EB9" w:rsidRPr="00794EB9" w:rsidRDefault="00794EB9" w:rsidP="00794EB9">
      <w:pPr>
        <w:pStyle w:val="PMDTtulo2"/>
        <w:ind w:left="0" w:hanging="2"/>
        <w:rPr>
          <w:rFonts w:ascii="Arial" w:hAnsi="Arial"/>
          <w:b w:val="0"/>
          <w:color w:val="auto"/>
          <w:sz w:val="22"/>
          <w:szCs w:val="22"/>
        </w:rPr>
      </w:pPr>
    </w:p>
    <w:p w14:paraId="67071509"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lastRenderedPageBreak/>
        <w:t>En relación a las facilidades de pagos de servicios y los tiempos razonables de solución, el gobierno municipal de León tiene disponible en línea 56 de los 243 trámites y servicios que presta (corte a enero 2021), sin embargo, la disponibilidad de más trámites en línea y su accesibilidad las 24 horas del día sigue siendo un reto importante.</w:t>
      </w:r>
    </w:p>
    <w:p w14:paraId="15BEEC50" w14:textId="77777777" w:rsidR="00794EB9" w:rsidRPr="00794EB9" w:rsidRDefault="00794EB9" w:rsidP="00794EB9">
      <w:pPr>
        <w:pStyle w:val="PMDTtulo2"/>
        <w:ind w:left="0" w:hanging="2"/>
        <w:rPr>
          <w:rFonts w:ascii="Arial" w:hAnsi="Arial"/>
          <w:b w:val="0"/>
          <w:color w:val="auto"/>
          <w:sz w:val="22"/>
          <w:szCs w:val="22"/>
        </w:rPr>
      </w:pPr>
    </w:p>
    <w:p w14:paraId="587C7E12"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Cabe destacar que la digitalización de trámites no sólo favorece agilizar los procesos, sino que, además disminuye el riesgo de que se cometan actos de corrupción. </w:t>
      </w:r>
    </w:p>
    <w:p w14:paraId="3AFD5D8B" w14:textId="77777777" w:rsidR="00794EB9" w:rsidRPr="00794EB9" w:rsidRDefault="00794EB9" w:rsidP="00794EB9">
      <w:pPr>
        <w:pStyle w:val="PMDTtulo2"/>
        <w:ind w:left="0" w:hanging="2"/>
        <w:rPr>
          <w:rFonts w:ascii="Arial" w:hAnsi="Arial"/>
          <w:b w:val="0"/>
          <w:color w:val="auto"/>
          <w:sz w:val="22"/>
          <w:szCs w:val="22"/>
        </w:rPr>
      </w:pPr>
    </w:p>
    <w:p w14:paraId="24FA71A4"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noProof/>
          <w:color w:val="auto"/>
          <w:sz w:val="22"/>
          <w:szCs w:val="22"/>
        </w:rPr>
        <w:drawing>
          <wp:inline distT="0" distB="0" distL="0" distR="0" wp14:anchorId="7A629873" wp14:editId="337F7C86">
            <wp:extent cx="5911850" cy="4653280"/>
            <wp:effectExtent l="0" t="0" r="6350" b="0"/>
            <wp:docPr id="25"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11850" cy="4653280"/>
                    </a:xfrm>
                    <a:prstGeom prst="rect">
                      <a:avLst/>
                    </a:prstGeom>
                    <a:noFill/>
                    <a:ln>
                      <a:noFill/>
                    </a:ln>
                  </pic:spPr>
                </pic:pic>
              </a:graphicData>
            </a:graphic>
          </wp:inline>
        </w:drawing>
      </w:r>
    </w:p>
    <w:p w14:paraId="36E679BE" w14:textId="77777777" w:rsidR="00794EB9" w:rsidRPr="00794EB9" w:rsidRDefault="00794EB9" w:rsidP="00794EB9">
      <w:pPr>
        <w:pStyle w:val="PMDTtulo2"/>
        <w:ind w:left="0" w:hanging="2"/>
        <w:rPr>
          <w:rFonts w:ascii="Arial" w:hAnsi="Arial"/>
          <w:b w:val="0"/>
          <w:color w:val="auto"/>
          <w:sz w:val="22"/>
          <w:szCs w:val="22"/>
        </w:rPr>
      </w:pPr>
    </w:p>
    <w:p w14:paraId="42D94DB5" w14:textId="77777777" w:rsidR="00794EB9" w:rsidRPr="00794EB9" w:rsidRDefault="00794EB9" w:rsidP="00794EB9">
      <w:pPr>
        <w:ind w:hanging="2"/>
        <w:rPr>
          <w:rFonts w:ascii="Arial" w:hAnsi="Arial" w:cs="Arial"/>
          <w:b/>
          <w:sz w:val="22"/>
          <w:szCs w:val="22"/>
          <w:u w:val="single"/>
        </w:rPr>
      </w:pPr>
      <w:r w:rsidRPr="00794EB9">
        <w:rPr>
          <w:rFonts w:ascii="Arial" w:hAnsi="Arial" w:cs="Arial"/>
          <w:b/>
          <w:sz w:val="22"/>
          <w:szCs w:val="22"/>
          <w:u w:val="single"/>
        </w:rPr>
        <w:t xml:space="preserve">Delegaciones </w:t>
      </w:r>
    </w:p>
    <w:p w14:paraId="2586F0DF" w14:textId="77777777" w:rsidR="00794EB9" w:rsidRPr="00794EB9" w:rsidRDefault="00794EB9" w:rsidP="00794EB9">
      <w:pPr>
        <w:ind w:hanging="2"/>
        <w:jc w:val="both"/>
        <w:rPr>
          <w:rFonts w:ascii="Arial" w:hAnsi="Arial" w:cs="Arial"/>
          <w:sz w:val="22"/>
          <w:szCs w:val="22"/>
        </w:rPr>
      </w:pPr>
    </w:p>
    <w:p w14:paraId="44D365D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Como parte de los resultados de la iniciativa de Escucha Ciudadana, el 91% de los participantes consideraron que siempre es muy importante que se tome en cuenta a los ciudadanos para gobernar. </w:t>
      </w:r>
    </w:p>
    <w:p w14:paraId="7CF7BABB" w14:textId="77777777" w:rsidR="00794EB9" w:rsidRPr="00794EB9" w:rsidRDefault="00794EB9" w:rsidP="00794EB9">
      <w:pPr>
        <w:tabs>
          <w:tab w:val="left" w:pos="1843"/>
        </w:tabs>
        <w:ind w:hanging="2"/>
        <w:jc w:val="both"/>
        <w:rPr>
          <w:rFonts w:ascii="Arial" w:hAnsi="Arial" w:cs="Arial"/>
          <w:sz w:val="22"/>
          <w:szCs w:val="22"/>
        </w:rPr>
      </w:pPr>
    </w:p>
    <w:p w14:paraId="46C383E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Atendiendo estas aportaciones, con el fin de impulsar las iniciativas de desarrollo del municipio desde un presupuesto participativo que tome en cuenta las propuestas ciudadanas para la asignación de recursos, además de mantener un canal abierto con la ciudadanía a través de ejercicios similares a los de una consulta con una periodicidad anual, se propuso implementar un nuevo modelo de gobierno a partir de siete delegaciones que cubren tanto la zona urbana como rural.</w:t>
      </w:r>
    </w:p>
    <w:p w14:paraId="55A82B61" w14:textId="77777777" w:rsidR="00794EB9" w:rsidRPr="00794EB9" w:rsidRDefault="00794EB9" w:rsidP="00794EB9">
      <w:pPr>
        <w:ind w:hanging="2"/>
        <w:jc w:val="both"/>
        <w:rPr>
          <w:rFonts w:ascii="Arial" w:hAnsi="Arial" w:cs="Arial"/>
          <w:sz w:val="22"/>
          <w:szCs w:val="22"/>
        </w:rPr>
      </w:pPr>
    </w:p>
    <w:p w14:paraId="2F9508BF"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lastRenderedPageBreak/>
        <w:t>Las siete delegaciones son: Las Joyas, Coecillo, San Juan Bosco, San Miguel, Cerrito de Jerez, Cerro Gordo, Del Carmen.</w:t>
      </w:r>
    </w:p>
    <w:p w14:paraId="037D5F6E" w14:textId="77777777" w:rsidR="00794EB9" w:rsidRPr="00794EB9" w:rsidRDefault="00794EB9" w:rsidP="00794EB9">
      <w:pPr>
        <w:ind w:hanging="2"/>
        <w:rPr>
          <w:rFonts w:ascii="Arial" w:hAnsi="Arial" w:cs="Arial"/>
          <w:sz w:val="22"/>
          <w:szCs w:val="22"/>
        </w:rPr>
      </w:pPr>
    </w:p>
    <w:p w14:paraId="7BC2C2D8" w14:textId="77777777" w:rsidR="00794EB9" w:rsidRPr="00794EB9" w:rsidRDefault="00794EB9" w:rsidP="00794EB9">
      <w:pPr>
        <w:rPr>
          <w:rFonts w:ascii="Arial" w:hAnsi="Arial" w:cs="Arial"/>
          <w:sz w:val="22"/>
          <w:szCs w:val="22"/>
        </w:rPr>
      </w:pPr>
    </w:p>
    <w:p w14:paraId="79B9C809" w14:textId="77777777" w:rsidR="00794EB9" w:rsidRPr="00794EB9" w:rsidRDefault="00794EB9" w:rsidP="00794EB9">
      <w:pPr>
        <w:rPr>
          <w:rFonts w:ascii="Arial" w:hAnsi="Arial" w:cs="Arial"/>
          <w:sz w:val="22"/>
          <w:szCs w:val="22"/>
        </w:rPr>
      </w:pPr>
    </w:p>
    <w:p w14:paraId="673BECF0" w14:textId="77777777" w:rsidR="00794EB9" w:rsidRPr="00794EB9" w:rsidRDefault="00794EB9" w:rsidP="00794EB9">
      <w:pPr>
        <w:ind w:hanging="2"/>
        <w:jc w:val="center"/>
        <w:rPr>
          <w:rFonts w:ascii="Arial" w:hAnsi="Arial" w:cs="Arial"/>
          <w:sz w:val="22"/>
          <w:szCs w:val="22"/>
        </w:rPr>
      </w:pPr>
      <w:r w:rsidRPr="00794EB9">
        <w:rPr>
          <w:rFonts w:ascii="Arial" w:eastAsiaTheme="minorHAnsi" w:hAnsi="Arial" w:cs="Arial"/>
          <w:noProof/>
          <w:sz w:val="22"/>
          <w:szCs w:val="22"/>
          <w:lang w:val="es-MX" w:eastAsia="es-MX"/>
        </w:rPr>
        <w:drawing>
          <wp:inline distT="0" distB="0" distL="0" distR="0" wp14:anchorId="3CD8E730" wp14:editId="6829F35A">
            <wp:extent cx="5650865" cy="4069715"/>
            <wp:effectExtent l="0" t="0" r="6985" b="6985"/>
            <wp:docPr id="23" name="Imagen 1" descr="24-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4-General"/>
                    <pic:cNvPicPr>
                      <a:picLocks noChangeAspect="1" noChangeArrowheads="1"/>
                    </pic:cNvPicPr>
                  </pic:nvPicPr>
                  <pic:blipFill>
                    <a:blip r:embed="rId53" cstate="print">
                      <a:extLst>
                        <a:ext uri="{BEBA8EAE-BF5A-486C-A8C5-ECC9F3942E4B}">
                          <a14:imgProps xmlns:a14="http://schemas.microsoft.com/office/drawing/2010/main">
                            <a14:imgLayer r:embed="rId5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650865" cy="4069715"/>
                    </a:xfrm>
                    <a:prstGeom prst="rect">
                      <a:avLst/>
                    </a:prstGeom>
                    <a:noFill/>
                    <a:ln>
                      <a:noFill/>
                    </a:ln>
                  </pic:spPr>
                </pic:pic>
              </a:graphicData>
            </a:graphic>
          </wp:inline>
        </w:drawing>
      </w:r>
    </w:p>
    <w:p w14:paraId="00FDB425" w14:textId="77777777" w:rsidR="00794EB9" w:rsidRPr="00794EB9" w:rsidRDefault="00794EB9" w:rsidP="00794EB9">
      <w:pPr>
        <w:ind w:hanging="2"/>
        <w:rPr>
          <w:rFonts w:ascii="Arial" w:hAnsi="Arial" w:cs="Arial"/>
          <w:sz w:val="22"/>
          <w:szCs w:val="22"/>
        </w:rPr>
      </w:pPr>
    </w:p>
    <w:p w14:paraId="1FF493B6" w14:textId="77777777" w:rsidR="00794EB9" w:rsidRPr="00794EB9" w:rsidRDefault="00794EB9" w:rsidP="00794EB9">
      <w:pPr>
        <w:ind w:hanging="2"/>
        <w:jc w:val="center"/>
        <w:rPr>
          <w:rFonts w:ascii="Arial" w:hAnsi="Arial" w:cs="Arial"/>
          <w:noProof/>
          <w:sz w:val="22"/>
          <w:szCs w:val="22"/>
          <w:lang w:eastAsia="es-MX"/>
        </w:rPr>
      </w:pPr>
    </w:p>
    <w:p w14:paraId="04D35D4D" w14:textId="77777777" w:rsidR="00794EB9" w:rsidRPr="00794EB9" w:rsidRDefault="00794EB9" w:rsidP="00794EB9">
      <w:pPr>
        <w:ind w:hanging="2"/>
        <w:jc w:val="center"/>
        <w:rPr>
          <w:rFonts w:ascii="Arial" w:hAnsi="Arial" w:cs="Arial"/>
          <w:noProof/>
          <w:sz w:val="22"/>
          <w:szCs w:val="22"/>
          <w:lang w:eastAsia="es-MX"/>
        </w:rPr>
      </w:pPr>
    </w:p>
    <w:p w14:paraId="3BAF0A15" w14:textId="77777777" w:rsidR="00794EB9" w:rsidRPr="00794EB9" w:rsidRDefault="00794EB9" w:rsidP="00794EB9">
      <w:pPr>
        <w:ind w:hanging="2"/>
        <w:jc w:val="center"/>
        <w:rPr>
          <w:rFonts w:ascii="Arial" w:hAnsi="Arial" w:cs="Arial"/>
          <w:noProof/>
          <w:sz w:val="22"/>
          <w:szCs w:val="22"/>
          <w:lang w:eastAsia="es-MX"/>
        </w:rPr>
      </w:pPr>
    </w:p>
    <w:p w14:paraId="4522A52D" w14:textId="77777777" w:rsidR="00794EB9" w:rsidRPr="00794EB9" w:rsidRDefault="00794EB9" w:rsidP="00794EB9">
      <w:pPr>
        <w:ind w:hanging="2"/>
        <w:jc w:val="center"/>
        <w:rPr>
          <w:rFonts w:ascii="Arial" w:hAnsi="Arial" w:cs="Arial"/>
          <w:noProof/>
          <w:sz w:val="22"/>
          <w:szCs w:val="22"/>
          <w:lang w:eastAsia="es-MX"/>
        </w:rPr>
      </w:pPr>
    </w:p>
    <w:p w14:paraId="5D2793E6" w14:textId="77777777" w:rsidR="00794EB9" w:rsidRPr="00794EB9" w:rsidRDefault="00794EB9" w:rsidP="00794EB9">
      <w:pPr>
        <w:ind w:hanging="2"/>
        <w:jc w:val="center"/>
        <w:rPr>
          <w:rFonts w:ascii="Arial" w:hAnsi="Arial" w:cs="Arial"/>
          <w:noProof/>
          <w:sz w:val="22"/>
          <w:szCs w:val="22"/>
          <w:lang w:eastAsia="es-MX"/>
        </w:rPr>
      </w:pPr>
    </w:p>
    <w:p w14:paraId="5261D59D" w14:textId="77777777" w:rsidR="00794EB9" w:rsidRPr="00794EB9" w:rsidRDefault="00794EB9" w:rsidP="00794EB9">
      <w:pPr>
        <w:ind w:hanging="2"/>
        <w:jc w:val="center"/>
        <w:rPr>
          <w:rFonts w:ascii="Arial" w:hAnsi="Arial" w:cs="Arial"/>
          <w:noProof/>
          <w:sz w:val="22"/>
          <w:szCs w:val="22"/>
          <w:lang w:eastAsia="es-MX"/>
        </w:rPr>
      </w:pPr>
    </w:p>
    <w:p w14:paraId="0E4CD9EE" w14:textId="77777777" w:rsidR="00794EB9" w:rsidRPr="00794EB9" w:rsidRDefault="00794EB9" w:rsidP="00794EB9">
      <w:pPr>
        <w:rPr>
          <w:rFonts w:ascii="Arial" w:hAnsi="Arial" w:cs="Arial"/>
          <w:noProof/>
          <w:sz w:val="22"/>
          <w:szCs w:val="22"/>
          <w:lang w:eastAsia="es-MX"/>
        </w:rPr>
      </w:pPr>
    </w:p>
    <w:p w14:paraId="35513689" w14:textId="77777777" w:rsidR="00794EB9" w:rsidRPr="00794EB9" w:rsidRDefault="00794EB9" w:rsidP="00794EB9">
      <w:pPr>
        <w:ind w:hanging="2"/>
        <w:jc w:val="center"/>
        <w:rPr>
          <w:rFonts w:ascii="Arial" w:hAnsi="Arial" w:cs="Arial"/>
          <w:sz w:val="22"/>
          <w:szCs w:val="22"/>
        </w:rPr>
      </w:pPr>
      <w:r w:rsidRPr="00794EB9">
        <w:rPr>
          <w:rFonts w:ascii="Arial" w:hAnsi="Arial" w:cs="Arial"/>
          <w:noProof/>
          <w:sz w:val="22"/>
          <w:szCs w:val="22"/>
          <w:lang w:val="es-MX" w:eastAsia="es-MX"/>
        </w:rPr>
        <w:lastRenderedPageBreak/>
        <w:drawing>
          <wp:inline distT="0" distB="0" distL="0" distR="0" wp14:anchorId="2C69B883" wp14:editId="6ED833E2">
            <wp:extent cx="4438650" cy="3704437"/>
            <wp:effectExtent l="0" t="0" r="0" b="0"/>
            <wp:docPr id="13" name="Imagen 13" descr="C:\Users\Roxana\AppData\Local\Microsoft\Windows\INetCache\Content.Word\2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xana\AppData\Local\Microsoft\Windows\INetCache\Content.Word\24-a.png"/>
                    <pic:cNvPicPr>
                      <a:picLocks noChangeAspect="1" noChangeArrowheads="1"/>
                    </pic:cNvPicPr>
                  </pic:nvPicPr>
                  <pic:blipFill>
                    <a:blip r:embed="rId55" cstate="print">
                      <a:extLst>
                        <a:ext uri="{BEBA8EAE-BF5A-486C-A8C5-ECC9F3942E4B}">
                          <a14:imgProps xmlns:a14="http://schemas.microsoft.com/office/drawing/2010/main">
                            <a14:imgLayer r:embed="rId5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444002" cy="3708904"/>
                    </a:xfrm>
                    <a:prstGeom prst="rect">
                      <a:avLst/>
                    </a:prstGeom>
                    <a:noFill/>
                    <a:ln>
                      <a:noFill/>
                    </a:ln>
                  </pic:spPr>
                </pic:pic>
              </a:graphicData>
            </a:graphic>
          </wp:inline>
        </w:drawing>
      </w:r>
    </w:p>
    <w:p w14:paraId="07A5ECA8" w14:textId="77777777" w:rsidR="00794EB9" w:rsidRPr="00794EB9" w:rsidRDefault="00794EB9" w:rsidP="00794EB9">
      <w:pPr>
        <w:rPr>
          <w:rFonts w:ascii="Arial" w:hAnsi="Arial" w:cs="Arial"/>
          <w:sz w:val="22"/>
          <w:szCs w:val="22"/>
        </w:rPr>
      </w:pPr>
    </w:p>
    <w:p w14:paraId="03749611" w14:textId="77777777" w:rsidR="00794EB9" w:rsidRPr="00794EB9" w:rsidRDefault="00794EB9" w:rsidP="00794EB9">
      <w:pPr>
        <w:ind w:hanging="2"/>
        <w:jc w:val="center"/>
        <w:rPr>
          <w:rFonts w:ascii="Arial" w:hAnsi="Arial" w:cs="Arial"/>
          <w:sz w:val="22"/>
          <w:szCs w:val="22"/>
        </w:rPr>
      </w:pPr>
      <w:r w:rsidRPr="00794EB9">
        <w:rPr>
          <w:rFonts w:ascii="Arial" w:hAnsi="Arial" w:cs="Arial"/>
          <w:noProof/>
          <w:sz w:val="22"/>
          <w:szCs w:val="22"/>
          <w:lang w:val="es-MX" w:eastAsia="es-MX"/>
        </w:rPr>
        <w:drawing>
          <wp:inline distT="0" distB="0" distL="0" distR="0" wp14:anchorId="774B4B13" wp14:editId="1E8C2059">
            <wp:extent cx="4358005" cy="3871595"/>
            <wp:effectExtent l="0" t="0" r="4445" b="0"/>
            <wp:docPr id="22" name="Imagen 2" descr="2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4-b"/>
                    <pic:cNvPicPr>
                      <a:picLocks noChangeAspect="1" noChangeArrowheads="1"/>
                    </pic:cNvPicPr>
                  </pic:nvPicPr>
                  <pic:blipFill>
                    <a:blip r:embed="rId57" cstate="print">
                      <a:extLst>
                        <a:ext uri="{BEBA8EAE-BF5A-486C-A8C5-ECC9F3942E4B}">
                          <a14:imgProps xmlns:a14="http://schemas.microsoft.com/office/drawing/2010/main">
                            <a14:imgLayer r:embed="rId5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358005" cy="3871595"/>
                    </a:xfrm>
                    <a:prstGeom prst="rect">
                      <a:avLst/>
                    </a:prstGeom>
                    <a:noFill/>
                    <a:ln>
                      <a:noFill/>
                    </a:ln>
                  </pic:spPr>
                </pic:pic>
              </a:graphicData>
            </a:graphic>
          </wp:inline>
        </w:drawing>
      </w:r>
    </w:p>
    <w:p w14:paraId="2AADC406" w14:textId="77777777" w:rsidR="00794EB9" w:rsidRPr="00794EB9" w:rsidRDefault="00794EB9" w:rsidP="00794EB9">
      <w:pPr>
        <w:ind w:hanging="2"/>
        <w:jc w:val="center"/>
        <w:rPr>
          <w:rFonts w:ascii="Arial" w:hAnsi="Arial" w:cs="Arial"/>
          <w:sz w:val="22"/>
          <w:szCs w:val="22"/>
        </w:rPr>
      </w:pPr>
      <w:r w:rsidRPr="00794EB9">
        <w:rPr>
          <w:rFonts w:ascii="Arial" w:hAnsi="Arial" w:cs="Arial"/>
          <w:noProof/>
          <w:sz w:val="22"/>
          <w:szCs w:val="22"/>
          <w:lang w:val="es-MX" w:eastAsia="es-MX"/>
        </w:rPr>
        <w:lastRenderedPageBreak/>
        <w:drawing>
          <wp:inline distT="0" distB="0" distL="0" distR="0" wp14:anchorId="00C1C755" wp14:editId="2508C8EB">
            <wp:extent cx="4291965" cy="3690620"/>
            <wp:effectExtent l="0" t="0" r="0" b="5080"/>
            <wp:docPr id="21" name="Imagen 3" descr="2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4-c"/>
                    <pic:cNvPicPr>
                      <a:picLocks noChangeAspect="1" noChangeArrowheads="1"/>
                    </pic:cNvPicPr>
                  </pic:nvPicPr>
                  <pic:blipFill>
                    <a:blip r:embed="rId59" cstate="print">
                      <a:extLst>
                        <a:ext uri="{BEBA8EAE-BF5A-486C-A8C5-ECC9F3942E4B}">
                          <a14:imgProps xmlns:a14="http://schemas.microsoft.com/office/drawing/2010/main">
                            <a14:imgLayer r:embed="rId6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291965" cy="3690620"/>
                    </a:xfrm>
                    <a:prstGeom prst="rect">
                      <a:avLst/>
                    </a:prstGeom>
                    <a:noFill/>
                    <a:ln>
                      <a:noFill/>
                    </a:ln>
                  </pic:spPr>
                </pic:pic>
              </a:graphicData>
            </a:graphic>
          </wp:inline>
        </w:drawing>
      </w:r>
    </w:p>
    <w:p w14:paraId="6745D658" w14:textId="77777777" w:rsidR="00794EB9" w:rsidRPr="00794EB9" w:rsidRDefault="00794EB9" w:rsidP="00794EB9">
      <w:pPr>
        <w:ind w:hanging="2"/>
        <w:jc w:val="center"/>
        <w:rPr>
          <w:rFonts w:ascii="Arial" w:hAnsi="Arial" w:cs="Arial"/>
          <w:sz w:val="22"/>
          <w:szCs w:val="22"/>
        </w:rPr>
      </w:pPr>
    </w:p>
    <w:p w14:paraId="7D3CE8B3" w14:textId="77777777" w:rsidR="00794EB9" w:rsidRPr="00794EB9" w:rsidRDefault="00794EB9" w:rsidP="00794EB9">
      <w:pPr>
        <w:ind w:hanging="2"/>
        <w:jc w:val="center"/>
        <w:rPr>
          <w:rFonts w:ascii="Arial" w:hAnsi="Arial" w:cs="Arial"/>
          <w:sz w:val="22"/>
          <w:szCs w:val="22"/>
        </w:rPr>
      </w:pPr>
      <w:r w:rsidRPr="00794EB9">
        <w:rPr>
          <w:rFonts w:ascii="Arial" w:hAnsi="Arial" w:cs="Arial"/>
          <w:noProof/>
          <w:sz w:val="22"/>
          <w:szCs w:val="22"/>
          <w:lang w:val="es-MX" w:eastAsia="es-MX"/>
        </w:rPr>
        <w:drawing>
          <wp:inline distT="0" distB="0" distL="0" distR="0" wp14:anchorId="5D10AC52" wp14:editId="63AFC008">
            <wp:extent cx="4061460" cy="3806190"/>
            <wp:effectExtent l="0" t="0" r="0" b="3810"/>
            <wp:docPr id="17" name="Imagen 4" descr="2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4-d"/>
                    <pic:cNvPicPr>
                      <a:picLocks noChangeAspect="1" noChangeArrowheads="1"/>
                    </pic:cNvPicPr>
                  </pic:nvPicPr>
                  <pic:blipFill>
                    <a:blip r:embed="rId61" cstate="print">
                      <a:extLst>
                        <a:ext uri="{BEBA8EAE-BF5A-486C-A8C5-ECC9F3942E4B}">
                          <a14:imgProps xmlns:a14="http://schemas.microsoft.com/office/drawing/2010/main">
                            <a14:imgLayer r:embed="rId6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061460" cy="3806190"/>
                    </a:xfrm>
                    <a:prstGeom prst="rect">
                      <a:avLst/>
                    </a:prstGeom>
                    <a:noFill/>
                    <a:ln>
                      <a:noFill/>
                    </a:ln>
                  </pic:spPr>
                </pic:pic>
              </a:graphicData>
            </a:graphic>
          </wp:inline>
        </w:drawing>
      </w:r>
    </w:p>
    <w:p w14:paraId="24B80919" w14:textId="77777777" w:rsidR="00794EB9" w:rsidRPr="00794EB9" w:rsidRDefault="00794EB9" w:rsidP="00794EB9">
      <w:pPr>
        <w:rPr>
          <w:rFonts w:ascii="Arial" w:hAnsi="Arial" w:cs="Arial"/>
          <w:sz w:val="22"/>
          <w:szCs w:val="22"/>
        </w:rPr>
      </w:pPr>
    </w:p>
    <w:p w14:paraId="4341D77A" w14:textId="77777777" w:rsidR="00794EB9" w:rsidRPr="00794EB9" w:rsidRDefault="00794EB9" w:rsidP="00794EB9">
      <w:pPr>
        <w:ind w:hanging="2"/>
        <w:jc w:val="center"/>
        <w:rPr>
          <w:rFonts w:ascii="Arial" w:hAnsi="Arial" w:cs="Arial"/>
          <w:sz w:val="22"/>
          <w:szCs w:val="22"/>
          <w:lang w:val="es"/>
        </w:rPr>
      </w:pPr>
      <w:r w:rsidRPr="00794EB9">
        <w:rPr>
          <w:rFonts w:ascii="Arial" w:hAnsi="Arial" w:cs="Arial"/>
          <w:noProof/>
          <w:sz w:val="22"/>
          <w:szCs w:val="22"/>
          <w:lang w:val="es-MX" w:eastAsia="es-MX"/>
        </w:rPr>
        <w:lastRenderedPageBreak/>
        <w:drawing>
          <wp:inline distT="0" distB="0" distL="0" distR="0" wp14:anchorId="6866ED30" wp14:editId="4FA6350F">
            <wp:extent cx="3954145" cy="3501390"/>
            <wp:effectExtent l="0" t="0" r="8255" b="3810"/>
            <wp:docPr id="16" name="Imagen 5" descr="2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4-e"/>
                    <pic:cNvPicPr>
                      <a:picLocks noChangeAspect="1" noChangeArrowheads="1"/>
                    </pic:cNvPicPr>
                  </pic:nvPicPr>
                  <pic:blipFill>
                    <a:blip r:embed="rId63" cstate="print">
                      <a:extLst>
                        <a:ext uri="{BEBA8EAE-BF5A-486C-A8C5-ECC9F3942E4B}">
                          <a14:imgProps xmlns:a14="http://schemas.microsoft.com/office/drawing/2010/main">
                            <a14:imgLayer r:embed="rId6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954145" cy="3501390"/>
                    </a:xfrm>
                    <a:prstGeom prst="rect">
                      <a:avLst/>
                    </a:prstGeom>
                    <a:noFill/>
                    <a:ln>
                      <a:noFill/>
                    </a:ln>
                  </pic:spPr>
                </pic:pic>
              </a:graphicData>
            </a:graphic>
          </wp:inline>
        </w:drawing>
      </w:r>
    </w:p>
    <w:p w14:paraId="4FF44387" w14:textId="77777777" w:rsidR="00794EB9" w:rsidRPr="00794EB9" w:rsidRDefault="00794EB9" w:rsidP="00794EB9">
      <w:pPr>
        <w:rPr>
          <w:rFonts w:ascii="Arial" w:hAnsi="Arial" w:cs="Arial"/>
          <w:sz w:val="22"/>
          <w:szCs w:val="22"/>
          <w:lang w:val="es"/>
        </w:rPr>
      </w:pPr>
    </w:p>
    <w:p w14:paraId="68CF7492" w14:textId="77777777" w:rsidR="00794EB9" w:rsidRPr="00794EB9" w:rsidRDefault="00794EB9" w:rsidP="00794EB9">
      <w:pPr>
        <w:ind w:hanging="2"/>
        <w:jc w:val="center"/>
        <w:rPr>
          <w:rFonts w:ascii="Arial" w:hAnsi="Arial" w:cs="Arial"/>
          <w:sz w:val="22"/>
          <w:szCs w:val="22"/>
          <w:lang w:val="es"/>
        </w:rPr>
      </w:pPr>
      <w:r w:rsidRPr="00794EB9">
        <w:rPr>
          <w:rFonts w:ascii="Arial" w:hAnsi="Arial" w:cs="Arial"/>
          <w:noProof/>
          <w:sz w:val="22"/>
          <w:szCs w:val="22"/>
          <w:lang w:val="es-MX" w:eastAsia="es-MX"/>
        </w:rPr>
        <w:drawing>
          <wp:inline distT="0" distB="0" distL="0" distR="0" wp14:anchorId="364E6C7F" wp14:editId="79A51B20">
            <wp:extent cx="4505960" cy="4168140"/>
            <wp:effectExtent l="0" t="0" r="8890" b="3810"/>
            <wp:docPr id="15" name="Imagen 6" descr="2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4-f"/>
                    <pic:cNvPicPr>
                      <a:picLocks noChangeAspect="1" noChangeArrowheads="1"/>
                    </pic:cNvPicPr>
                  </pic:nvPicPr>
                  <pic:blipFill>
                    <a:blip r:embed="rId65" cstate="print">
                      <a:extLst>
                        <a:ext uri="{BEBA8EAE-BF5A-486C-A8C5-ECC9F3942E4B}">
                          <a14:imgProps xmlns:a14="http://schemas.microsoft.com/office/drawing/2010/main">
                            <a14:imgLayer r:embed="rId6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505960" cy="4168140"/>
                    </a:xfrm>
                    <a:prstGeom prst="rect">
                      <a:avLst/>
                    </a:prstGeom>
                    <a:noFill/>
                    <a:ln>
                      <a:noFill/>
                    </a:ln>
                  </pic:spPr>
                </pic:pic>
              </a:graphicData>
            </a:graphic>
          </wp:inline>
        </w:drawing>
      </w:r>
    </w:p>
    <w:p w14:paraId="79B7FFC5" w14:textId="77777777" w:rsidR="00794EB9" w:rsidRPr="00794EB9" w:rsidRDefault="00794EB9" w:rsidP="00794EB9">
      <w:pPr>
        <w:ind w:hanging="2"/>
        <w:jc w:val="center"/>
        <w:rPr>
          <w:rFonts w:ascii="Arial" w:hAnsi="Arial" w:cs="Arial"/>
          <w:sz w:val="22"/>
          <w:szCs w:val="22"/>
        </w:rPr>
      </w:pPr>
      <w:r w:rsidRPr="00794EB9">
        <w:rPr>
          <w:rFonts w:ascii="Arial" w:hAnsi="Arial" w:cs="Arial"/>
          <w:noProof/>
          <w:sz w:val="22"/>
          <w:szCs w:val="22"/>
          <w:lang w:val="es-MX" w:eastAsia="es-MX"/>
        </w:rPr>
        <w:lastRenderedPageBreak/>
        <w:drawing>
          <wp:inline distT="0" distB="0" distL="0" distR="0" wp14:anchorId="4E0E9668" wp14:editId="20ACF052">
            <wp:extent cx="3921125" cy="4472940"/>
            <wp:effectExtent l="0" t="0" r="3175" b="3810"/>
            <wp:docPr id="14" name="Imagen 7" descr="24-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4-g"/>
                    <pic:cNvPicPr>
                      <a:picLocks noChangeAspect="1" noChangeArrowheads="1"/>
                    </pic:cNvPicPr>
                  </pic:nvPicPr>
                  <pic:blipFill>
                    <a:blip r:embed="rId67" cstate="print">
                      <a:extLst>
                        <a:ext uri="{BEBA8EAE-BF5A-486C-A8C5-ECC9F3942E4B}">
                          <a14:imgProps xmlns:a14="http://schemas.microsoft.com/office/drawing/2010/main">
                            <a14:imgLayer r:embed="rId6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921125" cy="4472940"/>
                    </a:xfrm>
                    <a:prstGeom prst="rect">
                      <a:avLst/>
                    </a:prstGeom>
                    <a:noFill/>
                    <a:ln>
                      <a:noFill/>
                    </a:ln>
                  </pic:spPr>
                </pic:pic>
              </a:graphicData>
            </a:graphic>
          </wp:inline>
        </w:drawing>
      </w:r>
    </w:p>
    <w:p w14:paraId="22DC16A3" w14:textId="77777777" w:rsidR="00794EB9" w:rsidRPr="00794EB9" w:rsidRDefault="00794EB9" w:rsidP="00794EB9">
      <w:pPr>
        <w:ind w:hanging="2"/>
        <w:jc w:val="center"/>
        <w:rPr>
          <w:rFonts w:ascii="Arial" w:hAnsi="Arial" w:cs="Arial"/>
          <w:sz w:val="22"/>
          <w:szCs w:val="22"/>
        </w:rPr>
      </w:pPr>
    </w:p>
    <w:p w14:paraId="705D3E9B" w14:textId="77777777" w:rsidR="00794EB9" w:rsidRPr="00794EB9" w:rsidRDefault="00794EB9" w:rsidP="00794EB9">
      <w:pPr>
        <w:pStyle w:val="PMDTtulo2"/>
        <w:ind w:left="0" w:hanging="2"/>
        <w:rPr>
          <w:rFonts w:ascii="Arial" w:hAnsi="Arial"/>
          <w:color w:val="auto"/>
          <w:sz w:val="22"/>
          <w:szCs w:val="22"/>
          <w:u w:val="single"/>
        </w:rPr>
      </w:pPr>
      <w:r w:rsidRPr="00794EB9">
        <w:rPr>
          <w:rFonts w:ascii="Arial" w:hAnsi="Arial"/>
          <w:color w:val="auto"/>
          <w:sz w:val="22"/>
          <w:szCs w:val="22"/>
          <w:u w:val="single"/>
        </w:rPr>
        <w:t xml:space="preserve">Entorno urbano </w:t>
      </w:r>
    </w:p>
    <w:p w14:paraId="4437C6E1" w14:textId="77777777" w:rsidR="00794EB9" w:rsidRPr="00794EB9" w:rsidRDefault="00794EB9" w:rsidP="00794EB9">
      <w:pPr>
        <w:pStyle w:val="PMDTtulo2"/>
        <w:ind w:left="0" w:hanging="2"/>
        <w:rPr>
          <w:rFonts w:ascii="Arial" w:hAnsi="Arial"/>
          <w:color w:val="auto"/>
          <w:sz w:val="22"/>
          <w:szCs w:val="22"/>
        </w:rPr>
      </w:pPr>
    </w:p>
    <w:p w14:paraId="2AD58845" w14:textId="77777777" w:rsidR="00794EB9" w:rsidRPr="00794EB9" w:rsidRDefault="00794EB9" w:rsidP="00794EB9">
      <w:pPr>
        <w:pStyle w:val="PMDTtulo2"/>
        <w:ind w:left="0" w:hanging="2"/>
        <w:rPr>
          <w:rFonts w:ascii="Arial" w:hAnsi="Arial"/>
          <w:i/>
          <w:color w:val="auto"/>
          <w:sz w:val="22"/>
          <w:szCs w:val="22"/>
        </w:rPr>
      </w:pPr>
      <w:r w:rsidRPr="00794EB9">
        <w:rPr>
          <w:rFonts w:ascii="Arial" w:hAnsi="Arial"/>
          <w:i/>
          <w:color w:val="auto"/>
          <w:sz w:val="22"/>
          <w:szCs w:val="22"/>
        </w:rPr>
        <w:t xml:space="preserve">Densidades y vacíos urbanos </w:t>
      </w:r>
    </w:p>
    <w:p w14:paraId="5CD9936F" w14:textId="77777777" w:rsidR="00794EB9" w:rsidRPr="00794EB9" w:rsidRDefault="00794EB9" w:rsidP="00794EB9">
      <w:pPr>
        <w:pStyle w:val="PMDTtulo2"/>
        <w:ind w:left="0" w:hanging="2"/>
        <w:rPr>
          <w:rFonts w:ascii="Arial" w:hAnsi="Arial"/>
          <w:color w:val="auto"/>
          <w:sz w:val="22"/>
          <w:szCs w:val="22"/>
        </w:rPr>
      </w:pPr>
    </w:p>
    <w:p w14:paraId="21F9F76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En las últimas décadas del siglo XX el desarrollo de infraestructura vial y las nuevas periferias, propiciaron el desplazamiento de los habitantes del centro de la ciudad hacia las nuevas zonas. </w:t>
      </w:r>
    </w:p>
    <w:p w14:paraId="0D94B104" w14:textId="77777777" w:rsidR="00794EB9" w:rsidRPr="00794EB9" w:rsidRDefault="00794EB9" w:rsidP="00794EB9">
      <w:pPr>
        <w:ind w:hanging="2"/>
        <w:jc w:val="both"/>
        <w:rPr>
          <w:rFonts w:ascii="Arial" w:hAnsi="Arial" w:cs="Arial"/>
          <w:sz w:val="22"/>
          <w:szCs w:val="22"/>
        </w:rPr>
      </w:pPr>
    </w:p>
    <w:p w14:paraId="1C57995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Si bien el desarrollo habitacional se ha dado en zonas aptas para el crecimiento urbano (al oriente y poniente de la zona urbana), algunos de los fraccionamientos se desarrollan en áreas que no están contiguas a las ya urbanizadas, lo que provocó un fenómeno de expansión urbana.  </w:t>
      </w:r>
    </w:p>
    <w:p w14:paraId="67A2122A" w14:textId="77777777" w:rsidR="00794EB9" w:rsidRPr="00794EB9" w:rsidRDefault="00794EB9" w:rsidP="00794EB9">
      <w:pPr>
        <w:ind w:hanging="2"/>
        <w:jc w:val="both"/>
        <w:rPr>
          <w:rFonts w:ascii="Arial" w:hAnsi="Arial" w:cs="Arial"/>
          <w:sz w:val="22"/>
          <w:szCs w:val="22"/>
        </w:rPr>
      </w:pPr>
    </w:p>
    <w:p w14:paraId="4F9FCF9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Este crecimiento urbano en la periferia se agudiza si consideramos los asentamientos irregulares que crecen sin equipamiento y servicios básicos, en estas zonas se identifican los polígonos de mayor marginación y pobreza urbana.</w:t>
      </w:r>
    </w:p>
    <w:p w14:paraId="40ECABA0" w14:textId="77777777" w:rsidR="00794EB9" w:rsidRPr="00794EB9" w:rsidRDefault="00794EB9" w:rsidP="00794EB9">
      <w:pPr>
        <w:ind w:hanging="2"/>
        <w:jc w:val="both"/>
        <w:rPr>
          <w:rFonts w:ascii="Arial" w:hAnsi="Arial" w:cs="Arial"/>
          <w:sz w:val="22"/>
          <w:szCs w:val="22"/>
        </w:rPr>
      </w:pPr>
    </w:p>
    <w:p w14:paraId="5281010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Actualmente, la superficie urbana asciende a 23 mil 083.94 hectáreas, cifra que representa el 18 por ciento del territorio municipal. </w:t>
      </w:r>
    </w:p>
    <w:p w14:paraId="3A122717" w14:textId="77777777" w:rsidR="00794EB9" w:rsidRPr="00794EB9" w:rsidRDefault="00794EB9" w:rsidP="00794EB9">
      <w:pPr>
        <w:ind w:hanging="2"/>
        <w:jc w:val="both"/>
        <w:rPr>
          <w:rFonts w:ascii="Arial" w:hAnsi="Arial" w:cs="Arial"/>
          <w:sz w:val="22"/>
          <w:szCs w:val="22"/>
        </w:rPr>
      </w:pPr>
    </w:p>
    <w:p w14:paraId="65726F40" w14:textId="77777777" w:rsidR="00794EB9" w:rsidRPr="00794EB9" w:rsidRDefault="00794EB9" w:rsidP="00794EB9">
      <w:pPr>
        <w:ind w:hanging="2"/>
        <w:jc w:val="both"/>
        <w:rPr>
          <w:rFonts w:ascii="Arial" w:eastAsia="Calibri" w:hAnsi="Arial" w:cs="Arial"/>
          <w:i/>
          <w:sz w:val="22"/>
          <w:szCs w:val="22"/>
          <w:u w:val="single"/>
          <w:lang w:eastAsia="en-US"/>
        </w:rPr>
      </w:pPr>
      <w:r w:rsidRPr="00794EB9">
        <w:rPr>
          <w:rFonts w:ascii="Arial" w:hAnsi="Arial" w:cs="Arial"/>
          <w:sz w:val="22"/>
          <w:szCs w:val="22"/>
        </w:rPr>
        <w:t xml:space="preserve">De acuerdo con la información del Programa Municipal de Desarrollo Urbano y Ordenamiento Ecológico y Territorial, en la ciudad se identifican dos ámbitos de acción: el </w:t>
      </w:r>
      <w:r w:rsidRPr="00794EB9">
        <w:rPr>
          <w:rFonts w:ascii="Arial" w:hAnsi="Arial" w:cs="Arial"/>
          <w:sz w:val="22"/>
          <w:szCs w:val="22"/>
        </w:rPr>
        <w:lastRenderedPageBreak/>
        <w:t xml:space="preserve">primero se denomina polígono de densificación que concentra el 65 por ciento de la población urbana (901 mil 505 habitantes) y tiene una superficie aproximada de 10 mil 845 hectáreas, de las cuales 1 mil 365 son de baldíos intraurbanos. Este polígono es delimitado por los bulevares José María Morelos, Delta, Timoteo Lozano, Miguel de Cervantes Poniente y San Juan Bosco. </w:t>
      </w:r>
      <w:r w:rsidRPr="00794EB9">
        <w:rPr>
          <w:rFonts w:ascii="Arial" w:eastAsia="Calibri" w:hAnsi="Arial" w:cs="Arial"/>
          <w:i/>
          <w:sz w:val="22"/>
          <w:szCs w:val="22"/>
          <w:u w:val="single"/>
          <w:lang w:eastAsia="en-US"/>
        </w:rPr>
        <w:t>(Programa Municipal de Desarrollo Urbano y de Ordenamiento Ecológico y Territorial (PMDUOET). IMPLAN, 2020.)</w:t>
      </w:r>
    </w:p>
    <w:p w14:paraId="7222D88B" w14:textId="77777777" w:rsidR="00794EB9" w:rsidRPr="00794EB9" w:rsidRDefault="00794EB9" w:rsidP="00794EB9">
      <w:pPr>
        <w:ind w:hanging="2"/>
        <w:jc w:val="both"/>
        <w:rPr>
          <w:rFonts w:ascii="Arial" w:hAnsi="Arial" w:cs="Arial"/>
          <w:sz w:val="22"/>
          <w:szCs w:val="22"/>
        </w:rPr>
      </w:pPr>
    </w:p>
    <w:p w14:paraId="3DDA34B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Por otro lado, en el polígono de consolidación se localizan 4 mil 119 hectáreas de baldíos periurbanos.  </w:t>
      </w:r>
    </w:p>
    <w:p w14:paraId="77256A28" w14:textId="77777777" w:rsidR="00794EB9" w:rsidRPr="00794EB9" w:rsidRDefault="00794EB9" w:rsidP="00794EB9">
      <w:pPr>
        <w:ind w:hanging="2"/>
        <w:jc w:val="both"/>
        <w:rPr>
          <w:rFonts w:ascii="Arial" w:hAnsi="Arial" w:cs="Arial"/>
          <w:sz w:val="22"/>
          <w:szCs w:val="22"/>
        </w:rPr>
      </w:pPr>
    </w:p>
    <w:p w14:paraId="71666F46"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Lo anterior arroja que dentro del área urbana existen 5 mil 484 hectáreas de baldíos, con infraestructura y servicios públicos que favorecen el desarrollo densificado con usos mixtos, conteniendo así la expansión urbana.</w:t>
      </w:r>
    </w:p>
    <w:p w14:paraId="01C7BC41" w14:textId="77777777" w:rsidR="00794EB9" w:rsidRPr="00794EB9" w:rsidRDefault="00794EB9" w:rsidP="00794EB9">
      <w:pPr>
        <w:ind w:hanging="2"/>
        <w:jc w:val="both"/>
        <w:rPr>
          <w:rFonts w:ascii="Arial" w:hAnsi="Arial" w:cs="Arial"/>
          <w:sz w:val="22"/>
          <w:szCs w:val="22"/>
        </w:rPr>
      </w:pPr>
    </w:p>
    <w:p w14:paraId="668DCBC6"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Estas políticas de consolidación y densificación responden a las orientaciones internacionales como la Nueva Agenda Urbana de ONU en la que se establece, entre otras cosas, que las ciudades deben ser compactas, sostenibles, seguras, resilientes, participativas e inclusivas.</w:t>
      </w:r>
    </w:p>
    <w:p w14:paraId="68CF53AE"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 </w:t>
      </w:r>
    </w:p>
    <w:p w14:paraId="74CA288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Por otra parte, se tiene una densidad urbana de 68.44 hab/ha. </w:t>
      </w:r>
      <w:r w:rsidRPr="00794EB9">
        <w:rPr>
          <w:rFonts w:ascii="Arial" w:hAnsi="Arial" w:cs="Arial"/>
          <w:i/>
          <w:sz w:val="22"/>
          <w:szCs w:val="22"/>
          <w:u w:val="single"/>
        </w:rPr>
        <w:t>(INEGI. Censo de Población y Vivienda 2020)</w:t>
      </w:r>
      <w:r w:rsidRPr="00794EB9">
        <w:rPr>
          <w:rFonts w:ascii="Arial" w:hAnsi="Arial" w:cs="Arial"/>
          <w:sz w:val="22"/>
          <w:szCs w:val="22"/>
        </w:rPr>
        <w:t xml:space="preserve"> La zona con menor densidad se ubica en la periferia, mientras que la mayor concentración de habitantes se encuentra en las zonas centro y sur-poniente de la ciudad.</w:t>
      </w:r>
    </w:p>
    <w:p w14:paraId="0A80C518" w14:textId="77777777" w:rsidR="00794EB9" w:rsidRPr="00794EB9" w:rsidRDefault="00794EB9" w:rsidP="00794EB9">
      <w:pPr>
        <w:pStyle w:val="PMDTtulo2"/>
        <w:ind w:left="0" w:hanging="2"/>
        <w:rPr>
          <w:rFonts w:ascii="Arial" w:hAnsi="Arial"/>
          <w:color w:val="auto"/>
          <w:sz w:val="22"/>
          <w:szCs w:val="22"/>
        </w:rPr>
      </w:pPr>
    </w:p>
    <w:p w14:paraId="0915D04F" w14:textId="77777777" w:rsidR="00794EB9" w:rsidRPr="00794EB9" w:rsidRDefault="00794EB9" w:rsidP="00794EB9">
      <w:pPr>
        <w:ind w:hanging="2"/>
        <w:jc w:val="center"/>
        <w:rPr>
          <w:rFonts w:ascii="Arial" w:hAnsi="Arial" w:cs="Arial"/>
          <w:noProof/>
          <w:sz w:val="22"/>
          <w:szCs w:val="22"/>
          <w:lang w:eastAsia="es-MX"/>
        </w:rPr>
      </w:pPr>
    </w:p>
    <w:p w14:paraId="24E52F15" w14:textId="77777777" w:rsidR="00794EB9" w:rsidRPr="00794EB9" w:rsidRDefault="00794EB9" w:rsidP="00794EB9">
      <w:pPr>
        <w:ind w:hanging="2"/>
        <w:jc w:val="center"/>
        <w:rPr>
          <w:rFonts w:ascii="Arial" w:hAnsi="Arial" w:cs="Arial"/>
          <w:sz w:val="22"/>
          <w:szCs w:val="22"/>
        </w:rPr>
      </w:pPr>
      <w:r w:rsidRPr="00794EB9">
        <w:rPr>
          <w:rFonts w:ascii="Arial" w:hAnsi="Arial" w:cs="Arial"/>
          <w:noProof/>
          <w:sz w:val="22"/>
          <w:szCs w:val="22"/>
          <w:lang w:val="es-MX" w:eastAsia="es-MX"/>
        </w:rPr>
        <w:drawing>
          <wp:inline distT="0" distB="0" distL="0" distR="0" wp14:anchorId="258C39C8" wp14:editId="0F9165C8">
            <wp:extent cx="4798060" cy="3938270"/>
            <wp:effectExtent l="0" t="0" r="2540" b="0"/>
            <wp:docPr id="20"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798060" cy="3938270"/>
                    </a:xfrm>
                    <a:prstGeom prst="rect">
                      <a:avLst/>
                    </a:prstGeom>
                    <a:noFill/>
                    <a:ln>
                      <a:noFill/>
                    </a:ln>
                  </pic:spPr>
                </pic:pic>
              </a:graphicData>
            </a:graphic>
          </wp:inline>
        </w:drawing>
      </w:r>
    </w:p>
    <w:p w14:paraId="074BFDF1" w14:textId="77777777" w:rsidR="00794EB9" w:rsidRPr="00794EB9" w:rsidRDefault="00794EB9" w:rsidP="00794EB9">
      <w:pPr>
        <w:pStyle w:val="PMDTtulo2"/>
        <w:ind w:left="0" w:hanging="2"/>
        <w:rPr>
          <w:rFonts w:ascii="Arial" w:hAnsi="Arial"/>
          <w:i/>
          <w:color w:val="auto"/>
          <w:sz w:val="22"/>
          <w:szCs w:val="22"/>
        </w:rPr>
      </w:pPr>
      <w:r w:rsidRPr="00794EB9">
        <w:rPr>
          <w:rFonts w:ascii="Arial" w:hAnsi="Arial"/>
          <w:i/>
          <w:color w:val="auto"/>
          <w:sz w:val="22"/>
          <w:szCs w:val="22"/>
        </w:rPr>
        <w:t xml:space="preserve">Espacios públicos </w:t>
      </w:r>
    </w:p>
    <w:p w14:paraId="0959BAB4" w14:textId="77777777" w:rsidR="00794EB9" w:rsidRPr="00794EB9" w:rsidRDefault="00794EB9" w:rsidP="00794EB9">
      <w:pPr>
        <w:ind w:hanging="2"/>
        <w:jc w:val="both"/>
        <w:rPr>
          <w:rFonts w:ascii="Arial" w:hAnsi="Arial" w:cs="Arial"/>
          <w:sz w:val="22"/>
          <w:szCs w:val="22"/>
        </w:rPr>
      </w:pPr>
    </w:p>
    <w:p w14:paraId="525C4F0D" w14:textId="77777777" w:rsidR="00794EB9" w:rsidRPr="00794EB9" w:rsidRDefault="00794EB9" w:rsidP="00794EB9">
      <w:pPr>
        <w:pStyle w:val="PMDNormal"/>
        <w:ind w:left="0" w:hanging="2"/>
        <w:rPr>
          <w:rStyle w:val="PMDNormalCar"/>
          <w:rFonts w:ascii="Arial" w:hAnsi="Arial" w:cs="Arial"/>
          <w:color w:val="auto"/>
        </w:rPr>
      </w:pPr>
      <w:r w:rsidRPr="00794EB9">
        <w:rPr>
          <w:rStyle w:val="PMDNormalCar"/>
          <w:rFonts w:ascii="Arial" w:hAnsi="Arial" w:cs="Arial"/>
          <w:color w:val="auto"/>
        </w:rPr>
        <w:t>La ciudad como un sistema integrador, exige la renovación de sus estructuras funcionales como son los espacios públicos que son áreas abiertas en la zona urbana destinadas al descanso, la recreación y el intercambio social; facilitan la movilidad de los ciudadanos y el uso colectivo, este modelo urbano sostenible recoge un enfoque sistémico de la relación ciudad-ambiente para generar valores simbólicos e históricos que definen el sentido de pertenencia de los ciudadanos.</w:t>
      </w:r>
    </w:p>
    <w:p w14:paraId="3A518063" w14:textId="77777777" w:rsidR="00794EB9" w:rsidRPr="00794EB9" w:rsidRDefault="00794EB9" w:rsidP="00794EB9">
      <w:pPr>
        <w:pStyle w:val="PMDNormal"/>
        <w:ind w:left="0" w:hanging="2"/>
        <w:rPr>
          <w:rStyle w:val="PMDNormalCar"/>
          <w:rFonts w:ascii="Arial" w:hAnsi="Arial" w:cs="Arial"/>
          <w:color w:val="auto"/>
        </w:rPr>
      </w:pPr>
    </w:p>
    <w:p w14:paraId="63B7278F" w14:textId="77777777" w:rsidR="00794EB9" w:rsidRPr="00794EB9" w:rsidRDefault="00794EB9" w:rsidP="00794EB9">
      <w:pPr>
        <w:pStyle w:val="PMDNormal"/>
        <w:ind w:left="0" w:hanging="2"/>
        <w:rPr>
          <w:rStyle w:val="PMDNormalCar"/>
          <w:rFonts w:ascii="Arial" w:hAnsi="Arial" w:cs="Arial"/>
          <w:color w:val="auto"/>
        </w:rPr>
      </w:pPr>
      <w:r w:rsidRPr="00794EB9">
        <w:rPr>
          <w:rStyle w:val="PMDNormalCar"/>
          <w:rFonts w:ascii="Arial" w:hAnsi="Arial" w:cs="Arial"/>
          <w:color w:val="auto"/>
        </w:rPr>
        <w:t xml:space="preserve">Las ciudades deben ajustar sus formas y funcionalidades para contribuir a la buena gestión de las dinámicas territoriales, articulando los espacios urbanos e incrementando la habitabilidad en estos. </w:t>
      </w:r>
    </w:p>
    <w:p w14:paraId="047591BD" w14:textId="77777777" w:rsidR="00794EB9" w:rsidRPr="00794EB9" w:rsidRDefault="00794EB9" w:rsidP="00794EB9">
      <w:pPr>
        <w:pStyle w:val="PMDNormal"/>
        <w:ind w:left="0" w:hanging="2"/>
        <w:rPr>
          <w:rStyle w:val="PMDNormalCar"/>
          <w:rFonts w:ascii="Arial" w:hAnsi="Arial" w:cs="Arial"/>
          <w:color w:val="auto"/>
        </w:rPr>
      </w:pPr>
    </w:p>
    <w:p w14:paraId="2D64ABA5" w14:textId="77777777" w:rsidR="00794EB9" w:rsidRPr="00794EB9" w:rsidRDefault="00794EB9" w:rsidP="00794EB9">
      <w:pPr>
        <w:ind w:hanging="2"/>
        <w:jc w:val="both"/>
        <w:rPr>
          <w:rFonts w:ascii="Arial" w:eastAsia="Calibri" w:hAnsi="Arial" w:cs="Arial"/>
          <w:sz w:val="22"/>
          <w:szCs w:val="22"/>
        </w:rPr>
      </w:pPr>
      <w:r w:rsidRPr="00794EB9">
        <w:rPr>
          <w:rFonts w:ascii="Arial" w:eastAsia="Calibri" w:hAnsi="Arial" w:cs="Arial"/>
          <w:sz w:val="22"/>
          <w:szCs w:val="22"/>
        </w:rPr>
        <w:t xml:space="preserve">Una problemática de la gestión de los espacios públicos es la falta de vinculación entre las áreas de acceso restringido y de acceso libre, presentando una fragmentación en la accesibilidad entre estos espacios. </w:t>
      </w:r>
    </w:p>
    <w:p w14:paraId="0A19A453" w14:textId="77777777" w:rsidR="00794EB9" w:rsidRPr="00794EB9" w:rsidRDefault="00794EB9" w:rsidP="00794EB9">
      <w:pPr>
        <w:ind w:hanging="2"/>
        <w:jc w:val="both"/>
        <w:rPr>
          <w:rStyle w:val="PMDNormalCar"/>
          <w:rFonts w:ascii="Arial" w:hAnsi="Arial" w:cs="Arial"/>
        </w:rPr>
      </w:pPr>
    </w:p>
    <w:p w14:paraId="14C1AD4A" w14:textId="77777777" w:rsidR="00794EB9" w:rsidRPr="00794EB9" w:rsidRDefault="00794EB9" w:rsidP="00794EB9">
      <w:pPr>
        <w:pStyle w:val="PMDNormal"/>
        <w:ind w:left="0" w:hanging="2"/>
        <w:rPr>
          <w:rStyle w:val="PMDNormalCar"/>
          <w:rFonts w:ascii="Arial" w:hAnsi="Arial" w:cs="Arial"/>
          <w:color w:val="auto"/>
        </w:rPr>
      </w:pPr>
      <w:r w:rsidRPr="00794EB9">
        <w:rPr>
          <w:rStyle w:val="PMDNormalCar"/>
          <w:rFonts w:ascii="Arial" w:hAnsi="Arial" w:cs="Arial"/>
          <w:color w:val="auto"/>
        </w:rPr>
        <w:t>Al primer semestre de 2021, la ciudad cuenta con 816.1 hectáreas destinadas a espacios públicos, de las cuales 298.82 hectáreas tienen un uso de suelo distinto a las áreas verdes y se categorizan a partir de las siguientes características:</w:t>
      </w:r>
    </w:p>
    <w:p w14:paraId="6521BF01" w14:textId="77777777" w:rsidR="00794EB9" w:rsidRPr="00794EB9" w:rsidRDefault="00794EB9" w:rsidP="00794EB9">
      <w:pPr>
        <w:pStyle w:val="PMDNormal"/>
        <w:ind w:left="0" w:hanging="2"/>
        <w:rPr>
          <w:rStyle w:val="PMDNormalCar"/>
          <w:rFonts w:ascii="Arial" w:hAnsi="Arial" w:cs="Arial"/>
          <w:color w:val="auto"/>
        </w:rPr>
      </w:pPr>
    </w:p>
    <w:p w14:paraId="5AA9825F" w14:textId="77777777" w:rsidR="00794EB9" w:rsidRPr="00794EB9" w:rsidRDefault="00794EB9" w:rsidP="0018463D">
      <w:pPr>
        <w:pStyle w:val="Prrafodelista"/>
        <w:numPr>
          <w:ilvl w:val="0"/>
          <w:numId w:val="25"/>
        </w:numPr>
        <w:ind w:left="567" w:hanging="567"/>
        <w:jc w:val="both"/>
        <w:rPr>
          <w:rFonts w:ascii="Arial" w:hAnsi="Arial" w:cs="Arial"/>
          <w:sz w:val="22"/>
          <w:szCs w:val="22"/>
        </w:rPr>
      </w:pPr>
      <w:r w:rsidRPr="00794EB9">
        <w:rPr>
          <w:rFonts w:ascii="Arial" w:hAnsi="Arial" w:cs="Arial"/>
          <w:b/>
          <w:sz w:val="22"/>
          <w:szCs w:val="22"/>
        </w:rPr>
        <w:t>Espacio socio-cultural:</w:t>
      </w:r>
      <w:r w:rsidRPr="00794EB9">
        <w:rPr>
          <w:rFonts w:ascii="Arial" w:hAnsi="Arial" w:cs="Arial"/>
          <w:sz w:val="22"/>
          <w:szCs w:val="22"/>
        </w:rPr>
        <w:t xml:space="preserve"> recintos con oferta educativa, artística y recreativa, tales como bibliotecas, escuelas, teatros, museos y espacios para eventos y espectáculos. </w:t>
      </w:r>
    </w:p>
    <w:p w14:paraId="33FB5DC4" w14:textId="77777777" w:rsidR="00794EB9" w:rsidRPr="00794EB9" w:rsidRDefault="00794EB9" w:rsidP="0018463D">
      <w:pPr>
        <w:pStyle w:val="Prrafodelista"/>
        <w:numPr>
          <w:ilvl w:val="0"/>
          <w:numId w:val="25"/>
        </w:numPr>
        <w:ind w:left="567" w:hanging="567"/>
        <w:jc w:val="both"/>
        <w:rPr>
          <w:rFonts w:ascii="Arial" w:hAnsi="Arial" w:cs="Arial"/>
          <w:sz w:val="22"/>
          <w:szCs w:val="22"/>
        </w:rPr>
      </w:pPr>
      <w:r w:rsidRPr="00794EB9">
        <w:rPr>
          <w:rFonts w:ascii="Arial" w:hAnsi="Arial" w:cs="Arial"/>
          <w:b/>
          <w:sz w:val="22"/>
          <w:szCs w:val="22"/>
        </w:rPr>
        <w:t>Plaza de la ciudadanía:</w:t>
      </w:r>
      <w:r w:rsidRPr="00794EB9">
        <w:rPr>
          <w:rFonts w:ascii="Arial" w:hAnsi="Arial" w:cs="Arial"/>
          <w:sz w:val="22"/>
          <w:szCs w:val="22"/>
        </w:rPr>
        <w:t xml:space="preserve"> espacios comunitarios que cuentan con áreas de usos múltiples, salas de cómputo y lectura, así como espacios recreativos, para la oferta de cursos y taller, servicios administrativos, eventos, entre otros. </w:t>
      </w:r>
    </w:p>
    <w:p w14:paraId="4D48E738" w14:textId="77777777" w:rsidR="00794EB9" w:rsidRPr="00794EB9" w:rsidRDefault="00794EB9" w:rsidP="0018463D">
      <w:pPr>
        <w:pStyle w:val="Prrafodelista"/>
        <w:numPr>
          <w:ilvl w:val="0"/>
          <w:numId w:val="25"/>
        </w:numPr>
        <w:ind w:left="567" w:hanging="567"/>
        <w:jc w:val="both"/>
        <w:rPr>
          <w:rFonts w:ascii="Arial" w:hAnsi="Arial" w:cs="Arial"/>
          <w:b/>
          <w:sz w:val="22"/>
          <w:szCs w:val="22"/>
        </w:rPr>
      </w:pPr>
      <w:r w:rsidRPr="00794EB9">
        <w:rPr>
          <w:rFonts w:ascii="Arial" w:hAnsi="Arial" w:cs="Arial"/>
          <w:b/>
          <w:sz w:val="22"/>
          <w:szCs w:val="22"/>
        </w:rPr>
        <w:t xml:space="preserve">Deportiva / mini deportiva: </w:t>
      </w:r>
      <w:r w:rsidRPr="00794EB9">
        <w:rPr>
          <w:rFonts w:ascii="Arial" w:hAnsi="Arial" w:cs="Arial"/>
          <w:sz w:val="22"/>
          <w:szCs w:val="22"/>
        </w:rPr>
        <w:t>espacios que garantizan y ofrecen servicios profesionales y especializados en activación física, deporte y recreación. Estos se encuentran bajo la responsabilidad de la Comisión Municipal de Cultura Física y Deporte (COMUDE).</w:t>
      </w:r>
      <w:r w:rsidRPr="00794EB9">
        <w:rPr>
          <w:rFonts w:ascii="Arial" w:hAnsi="Arial" w:cs="Arial"/>
          <w:b/>
          <w:sz w:val="22"/>
          <w:szCs w:val="22"/>
        </w:rPr>
        <w:t xml:space="preserve"> </w:t>
      </w:r>
    </w:p>
    <w:p w14:paraId="00DB1FF9" w14:textId="77777777" w:rsidR="00794EB9" w:rsidRPr="00794EB9" w:rsidRDefault="00794EB9" w:rsidP="0018463D">
      <w:pPr>
        <w:pStyle w:val="Prrafodelista"/>
        <w:numPr>
          <w:ilvl w:val="0"/>
          <w:numId w:val="25"/>
        </w:numPr>
        <w:ind w:left="567" w:hanging="567"/>
        <w:jc w:val="both"/>
        <w:rPr>
          <w:rFonts w:ascii="Arial" w:hAnsi="Arial" w:cs="Arial"/>
          <w:b/>
          <w:sz w:val="22"/>
          <w:szCs w:val="22"/>
        </w:rPr>
      </w:pPr>
      <w:r w:rsidRPr="00794EB9">
        <w:rPr>
          <w:rFonts w:ascii="Arial" w:hAnsi="Arial" w:cs="Arial"/>
          <w:b/>
          <w:sz w:val="22"/>
          <w:szCs w:val="22"/>
        </w:rPr>
        <w:t>Espacio con mobiliario:</w:t>
      </w:r>
      <w:r w:rsidRPr="00794EB9">
        <w:rPr>
          <w:rFonts w:ascii="Arial" w:hAnsi="Arial" w:cs="Arial"/>
          <w:sz w:val="22"/>
          <w:szCs w:val="22"/>
        </w:rPr>
        <w:t xml:space="preserve"> sitios que cuentan con algún tipo de elemento urbano, tales como, ejercitadores, juegos infantiles, bancas, botes de basura, bebederos o palapas. </w:t>
      </w:r>
    </w:p>
    <w:p w14:paraId="716631A7" w14:textId="77777777" w:rsidR="00794EB9" w:rsidRPr="00794EB9" w:rsidRDefault="00794EB9" w:rsidP="0018463D">
      <w:pPr>
        <w:pStyle w:val="Prrafodelista"/>
        <w:numPr>
          <w:ilvl w:val="0"/>
          <w:numId w:val="25"/>
        </w:numPr>
        <w:ind w:left="567" w:hanging="567"/>
        <w:jc w:val="both"/>
        <w:rPr>
          <w:rFonts w:ascii="Arial" w:hAnsi="Arial" w:cs="Arial"/>
          <w:b/>
          <w:sz w:val="22"/>
          <w:szCs w:val="22"/>
        </w:rPr>
      </w:pPr>
      <w:r w:rsidRPr="00794EB9">
        <w:rPr>
          <w:rFonts w:ascii="Arial" w:hAnsi="Arial" w:cs="Arial"/>
          <w:b/>
          <w:sz w:val="22"/>
          <w:szCs w:val="22"/>
        </w:rPr>
        <w:t>Espacio deportivo:</w:t>
      </w:r>
      <w:r w:rsidRPr="00794EB9">
        <w:rPr>
          <w:rFonts w:ascii="Arial" w:hAnsi="Arial" w:cs="Arial"/>
          <w:sz w:val="22"/>
          <w:szCs w:val="22"/>
        </w:rPr>
        <w:t xml:space="preserve"> espacios que cuentan con infraestructura deportiva y cuya administración no recae en la COMUDE. </w:t>
      </w:r>
    </w:p>
    <w:p w14:paraId="788BB539" w14:textId="77777777" w:rsidR="00794EB9" w:rsidRPr="00794EB9" w:rsidRDefault="00794EB9" w:rsidP="0018463D">
      <w:pPr>
        <w:pStyle w:val="Prrafodelista"/>
        <w:numPr>
          <w:ilvl w:val="0"/>
          <w:numId w:val="25"/>
        </w:numPr>
        <w:ind w:left="567" w:hanging="567"/>
        <w:jc w:val="both"/>
        <w:rPr>
          <w:rFonts w:ascii="Arial" w:hAnsi="Arial" w:cs="Arial"/>
          <w:sz w:val="22"/>
          <w:szCs w:val="22"/>
        </w:rPr>
      </w:pPr>
      <w:r w:rsidRPr="00794EB9">
        <w:rPr>
          <w:rFonts w:ascii="Arial" w:hAnsi="Arial" w:cs="Arial"/>
          <w:b/>
          <w:sz w:val="22"/>
          <w:szCs w:val="22"/>
        </w:rPr>
        <w:t>Plaza:</w:t>
      </w:r>
      <w:r w:rsidRPr="00794EB9">
        <w:rPr>
          <w:rFonts w:ascii="Arial" w:hAnsi="Arial" w:cs="Arial"/>
          <w:sz w:val="22"/>
          <w:szCs w:val="22"/>
        </w:rPr>
        <w:t xml:space="preserve"> Espacios que cuentan con explanada y mobiliario como bancas y jardineras, normalmente predomina el cubrepiso de adoquín o concreto. </w:t>
      </w:r>
    </w:p>
    <w:p w14:paraId="22B4441E" w14:textId="77777777" w:rsidR="00794EB9" w:rsidRPr="00794EB9" w:rsidRDefault="00794EB9" w:rsidP="0018463D">
      <w:pPr>
        <w:pStyle w:val="Prrafodelista"/>
        <w:numPr>
          <w:ilvl w:val="0"/>
          <w:numId w:val="25"/>
        </w:numPr>
        <w:ind w:left="567" w:hanging="567"/>
        <w:jc w:val="both"/>
        <w:rPr>
          <w:rFonts w:ascii="Arial" w:hAnsi="Arial" w:cs="Arial"/>
          <w:sz w:val="22"/>
          <w:szCs w:val="22"/>
        </w:rPr>
      </w:pPr>
      <w:r w:rsidRPr="00794EB9">
        <w:rPr>
          <w:rFonts w:ascii="Arial" w:hAnsi="Arial" w:cs="Arial"/>
          <w:b/>
          <w:sz w:val="22"/>
          <w:szCs w:val="22"/>
        </w:rPr>
        <w:t>Predio con potencial para intervención</w:t>
      </w:r>
      <w:r w:rsidRPr="00794EB9">
        <w:rPr>
          <w:rFonts w:ascii="Arial" w:hAnsi="Arial" w:cs="Arial"/>
          <w:sz w:val="22"/>
          <w:szCs w:val="22"/>
        </w:rPr>
        <w:t xml:space="preserve">: espacios sin mobiliario ni infraestructura, pero con factibilidad para la ejecución de un proyecto de acuerdo a sus características y contexto.   </w:t>
      </w:r>
    </w:p>
    <w:p w14:paraId="78A608D7" w14:textId="77777777" w:rsidR="00794EB9" w:rsidRPr="00794EB9" w:rsidRDefault="00794EB9" w:rsidP="00794EB9">
      <w:pPr>
        <w:pStyle w:val="PMDNormal"/>
        <w:ind w:left="0" w:hanging="2"/>
        <w:rPr>
          <w:rStyle w:val="PMDNormalCar"/>
          <w:rFonts w:ascii="Arial" w:hAnsi="Arial" w:cs="Arial"/>
          <w:color w:val="auto"/>
        </w:rPr>
      </w:pPr>
    </w:p>
    <w:p w14:paraId="14AE070F" w14:textId="77777777" w:rsidR="00794EB9" w:rsidRPr="00794EB9" w:rsidRDefault="00794EB9" w:rsidP="00794EB9">
      <w:pPr>
        <w:pStyle w:val="PMDNormal"/>
        <w:ind w:left="0" w:hanging="2"/>
        <w:rPr>
          <w:rFonts w:ascii="Arial" w:hAnsi="Arial" w:cs="Arial"/>
          <w:color w:val="auto"/>
        </w:rPr>
      </w:pPr>
      <w:r w:rsidRPr="00794EB9">
        <w:rPr>
          <w:rStyle w:val="PMDNormalCar"/>
          <w:rFonts w:ascii="Arial" w:hAnsi="Arial" w:cs="Arial"/>
          <w:color w:val="auto"/>
        </w:rPr>
        <w:t xml:space="preserve">Con el objetivo de construir un modelo de ciudad más sostenible y de atender nuevas necesidades sociales, económicas y ambientales, se integran </w:t>
      </w:r>
      <w:r w:rsidRPr="00794EB9">
        <w:rPr>
          <w:rFonts w:ascii="Arial" w:eastAsia="Times New Roman" w:hAnsi="Arial" w:cs="Arial"/>
          <w:color w:val="auto"/>
        </w:rPr>
        <w:t xml:space="preserve">las áreas verdes con una superficie de </w:t>
      </w:r>
      <w:r w:rsidRPr="00794EB9">
        <w:rPr>
          <w:rStyle w:val="PMDNormalCar"/>
          <w:rFonts w:ascii="Arial" w:hAnsi="Arial" w:cs="Arial"/>
          <w:color w:val="auto"/>
        </w:rPr>
        <w:t>492.7</w:t>
      </w:r>
      <w:r w:rsidRPr="00794EB9">
        <w:rPr>
          <w:rFonts w:ascii="Arial" w:hAnsi="Arial" w:cs="Arial"/>
          <w:color w:val="auto"/>
        </w:rPr>
        <w:t xml:space="preserve"> hectáreas conformadas por parques metropolitanos, parques urbanos y jardines públicos. Estas equivalen a 4.9 m</w:t>
      </w:r>
      <w:r w:rsidRPr="00794EB9">
        <w:rPr>
          <w:rFonts w:ascii="Arial" w:hAnsi="Arial" w:cs="Arial"/>
          <w:color w:val="auto"/>
          <w:vertAlign w:val="superscript"/>
        </w:rPr>
        <w:t>2</w:t>
      </w:r>
      <w:r w:rsidRPr="00794EB9">
        <w:rPr>
          <w:rFonts w:ascii="Arial" w:hAnsi="Arial" w:cs="Arial"/>
          <w:color w:val="auto"/>
        </w:rPr>
        <w:t xml:space="preserve"> de áreas verdes por habitante. </w:t>
      </w:r>
    </w:p>
    <w:p w14:paraId="7351941A" w14:textId="77777777" w:rsidR="00794EB9" w:rsidRPr="00794EB9" w:rsidRDefault="00794EB9" w:rsidP="00794EB9">
      <w:pPr>
        <w:pStyle w:val="PMDNormal"/>
        <w:ind w:left="0" w:hanging="2"/>
        <w:rPr>
          <w:rStyle w:val="PMDNormalCar"/>
          <w:rFonts w:ascii="Arial" w:hAnsi="Arial" w:cs="Arial"/>
          <w:color w:val="auto"/>
        </w:rPr>
      </w:pPr>
    </w:p>
    <w:p w14:paraId="1BAB987E" w14:textId="77777777" w:rsidR="00794EB9" w:rsidRPr="00794EB9" w:rsidRDefault="00794EB9" w:rsidP="00794EB9">
      <w:pPr>
        <w:pStyle w:val="PMDNormal"/>
        <w:ind w:left="0" w:hanging="2"/>
        <w:rPr>
          <w:rStyle w:val="PMDNormalCar"/>
          <w:rFonts w:ascii="Arial" w:hAnsi="Arial" w:cs="Arial"/>
          <w:color w:val="auto"/>
        </w:rPr>
      </w:pPr>
    </w:p>
    <w:p w14:paraId="2105D4BF" w14:textId="77777777" w:rsidR="00794EB9" w:rsidRPr="00794EB9" w:rsidRDefault="00794EB9" w:rsidP="00794EB9">
      <w:pPr>
        <w:ind w:hanging="2"/>
        <w:jc w:val="center"/>
        <w:rPr>
          <w:rFonts w:ascii="Arial" w:eastAsia="Calibri" w:hAnsi="Arial" w:cs="Arial"/>
          <w:sz w:val="22"/>
          <w:szCs w:val="22"/>
        </w:rPr>
      </w:pPr>
      <w:r w:rsidRPr="00794EB9">
        <w:rPr>
          <w:rFonts w:ascii="Arial" w:hAnsi="Arial" w:cs="Arial"/>
          <w:b/>
          <w:noProof/>
          <w:sz w:val="22"/>
          <w:szCs w:val="22"/>
          <w:lang w:val="es-MX" w:eastAsia="es-MX"/>
        </w:rPr>
        <w:lastRenderedPageBreak/>
        <w:drawing>
          <wp:inline distT="0" distB="0" distL="0" distR="0" wp14:anchorId="57FA5F01" wp14:editId="3B1B8FCA">
            <wp:extent cx="5667375" cy="4408805"/>
            <wp:effectExtent l="0" t="0" r="0" b="0"/>
            <wp:docPr id="19"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67375" cy="4408805"/>
                    </a:xfrm>
                    <a:prstGeom prst="rect">
                      <a:avLst/>
                    </a:prstGeom>
                    <a:noFill/>
                    <a:ln>
                      <a:noFill/>
                    </a:ln>
                  </pic:spPr>
                </pic:pic>
              </a:graphicData>
            </a:graphic>
          </wp:inline>
        </w:drawing>
      </w:r>
    </w:p>
    <w:p w14:paraId="77BF54FC" w14:textId="77777777" w:rsidR="00794EB9" w:rsidRPr="00794EB9" w:rsidRDefault="00794EB9" w:rsidP="00794EB9">
      <w:pPr>
        <w:ind w:hanging="2"/>
        <w:jc w:val="both"/>
        <w:rPr>
          <w:rFonts w:ascii="Arial" w:eastAsia="Calibri" w:hAnsi="Arial" w:cs="Arial"/>
          <w:sz w:val="22"/>
          <w:szCs w:val="22"/>
        </w:rPr>
      </w:pPr>
    </w:p>
    <w:p w14:paraId="022C5132" w14:textId="77777777" w:rsidR="00794EB9" w:rsidRPr="00794EB9" w:rsidRDefault="00794EB9" w:rsidP="00794EB9">
      <w:pPr>
        <w:pStyle w:val="PMDTtulo2"/>
        <w:ind w:left="0" w:hanging="2"/>
        <w:rPr>
          <w:rFonts w:ascii="Arial" w:hAnsi="Arial"/>
          <w:color w:val="auto"/>
          <w:sz w:val="22"/>
          <w:szCs w:val="22"/>
          <w:u w:val="single"/>
        </w:rPr>
      </w:pPr>
      <w:r w:rsidRPr="00794EB9">
        <w:rPr>
          <w:rFonts w:ascii="Arial" w:hAnsi="Arial"/>
          <w:color w:val="auto"/>
          <w:sz w:val="22"/>
          <w:szCs w:val="22"/>
          <w:u w:val="single"/>
        </w:rPr>
        <w:t xml:space="preserve">Vivienda y asentamientos humanos </w:t>
      </w:r>
    </w:p>
    <w:p w14:paraId="79339233" w14:textId="77777777" w:rsidR="00794EB9" w:rsidRPr="00794EB9" w:rsidRDefault="00794EB9" w:rsidP="00794EB9">
      <w:pPr>
        <w:ind w:hanging="2"/>
        <w:jc w:val="both"/>
        <w:rPr>
          <w:rFonts w:ascii="Arial" w:hAnsi="Arial" w:cs="Arial"/>
          <w:sz w:val="22"/>
          <w:szCs w:val="22"/>
        </w:rPr>
      </w:pPr>
    </w:p>
    <w:p w14:paraId="4A7CA0B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Con la pandemia la vivienda no sólo fue el espacio que resguarda a sus habitantes, también se convirtió en el aula de estudios de las niñas, niños y jóvenes; en el área de trabajo de los adultos, en la zona de recreación y de actividades sociales de todos los integrantes de la familia.</w:t>
      </w:r>
    </w:p>
    <w:p w14:paraId="2A2E9CDE" w14:textId="77777777" w:rsidR="00794EB9" w:rsidRPr="00794EB9" w:rsidRDefault="00794EB9" w:rsidP="00794EB9">
      <w:pPr>
        <w:ind w:hanging="2"/>
        <w:jc w:val="both"/>
        <w:rPr>
          <w:rFonts w:ascii="Arial" w:hAnsi="Arial" w:cs="Arial"/>
          <w:sz w:val="22"/>
          <w:szCs w:val="22"/>
        </w:rPr>
      </w:pPr>
    </w:p>
    <w:p w14:paraId="5944CB4F"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La vivienda es el punto central de la cohesión no sólo con los integrantes del hogar, sino con la sociedad como tal, por lo que la posibilidad de contar con una vivienda adecuada tiene un impacto en el bienestar de sus residentes.</w:t>
      </w:r>
    </w:p>
    <w:p w14:paraId="3F388DA9" w14:textId="77777777" w:rsidR="00794EB9" w:rsidRPr="00794EB9" w:rsidRDefault="00794EB9" w:rsidP="00794EB9">
      <w:pPr>
        <w:pStyle w:val="PMDNormal"/>
        <w:ind w:left="0" w:hanging="2"/>
        <w:rPr>
          <w:rFonts w:ascii="Arial" w:hAnsi="Arial" w:cs="Arial"/>
          <w:color w:val="auto"/>
        </w:rPr>
      </w:pPr>
    </w:p>
    <w:p w14:paraId="779F5ED0"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En León, de 2015 a 2020, las viviendas particulares habitadas se incrementaron de 386 mil 977 a 440 mil 662, lo que implica un crecimiento anual del 2.6%, es decir, un aumento promedio de 10 mil 737 viviendas cada año.</w:t>
      </w:r>
    </w:p>
    <w:p w14:paraId="38054A46" w14:textId="77777777" w:rsidR="00794EB9" w:rsidRPr="00794EB9" w:rsidRDefault="00794EB9" w:rsidP="00794EB9">
      <w:pPr>
        <w:pStyle w:val="PMDNormal"/>
        <w:ind w:left="0" w:hanging="2"/>
        <w:rPr>
          <w:rFonts w:ascii="Arial" w:hAnsi="Arial" w:cs="Arial"/>
          <w:color w:val="auto"/>
        </w:rPr>
      </w:pPr>
    </w:p>
    <w:p w14:paraId="3DFF2AE2"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Del total de viviendas registradas en 2020, existían 70 mil 778 viviendas no habitadas, de las cuales 60 mil 137 fueron viviendas deshabitadas y 10 mil 641 de uso temporal. Cabe señalar que las viviendas deshabitadas se incrementaron en 10.5% y las de uso temporal en 1.5% en relación con las identificadas en 2010. </w:t>
      </w:r>
      <w:r w:rsidRPr="00794EB9">
        <w:rPr>
          <w:rFonts w:ascii="Arial" w:eastAsia="Arial" w:hAnsi="Arial" w:cs="Arial"/>
          <w:i/>
          <w:color w:val="auto"/>
          <w:u w:val="single"/>
        </w:rPr>
        <w:t>(Este dato no está disponible para el año 2015)</w:t>
      </w:r>
    </w:p>
    <w:p w14:paraId="011CF693" w14:textId="77777777" w:rsidR="00794EB9" w:rsidRPr="00794EB9" w:rsidRDefault="00794EB9" w:rsidP="00794EB9">
      <w:pPr>
        <w:pStyle w:val="PMDNormal"/>
        <w:ind w:left="0" w:hanging="2"/>
        <w:rPr>
          <w:rFonts w:ascii="Arial" w:hAnsi="Arial" w:cs="Arial"/>
          <w:color w:val="auto"/>
        </w:rPr>
      </w:pPr>
    </w:p>
    <w:p w14:paraId="4F2C0A0B" w14:textId="77777777" w:rsidR="00794EB9" w:rsidRPr="00794EB9" w:rsidRDefault="00794EB9" w:rsidP="00794EB9">
      <w:pPr>
        <w:pStyle w:val="Textonotapie"/>
        <w:ind w:hanging="2"/>
        <w:jc w:val="both"/>
        <w:rPr>
          <w:rFonts w:ascii="Arial" w:hAnsi="Arial" w:cs="Arial"/>
          <w:i/>
          <w:szCs w:val="22"/>
          <w:u w:val="single"/>
        </w:rPr>
      </w:pPr>
      <w:r w:rsidRPr="00794EB9">
        <w:rPr>
          <w:rFonts w:ascii="Arial" w:hAnsi="Arial" w:cs="Arial"/>
          <w:szCs w:val="22"/>
        </w:rPr>
        <w:lastRenderedPageBreak/>
        <w:t xml:space="preserve">Se tiene identificado, que el abandono de las viviendas provoca procesos de degradación y desvalorización de las zonas en donde se encuentran. Entre las principales causas por las que se abandona la vivienda en León es la lejanía a los centros urbanos y de trabajo, inseguridad, inadecuada calidad de la construcción, carencias en el servicio de transporte urbano, abandono de espacios públicos, falta de equipamiento, vandalización de infraestructuras, problemas económicos para pagar la hipoteca, compra sin interés de habitar la vivienda y cambios generacionales en los barrios tradicionales y centro histórico. </w:t>
      </w:r>
      <w:r w:rsidRPr="00794EB9">
        <w:rPr>
          <w:rFonts w:ascii="Arial" w:hAnsi="Arial" w:cs="Arial"/>
          <w:i/>
          <w:szCs w:val="22"/>
          <w:u w:val="single"/>
        </w:rPr>
        <w:t>(Estudio “análisis y estrategias para la vivienda deshabitada en León”. IMPLAN, 2020.)</w:t>
      </w:r>
    </w:p>
    <w:p w14:paraId="678A1B04" w14:textId="77777777" w:rsidR="00794EB9" w:rsidRPr="00794EB9" w:rsidRDefault="00794EB9" w:rsidP="00794EB9">
      <w:pPr>
        <w:pStyle w:val="PMDNormal"/>
        <w:ind w:leftChars="0" w:left="0" w:firstLineChars="0" w:firstLine="0"/>
        <w:rPr>
          <w:rFonts w:ascii="Arial" w:hAnsi="Arial" w:cs="Arial"/>
          <w:color w:val="auto"/>
        </w:rPr>
      </w:pPr>
    </w:p>
    <w:p w14:paraId="383B57A6"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En cuanto a la tenencia, la vivienda propia se redujo de 65.4% en 2015 a 64.7% en 2020, en tanto que la vivienda alquilada aumentó de 21.4% a 23.04% en el mismo periodo.  </w:t>
      </w:r>
    </w:p>
    <w:p w14:paraId="579E440F" w14:textId="77777777" w:rsidR="00794EB9" w:rsidRPr="00794EB9" w:rsidRDefault="00794EB9" w:rsidP="00794EB9">
      <w:pPr>
        <w:ind w:hanging="2"/>
        <w:jc w:val="both"/>
        <w:rPr>
          <w:rFonts w:ascii="Arial" w:hAnsi="Arial" w:cs="Arial"/>
          <w:sz w:val="22"/>
          <w:szCs w:val="22"/>
        </w:rPr>
      </w:pPr>
    </w:p>
    <w:p w14:paraId="6DA5DB9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Respecto a la calidad de éstas, de 2015 a 2020, el porcentaje de viviendas con paredes de materiales sólidos</w:t>
      </w:r>
      <w:r w:rsidRPr="00794EB9">
        <w:rPr>
          <w:rStyle w:val="Refdenotaalpie"/>
          <w:rFonts w:ascii="Arial" w:hAnsi="Arial" w:cs="Arial"/>
          <w:sz w:val="22"/>
          <w:szCs w:val="22"/>
        </w:rPr>
        <w:footnoteReference w:id="1"/>
      </w:r>
      <w:r w:rsidRPr="00794EB9">
        <w:rPr>
          <w:rFonts w:ascii="Arial" w:hAnsi="Arial" w:cs="Arial"/>
          <w:sz w:val="22"/>
          <w:szCs w:val="22"/>
        </w:rPr>
        <w:t xml:space="preserve"> se incrementó de 96% a 98.8%, sin embargo, las viviendas con piso de tierra también aumentaron de 0.9% a 1.4%.</w:t>
      </w:r>
    </w:p>
    <w:p w14:paraId="0EE668DB" w14:textId="77777777" w:rsidR="00794EB9" w:rsidRPr="00794EB9" w:rsidRDefault="00794EB9" w:rsidP="00794EB9">
      <w:pPr>
        <w:ind w:hanging="2"/>
        <w:jc w:val="both"/>
        <w:rPr>
          <w:rFonts w:ascii="Arial" w:hAnsi="Arial" w:cs="Arial"/>
          <w:sz w:val="22"/>
          <w:szCs w:val="22"/>
        </w:rPr>
      </w:pPr>
    </w:p>
    <w:p w14:paraId="38515F2B"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Cabe destacar que en León, en el segundo trimestre de 2021, el 52.1% de la población ocupada contó con un ingreso de hasta dos salarios mínimos (399 mil 837 personas) y el 49.4% se encontró en condiciones de informalidad, lo anterior provoca que buena parte de la población no pueda acceder a una vivienda digna, debido a que no tiene los ingresos suficientes y prestaciones laborales que permitan obtener un crédito para adquirir su vivienda.</w:t>
      </w:r>
      <w:r w:rsidRPr="00794EB9">
        <w:rPr>
          <w:rStyle w:val="Refdenotaalpie"/>
          <w:rFonts w:ascii="Arial" w:hAnsi="Arial" w:cs="Arial"/>
          <w:sz w:val="22"/>
          <w:szCs w:val="22"/>
        </w:rPr>
        <w:t xml:space="preserve"> </w:t>
      </w:r>
    </w:p>
    <w:p w14:paraId="24BCC4A6" w14:textId="77777777" w:rsidR="00794EB9" w:rsidRPr="00794EB9" w:rsidRDefault="00794EB9" w:rsidP="00794EB9">
      <w:pPr>
        <w:ind w:hanging="2"/>
        <w:jc w:val="both"/>
        <w:rPr>
          <w:rFonts w:ascii="Arial" w:hAnsi="Arial" w:cs="Arial"/>
          <w:sz w:val="22"/>
          <w:szCs w:val="22"/>
        </w:rPr>
      </w:pPr>
    </w:p>
    <w:p w14:paraId="78D0C77A"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mayo de 2021 entró en vigor el nuevo sistema de puntaje del Infonavit, el cual contempla diversos factores que facilitan al trabajador el acceso a un crédito para la adquisición de vivienda. Entre los principales cambios destacan: la reducción de ocho a cuatro bimestres continuos de cotización, ampliación de la edad límite (de 49 a 55 años) para solicitar un crédito, financiamiento para personas que fueron derechohabientes y que ya no cotizan para la institución, pero tienen saldo en su subcuenta de vivienda.</w:t>
      </w:r>
    </w:p>
    <w:p w14:paraId="7C8195D8" w14:textId="77777777" w:rsidR="00794EB9" w:rsidRPr="00794EB9" w:rsidRDefault="00794EB9" w:rsidP="00794EB9">
      <w:pPr>
        <w:ind w:hanging="2"/>
        <w:jc w:val="both"/>
        <w:rPr>
          <w:rFonts w:ascii="Arial" w:hAnsi="Arial" w:cs="Arial"/>
          <w:sz w:val="22"/>
          <w:szCs w:val="22"/>
        </w:rPr>
      </w:pPr>
    </w:p>
    <w:p w14:paraId="125E697F" w14:textId="77777777" w:rsidR="00794EB9" w:rsidRPr="00794EB9" w:rsidRDefault="00794EB9" w:rsidP="00794EB9">
      <w:pPr>
        <w:pStyle w:val="PMDNormal"/>
        <w:ind w:left="0" w:hanging="2"/>
        <w:rPr>
          <w:rFonts w:ascii="Arial" w:eastAsiaTheme="minorHAnsi" w:hAnsi="Arial" w:cs="Arial"/>
          <w:color w:val="auto"/>
          <w:lang w:eastAsia="en-US"/>
        </w:rPr>
      </w:pPr>
      <w:r w:rsidRPr="00794EB9">
        <w:rPr>
          <w:rFonts w:ascii="Arial" w:eastAsiaTheme="minorHAnsi" w:hAnsi="Arial" w:cs="Arial"/>
          <w:color w:val="auto"/>
          <w:lang w:eastAsia="en-US"/>
        </w:rPr>
        <w:t>Por otra parte, en 2020, el IMUVI registró 113 asentamientos humanos de origen irregular que cuentan con más del 30% de consolidación, algunos de estos se encuentran con un proceso de regularización.</w:t>
      </w:r>
    </w:p>
    <w:p w14:paraId="4B01E183" w14:textId="77777777" w:rsidR="00794EB9" w:rsidRPr="00794EB9" w:rsidRDefault="00794EB9" w:rsidP="00794EB9">
      <w:pPr>
        <w:pStyle w:val="PMDNormal"/>
        <w:ind w:left="0" w:hanging="2"/>
        <w:rPr>
          <w:rFonts w:ascii="Arial" w:eastAsiaTheme="minorHAnsi" w:hAnsi="Arial" w:cs="Arial"/>
          <w:color w:val="auto"/>
          <w:lang w:eastAsia="en-US"/>
        </w:rPr>
      </w:pPr>
    </w:p>
    <w:p w14:paraId="22353728" w14:textId="77777777" w:rsidR="00794EB9" w:rsidRPr="00794EB9" w:rsidRDefault="00794EB9" w:rsidP="00794EB9">
      <w:pPr>
        <w:ind w:hanging="2"/>
        <w:rPr>
          <w:rFonts w:ascii="Arial" w:hAnsi="Arial" w:cs="Arial"/>
          <w:sz w:val="22"/>
          <w:szCs w:val="22"/>
        </w:rPr>
      </w:pPr>
    </w:p>
    <w:p w14:paraId="6E91C7D4" w14:textId="77777777" w:rsidR="00794EB9" w:rsidRPr="00794EB9" w:rsidRDefault="00794EB9" w:rsidP="00794EB9">
      <w:pPr>
        <w:pStyle w:val="PMDNormal"/>
        <w:ind w:left="0" w:hanging="2"/>
        <w:rPr>
          <w:rFonts w:ascii="Arial" w:eastAsiaTheme="minorHAnsi" w:hAnsi="Arial" w:cs="Arial"/>
          <w:color w:val="auto"/>
          <w:lang w:eastAsia="en-US"/>
        </w:rPr>
      </w:pPr>
      <w:r w:rsidRPr="00794EB9">
        <w:rPr>
          <w:rFonts w:ascii="Arial" w:eastAsiaTheme="minorHAnsi" w:hAnsi="Arial" w:cs="Arial"/>
          <w:noProof/>
          <w:color w:val="auto"/>
        </w:rPr>
        <w:lastRenderedPageBreak/>
        <w:drawing>
          <wp:inline distT="0" distB="0" distL="0" distR="0" wp14:anchorId="2B681DD6" wp14:editId="544D7255">
            <wp:extent cx="5552902" cy="7247425"/>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a-26.png"/>
                    <pic:cNvPicPr/>
                  </pic:nvPicPr>
                  <pic:blipFill>
                    <a:blip r:embed="rId71" cstate="print">
                      <a:extLst>
                        <a:ext uri="{BEBA8EAE-BF5A-486C-A8C5-ECC9F3942E4B}">
                          <a14:imgProps xmlns:a14="http://schemas.microsoft.com/office/drawing/2010/main">
                            <a14:imgLayer r:embed="rId7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63046" cy="7260664"/>
                    </a:xfrm>
                    <a:prstGeom prst="rect">
                      <a:avLst/>
                    </a:prstGeom>
                  </pic:spPr>
                </pic:pic>
              </a:graphicData>
            </a:graphic>
          </wp:inline>
        </w:drawing>
      </w:r>
    </w:p>
    <w:p w14:paraId="69AC0919" w14:textId="77777777" w:rsidR="00794EB9" w:rsidRPr="00794EB9" w:rsidRDefault="00794EB9" w:rsidP="00794EB9">
      <w:pPr>
        <w:pStyle w:val="PMDNormal"/>
        <w:ind w:left="0" w:hanging="2"/>
        <w:rPr>
          <w:rFonts w:ascii="Arial" w:eastAsiaTheme="minorHAnsi" w:hAnsi="Arial" w:cs="Arial"/>
          <w:color w:val="auto"/>
          <w:lang w:eastAsia="en-US"/>
        </w:rPr>
      </w:pPr>
    </w:p>
    <w:p w14:paraId="07E5F24E" w14:textId="77777777" w:rsidR="00794EB9" w:rsidRPr="00794EB9" w:rsidRDefault="00794EB9" w:rsidP="00794EB9">
      <w:pPr>
        <w:pStyle w:val="PMDNormal"/>
        <w:ind w:left="0" w:hanging="2"/>
        <w:rPr>
          <w:rFonts w:ascii="Arial" w:eastAsiaTheme="minorHAnsi" w:hAnsi="Arial" w:cs="Arial"/>
          <w:color w:val="auto"/>
          <w:lang w:eastAsia="en-US"/>
        </w:rPr>
      </w:pPr>
    </w:p>
    <w:p w14:paraId="1B8D553B" w14:textId="77777777" w:rsidR="00794EB9" w:rsidRPr="00794EB9" w:rsidRDefault="00794EB9" w:rsidP="00794EB9">
      <w:pPr>
        <w:pStyle w:val="PMDNormal"/>
        <w:ind w:left="0" w:hanging="2"/>
        <w:jc w:val="center"/>
        <w:rPr>
          <w:rFonts w:ascii="Arial" w:eastAsiaTheme="minorHAnsi" w:hAnsi="Arial" w:cs="Arial"/>
          <w:color w:val="auto"/>
          <w:lang w:eastAsia="en-US"/>
        </w:rPr>
      </w:pPr>
      <w:r w:rsidRPr="00794EB9">
        <w:rPr>
          <w:rFonts w:ascii="Arial" w:eastAsiaTheme="minorHAnsi" w:hAnsi="Arial" w:cs="Arial"/>
          <w:noProof/>
          <w:color w:val="auto"/>
        </w:rPr>
        <w:lastRenderedPageBreak/>
        <w:drawing>
          <wp:inline distT="0" distB="0" distL="0" distR="0" wp14:anchorId="3A280DAE" wp14:editId="2DA1AE25">
            <wp:extent cx="4680585" cy="4001770"/>
            <wp:effectExtent l="0" t="0" r="5715" b="0"/>
            <wp:docPr id="18"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680585" cy="4001770"/>
                    </a:xfrm>
                    <a:prstGeom prst="rect">
                      <a:avLst/>
                    </a:prstGeom>
                    <a:noFill/>
                    <a:ln>
                      <a:noFill/>
                    </a:ln>
                  </pic:spPr>
                </pic:pic>
              </a:graphicData>
            </a:graphic>
          </wp:inline>
        </w:drawing>
      </w:r>
    </w:p>
    <w:p w14:paraId="180B896F" w14:textId="77777777" w:rsidR="00794EB9" w:rsidRPr="00794EB9" w:rsidRDefault="00794EB9" w:rsidP="00794EB9">
      <w:pPr>
        <w:pStyle w:val="PMDNormal"/>
        <w:ind w:left="0" w:hanging="2"/>
        <w:rPr>
          <w:rFonts w:ascii="Arial" w:eastAsiaTheme="minorHAnsi" w:hAnsi="Arial" w:cs="Arial"/>
          <w:color w:val="auto"/>
          <w:lang w:eastAsia="en-US"/>
        </w:rPr>
      </w:pPr>
    </w:p>
    <w:p w14:paraId="0DA4285E" w14:textId="77777777" w:rsidR="00794EB9" w:rsidRPr="00794EB9" w:rsidRDefault="00794EB9" w:rsidP="00794EB9">
      <w:pPr>
        <w:pStyle w:val="PMDTtulo2"/>
        <w:ind w:left="0" w:hanging="2"/>
        <w:rPr>
          <w:rFonts w:ascii="Arial" w:hAnsi="Arial"/>
          <w:color w:val="auto"/>
          <w:sz w:val="22"/>
          <w:szCs w:val="22"/>
          <w:u w:val="single"/>
        </w:rPr>
      </w:pPr>
      <w:r w:rsidRPr="00794EB9">
        <w:rPr>
          <w:rFonts w:ascii="Arial" w:hAnsi="Arial"/>
          <w:color w:val="auto"/>
          <w:sz w:val="22"/>
          <w:szCs w:val="22"/>
          <w:u w:val="single"/>
        </w:rPr>
        <w:t xml:space="preserve">Movilidad </w:t>
      </w:r>
    </w:p>
    <w:p w14:paraId="6DAD44BC" w14:textId="77777777" w:rsidR="00794EB9" w:rsidRPr="00794EB9" w:rsidRDefault="00794EB9" w:rsidP="00794EB9">
      <w:pPr>
        <w:ind w:hanging="2"/>
        <w:rPr>
          <w:rFonts w:ascii="Arial" w:hAnsi="Arial" w:cs="Arial"/>
          <w:sz w:val="22"/>
          <w:szCs w:val="22"/>
        </w:rPr>
      </w:pPr>
    </w:p>
    <w:p w14:paraId="2B32CF0B" w14:textId="77777777" w:rsidR="00794EB9" w:rsidRPr="00794EB9" w:rsidRDefault="00794EB9" w:rsidP="00794EB9">
      <w:pPr>
        <w:pStyle w:val="PMDTtulo2"/>
        <w:ind w:left="0" w:hanging="2"/>
        <w:rPr>
          <w:rFonts w:ascii="Arial" w:hAnsi="Arial"/>
          <w:i/>
          <w:color w:val="auto"/>
          <w:sz w:val="22"/>
          <w:szCs w:val="22"/>
        </w:rPr>
      </w:pPr>
      <w:r w:rsidRPr="00794EB9">
        <w:rPr>
          <w:rFonts w:ascii="Arial" w:hAnsi="Arial"/>
          <w:i/>
          <w:color w:val="auto"/>
          <w:sz w:val="22"/>
          <w:szCs w:val="22"/>
        </w:rPr>
        <w:t xml:space="preserve">Infraestructura para la movilidad </w:t>
      </w:r>
    </w:p>
    <w:p w14:paraId="573D9E74" w14:textId="77777777" w:rsidR="00794EB9" w:rsidRPr="00794EB9" w:rsidRDefault="00794EB9" w:rsidP="00794EB9">
      <w:pPr>
        <w:pStyle w:val="PMDTtulo2"/>
        <w:ind w:left="0" w:hanging="2"/>
        <w:rPr>
          <w:rFonts w:ascii="Arial" w:hAnsi="Arial"/>
          <w:color w:val="auto"/>
          <w:sz w:val="22"/>
          <w:szCs w:val="22"/>
        </w:rPr>
      </w:pPr>
    </w:p>
    <w:p w14:paraId="71F4B097"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León</w:t>
      </w:r>
      <w:r w:rsidRPr="00794EB9">
        <w:rPr>
          <w:rFonts w:ascii="Arial" w:hAnsi="Arial" w:cs="Arial"/>
          <w:b/>
          <w:color w:val="auto"/>
        </w:rPr>
        <w:t xml:space="preserve"> </w:t>
      </w:r>
      <w:r w:rsidRPr="00794EB9">
        <w:rPr>
          <w:rFonts w:ascii="Arial" w:hAnsi="Arial" w:cs="Arial"/>
          <w:color w:val="auto"/>
        </w:rPr>
        <w:t>cuenta con una planeación de largo plazo que le permite desarrollar y dar continuidad a la infraestructura vial para favorecer el traslado de los distintos modos de movilidad, ya sea de manera activa al caminar o andar en bicicleta, o motorizada con el transporte público y privado.</w:t>
      </w:r>
    </w:p>
    <w:p w14:paraId="532772A3" w14:textId="77777777" w:rsidR="00794EB9" w:rsidRPr="00794EB9" w:rsidRDefault="00794EB9" w:rsidP="00794EB9">
      <w:pPr>
        <w:pStyle w:val="PMDNormal"/>
        <w:ind w:left="0" w:hanging="2"/>
        <w:rPr>
          <w:rFonts w:ascii="Arial" w:hAnsi="Arial" w:cs="Arial"/>
          <w:color w:val="auto"/>
        </w:rPr>
      </w:pPr>
    </w:p>
    <w:p w14:paraId="2B65B2B4"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En este sentido se han impulsado diversos proyectos como el Plan Maestro de la Ruta del Peatón, cuyo origen se estableció para conectar los barrios tradicionales con el Centro Histórico. Esta ruta cuenta actualmente con 8.52 km existentes, además de 4.83 km con proyecto ejecutivo y 1.63 km con anteproyectos.</w:t>
      </w:r>
    </w:p>
    <w:p w14:paraId="778574E9" w14:textId="77777777" w:rsidR="00794EB9" w:rsidRPr="00794EB9" w:rsidRDefault="00794EB9" w:rsidP="00794EB9">
      <w:pPr>
        <w:pStyle w:val="PMDNormal"/>
        <w:ind w:left="0" w:hanging="2"/>
        <w:rPr>
          <w:rFonts w:ascii="Arial" w:hAnsi="Arial" w:cs="Arial"/>
          <w:color w:val="auto"/>
        </w:rPr>
      </w:pPr>
    </w:p>
    <w:p w14:paraId="55E30076"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A su vez, la red de ciclovías municipales pasó de contar con 111 km en 2015 a 216.48 km en octubre de 2021, por la construcción de ciclovías en nuevas vialidades y la incorporación de éstas sobre vialidades con una alta demanda de ciclistas. Esta red parte de la actualización del Plan maestro de ciclovías 2016.     </w:t>
      </w:r>
    </w:p>
    <w:p w14:paraId="0095856A" w14:textId="77777777" w:rsidR="00794EB9" w:rsidRPr="00794EB9" w:rsidRDefault="00794EB9" w:rsidP="00794EB9">
      <w:pPr>
        <w:pStyle w:val="PMDNormal"/>
        <w:ind w:left="0" w:hanging="2"/>
        <w:rPr>
          <w:rFonts w:ascii="Arial" w:hAnsi="Arial" w:cs="Arial"/>
          <w:color w:val="auto"/>
        </w:rPr>
      </w:pPr>
    </w:p>
    <w:p w14:paraId="032BDF1F"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Para aprovechar el margen de los arroyos que cruzan la zona urbana, rehabilitar y recuperar su cauce y la vegetación nativa circundante, retomando lo establecido en el Plan Maestro de Parques Lineales, además de favorecer la movilidad activa no sólo al interior de estos sino en el entorno inmediato, en el 2021 se tiene una longitud de 24.54 km de parques lineales. </w:t>
      </w:r>
    </w:p>
    <w:p w14:paraId="451B50CD" w14:textId="77777777" w:rsidR="00794EB9" w:rsidRPr="00794EB9" w:rsidRDefault="00794EB9" w:rsidP="00794EB9">
      <w:pPr>
        <w:pStyle w:val="PMDNormal"/>
        <w:ind w:left="0" w:hanging="2"/>
        <w:rPr>
          <w:rFonts w:ascii="Arial" w:hAnsi="Arial" w:cs="Arial"/>
          <w:color w:val="auto"/>
        </w:rPr>
      </w:pPr>
    </w:p>
    <w:p w14:paraId="43F791B6"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lastRenderedPageBreak/>
        <w:t>El Sistema Integrado de Transporte (SIT) inició su operación en 2003 e incorpora rutas troncales, alimentadoras y auxiliares. Este sistema, junto con las rutas convencionales, ofrece una cobertura del servicio al 99.2% de la zona urbana, con circulación por 3 mil 521.6 km del sistema vial.</w:t>
      </w:r>
      <w:r w:rsidRPr="00794EB9">
        <w:rPr>
          <w:rStyle w:val="Refdenotaalpie"/>
          <w:rFonts w:ascii="Arial" w:hAnsi="Arial" w:cs="Arial"/>
          <w:color w:val="auto"/>
        </w:rPr>
        <w:footnoteReference w:id="2"/>
      </w:r>
    </w:p>
    <w:p w14:paraId="0B9DDE6B" w14:textId="77777777" w:rsidR="00794EB9" w:rsidRPr="00794EB9" w:rsidRDefault="00794EB9" w:rsidP="00794EB9">
      <w:pPr>
        <w:pStyle w:val="PMDNormal"/>
        <w:ind w:left="0" w:hanging="2"/>
        <w:rPr>
          <w:rFonts w:ascii="Arial" w:hAnsi="Arial" w:cs="Arial"/>
          <w:color w:val="auto"/>
        </w:rPr>
      </w:pPr>
    </w:p>
    <w:p w14:paraId="426A668B"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Por otro lado, en el Programa de Desarrollo Urbano y Ordenamiento Ecológico y Territorial se define la red de vías municipales, la cual, actualmente está integrada por 435.99 km de vialidades primarias, metropolitanas e interbarrio, 179.47 kilómetros de vialidades secundarias o colectoras y 2 mil 419 km de calles locales pavimentadas. </w:t>
      </w:r>
    </w:p>
    <w:p w14:paraId="06ECBAC4" w14:textId="77777777" w:rsidR="00794EB9" w:rsidRPr="00794EB9" w:rsidRDefault="00794EB9" w:rsidP="00794EB9">
      <w:pPr>
        <w:pStyle w:val="PMDNormal"/>
        <w:ind w:left="0" w:hanging="2"/>
        <w:rPr>
          <w:rFonts w:ascii="Arial" w:hAnsi="Arial" w:cs="Arial"/>
          <w:color w:val="auto"/>
        </w:rPr>
      </w:pPr>
    </w:p>
    <w:p w14:paraId="42C5A3A1"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Sin embargo, a pesar de estos avances, quedan retos por alcanzar como: reducir el déficit de banquetas sin urbanizar en el sistema vial primario que actualmente es de 127.87 km y la pavimentación de 531 km de calles locales en terracería. Entre la población en situación de vulnerabilidad, existe la necesidad de contar con accesos integrales a colonias para reducir los tiempos de traslados de los usuarios del transporte público, así como fomentar la interconexión de los distintos modos de transporte, a fin de sentar las bases para la movilidad urbana multimodal.</w:t>
      </w:r>
    </w:p>
    <w:p w14:paraId="33233AB2" w14:textId="77777777" w:rsidR="00794EB9" w:rsidRPr="00794EB9" w:rsidRDefault="00794EB9" w:rsidP="00794EB9">
      <w:pPr>
        <w:pStyle w:val="PMDTtulo2"/>
        <w:ind w:left="0" w:hanging="2"/>
        <w:rPr>
          <w:rFonts w:ascii="Arial" w:hAnsi="Arial"/>
          <w:color w:val="auto"/>
          <w:sz w:val="22"/>
          <w:szCs w:val="22"/>
        </w:rPr>
      </w:pPr>
    </w:p>
    <w:p w14:paraId="698F8505" w14:textId="77777777" w:rsidR="00794EB9" w:rsidRPr="00794EB9" w:rsidRDefault="00794EB9" w:rsidP="00794EB9">
      <w:pPr>
        <w:pStyle w:val="PMDNormal"/>
        <w:ind w:left="0" w:hanging="2"/>
        <w:jc w:val="center"/>
        <w:rPr>
          <w:rFonts w:ascii="Arial" w:hAnsi="Arial" w:cs="Arial"/>
          <w:color w:val="auto"/>
        </w:rPr>
      </w:pPr>
      <w:r w:rsidRPr="00794EB9">
        <w:rPr>
          <w:rFonts w:ascii="Arial" w:hAnsi="Arial" w:cs="Arial"/>
          <w:noProof/>
          <w:color w:val="auto"/>
        </w:rPr>
        <w:drawing>
          <wp:inline distT="0" distB="0" distL="0" distR="0" wp14:anchorId="2EA2846E" wp14:editId="2BBF3246">
            <wp:extent cx="4956810" cy="4428488"/>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a-11.png"/>
                    <pic:cNvPicPr/>
                  </pic:nvPicPr>
                  <pic:blipFill>
                    <a:blip r:embed="rId74" cstate="print">
                      <a:extLst>
                        <a:ext uri="{BEBA8EAE-BF5A-486C-A8C5-ECC9F3942E4B}">
                          <a14:imgProps xmlns:a14="http://schemas.microsoft.com/office/drawing/2010/main">
                            <a14:imgLayer r:embed="rId7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956810" cy="4428488"/>
                    </a:xfrm>
                    <a:prstGeom prst="rect">
                      <a:avLst/>
                    </a:prstGeom>
                  </pic:spPr>
                </pic:pic>
              </a:graphicData>
            </a:graphic>
          </wp:inline>
        </w:drawing>
      </w:r>
    </w:p>
    <w:p w14:paraId="41EF0029" w14:textId="77777777" w:rsidR="00794EB9" w:rsidRPr="00794EB9" w:rsidRDefault="00794EB9" w:rsidP="00794EB9">
      <w:pPr>
        <w:pStyle w:val="PMDNormal"/>
        <w:ind w:left="0" w:hanging="2"/>
        <w:rPr>
          <w:rFonts w:ascii="Arial" w:hAnsi="Arial" w:cs="Arial"/>
          <w:color w:val="auto"/>
        </w:rPr>
      </w:pPr>
    </w:p>
    <w:p w14:paraId="08E5FB97" w14:textId="77777777" w:rsidR="00794EB9" w:rsidRPr="00794EB9" w:rsidRDefault="00794EB9" w:rsidP="00794EB9">
      <w:pPr>
        <w:pStyle w:val="PMDTtulo2"/>
        <w:ind w:left="0" w:hanging="2"/>
        <w:jc w:val="center"/>
        <w:rPr>
          <w:rFonts w:ascii="Arial" w:hAnsi="Arial"/>
          <w:color w:val="auto"/>
          <w:sz w:val="22"/>
          <w:szCs w:val="22"/>
        </w:rPr>
      </w:pPr>
      <w:r w:rsidRPr="00794EB9">
        <w:rPr>
          <w:rFonts w:ascii="Arial" w:hAnsi="Arial"/>
          <w:noProof/>
          <w:color w:val="auto"/>
          <w:sz w:val="22"/>
          <w:szCs w:val="22"/>
        </w:rPr>
        <w:lastRenderedPageBreak/>
        <w:drawing>
          <wp:inline distT="0" distB="0" distL="0" distR="0" wp14:anchorId="60F877C0" wp14:editId="3716F62A">
            <wp:extent cx="5676265" cy="3657600"/>
            <wp:effectExtent l="0" t="0" r="635" b="0"/>
            <wp:docPr id="10" name="Image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76265" cy="3657600"/>
                    </a:xfrm>
                    <a:prstGeom prst="rect">
                      <a:avLst/>
                    </a:prstGeom>
                    <a:noFill/>
                    <a:ln>
                      <a:noFill/>
                    </a:ln>
                  </pic:spPr>
                </pic:pic>
              </a:graphicData>
            </a:graphic>
          </wp:inline>
        </w:drawing>
      </w:r>
    </w:p>
    <w:p w14:paraId="79F18966" w14:textId="77777777" w:rsidR="00794EB9" w:rsidRPr="00794EB9" w:rsidRDefault="00794EB9" w:rsidP="00794EB9">
      <w:pPr>
        <w:pStyle w:val="PMDTtulo2"/>
        <w:ind w:left="0" w:hanging="2"/>
        <w:rPr>
          <w:rFonts w:ascii="Arial" w:hAnsi="Arial"/>
          <w:i/>
          <w:color w:val="auto"/>
          <w:sz w:val="22"/>
          <w:szCs w:val="22"/>
        </w:rPr>
      </w:pPr>
      <w:r w:rsidRPr="00794EB9">
        <w:rPr>
          <w:rFonts w:ascii="Arial" w:hAnsi="Arial"/>
          <w:i/>
          <w:color w:val="auto"/>
          <w:sz w:val="22"/>
          <w:szCs w:val="22"/>
        </w:rPr>
        <w:t xml:space="preserve">Sistema de movilidad municipal </w:t>
      </w:r>
    </w:p>
    <w:p w14:paraId="4230FB13" w14:textId="77777777" w:rsidR="00794EB9" w:rsidRPr="00794EB9" w:rsidRDefault="00794EB9" w:rsidP="00794EB9">
      <w:pPr>
        <w:pStyle w:val="PMDTtulo2"/>
        <w:ind w:left="0" w:hanging="2"/>
        <w:rPr>
          <w:rFonts w:ascii="Arial" w:hAnsi="Arial"/>
          <w:color w:val="auto"/>
          <w:sz w:val="22"/>
          <w:szCs w:val="22"/>
        </w:rPr>
      </w:pPr>
    </w:p>
    <w:p w14:paraId="6C1CECD4"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La forma en que nos movemos en la ciudad define nuestra percepción y uso del espacio urbano. En este sentido su uso debería ser equitativo para todos, ya sea que se camine, use la bicicleta, el transporte público o el vehículo particular, sin embargo, la ciudad es un reflejo de cómo la prioridad la han tenido los usuarios del automóvil privado con respecto a la mayoría de los usuarios (transporte público).</w:t>
      </w:r>
    </w:p>
    <w:p w14:paraId="2CB6748E" w14:textId="77777777" w:rsidR="00794EB9" w:rsidRPr="00794EB9" w:rsidRDefault="00794EB9" w:rsidP="00794EB9">
      <w:pPr>
        <w:pStyle w:val="PMDNormal"/>
        <w:ind w:left="0" w:hanging="2"/>
        <w:rPr>
          <w:rFonts w:ascii="Arial" w:hAnsi="Arial" w:cs="Arial"/>
          <w:color w:val="auto"/>
        </w:rPr>
      </w:pPr>
    </w:p>
    <w:p w14:paraId="6EA24905"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De acuerdo con datos del Censo de Población y Vivienda 2020, el 49% de las viviendas tiene automóvil, el 36% no tiene ningún medio de transporte propio, el 27% cuenta con bicicleta y el 11% motocicleta. Cabe señalar, que en algunas viviendas se tienen hasta dos medios de transporte.</w:t>
      </w:r>
    </w:p>
    <w:p w14:paraId="62D8320F"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 </w:t>
      </w:r>
    </w:p>
    <w:p w14:paraId="1B05635C"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De manera complementaria, en el Plan Integral de Movilidad Urbana Sustentable (PIMUS 2018), a partir del aforo en 40 intersecciones, se identificó el tipo de vehículos y el nivel de flujo que tenían en estos puntos. Entre los resultados arrojados se registró que el 76.72% eran automóviles, 5.76% taxis, 5.73% motocicletas, 4.42% bicicletas, 4.38% transporte de carga, 2.47% transporte público y transporte de personal 0.52%.  </w:t>
      </w:r>
    </w:p>
    <w:p w14:paraId="38C18834"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  </w:t>
      </w:r>
    </w:p>
    <w:p w14:paraId="73930D2D"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El número de vehículos registrados sigue en aumento. A partir de datos de la Secretaría de Finanzas, Inversión y Administración del Estado de Guanajuato, se ve reflejado que los vehículos de automotor pasaron de 259 mil 257 unidades en 2005 a 655 mil 773 en octubre de 2021. De éstas, 414 mil 721 son automóviles, 127 mil 713 camiones, 98 mil 408 motocicletas, 8 mil 626 autobuses y 6 mil 305 remolques. Es importante destacar que estos datos no consideran los autos denominados “chocolate” de los cuales no se cuenta con un estimado. </w:t>
      </w:r>
    </w:p>
    <w:p w14:paraId="6B6D72D4" w14:textId="77777777" w:rsidR="00794EB9" w:rsidRPr="00794EB9" w:rsidRDefault="00794EB9" w:rsidP="00794EB9">
      <w:pPr>
        <w:pStyle w:val="PMDNormal"/>
        <w:ind w:left="0" w:hanging="2"/>
        <w:rPr>
          <w:rFonts w:ascii="Arial" w:hAnsi="Arial" w:cs="Arial"/>
          <w:color w:val="auto"/>
        </w:rPr>
      </w:pPr>
    </w:p>
    <w:p w14:paraId="60DB160A"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lastRenderedPageBreak/>
        <w:t>Sin embargo, pese a que en los datos reportados en el PIMUS se reporta al transporte público con el menor número de unidades en los aforos respecto a otros medios de transporte, esto no tiene una repercusión en la cobertura del servicio que presta.</w:t>
      </w:r>
    </w:p>
    <w:p w14:paraId="4FE9748B" w14:textId="77777777" w:rsidR="00794EB9" w:rsidRPr="00794EB9" w:rsidRDefault="00794EB9" w:rsidP="00794EB9">
      <w:pPr>
        <w:pStyle w:val="PMDNormal"/>
        <w:ind w:left="0" w:hanging="2"/>
        <w:rPr>
          <w:rFonts w:ascii="Arial" w:hAnsi="Arial" w:cs="Arial"/>
          <w:color w:val="auto"/>
        </w:rPr>
      </w:pPr>
    </w:p>
    <w:p w14:paraId="4A28DC73"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En 2019, hasta antes de la pandemia, el transporte público tenía una cobertura del 98% de la zona urbana y le daba servicio a 828 mil 817 usuarios. Ante la nueva normalidad post COVID-19 y la impartición de clases a través de un sistema híbrido y virtual, con corte a septiembre de 2021, se registraron 464 mil 355 usuarios de este servicio. </w:t>
      </w:r>
      <w:r w:rsidRPr="00794EB9">
        <w:rPr>
          <w:rFonts w:ascii="Arial" w:eastAsia="Arial" w:hAnsi="Arial" w:cs="Arial"/>
          <w:i/>
          <w:color w:val="auto"/>
          <w:u w:val="single"/>
        </w:rPr>
        <w:t>(Datos de la Dirección de Movilidad)</w:t>
      </w:r>
    </w:p>
    <w:p w14:paraId="1C9E0D75" w14:textId="77777777" w:rsidR="00794EB9" w:rsidRPr="00794EB9" w:rsidRDefault="00794EB9" w:rsidP="00794EB9">
      <w:pPr>
        <w:pStyle w:val="PMDNormal"/>
        <w:ind w:left="0" w:hanging="2"/>
        <w:rPr>
          <w:rFonts w:ascii="Arial" w:hAnsi="Arial" w:cs="Arial"/>
          <w:color w:val="auto"/>
        </w:rPr>
      </w:pPr>
    </w:p>
    <w:p w14:paraId="767707A2" w14:textId="77777777" w:rsidR="00794EB9" w:rsidRPr="00794EB9" w:rsidRDefault="00794EB9" w:rsidP="00794EB9">
      <w:pPr>
        <w:pStyle w:val="PMDNormal"/>
        <w:ind w:left="0" w:hanging="2"/>
        <w:rPr>
          <w:rFonts w:ascii="Arial" w:hAnsi="Arial" w:cs="Arial"/>
          <w:i/>
          <w:color w:val="auto"/>
        </w:rPr>
      </w:pPr>
      <w:r w:rsidRPr="00794EB9">
        <w:rPr>
          <w:rFonts w:ascii="Arial" w:hAnsi="Arial" w:cs="Arial"/>
          <w:color w:val="auto"/>
        </w:rPr>
        <w:t xml:space="preserve">Cabe destacar que los usuarios de transporte público caminan un promedio de 6.2 minutos para llegar a la parada de transporte, los tiempos de espera en las paradas de autobús son en promedio de 7.1 minutos y la duración del viaje por parte de los usuarios es de 40.2 minutos promedio, teniendo un tiempo total origen-destino de 53.5 minutos. </w:t>
      </w:r>
      <w:r w:rsidRPr="00794EB9">
        <w:rPr>
          <w:rFonts w:ascii="Arial" w:eastAsia="Arial" w:hAnsi="Arial" w:cs="Arial"/>
          <w:i/>
          <w:color w:val="auto"/>
          <w:u w:val="single"/>
        </w:rPr>
        <w:t>(Estudio de ascenso y descenso en las estaciones de transferencia realizadas en el reporte PIMUS)</w:t>
      </w:r>
    </w:p>
    <w:p w14:paraId="4F6CD2A7" w14:textId="77777777" w:rsidR="00794EB9" w:rsidRPr="00794EB9" w:rsidRDefault="00794EB9" w:rsidP="00794EB9">
      <w:pPr>
        <w:pStyle w:val="PMDNormal"/>
        <w:ind w:left="0" w:hanging="2"/>
        <w:rPr>
          <w:rFonts w:ascii="Arial" w:hAnsi="Arial" w:cs="Arial"/>
          <w:color w:val="auto"/>
        </w:rPr>
      </w:pPr>
    </w:p>
    <w:p w14:paraId="1CDA33CD"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Adicionalmente, desde un tema de inclusión social, con las 17 rutas del Transporte Urbano Incluyente (TUI) que están ubicadas en cada polígono de la ciudad y se integran con el SIT al conectarse con las estaciones de transferencia más cercanas, las personas que presentan algún tipo de diversidad funcional pueden trasladarse de manera gratuita en vehículos adaptados.</w:t>
      </w:r>
    </w:p>
    <w:p w14:paraId="7A01FEDC" w14:textId="77777777" w:rsidR="00794EB9" w:rsidRPr="00794EB9" w:rsidRDefault="00794EB9" w:rsidP="00794EB9">
      <w:pPr>
        <w:pStyle w:val="PMDNormal"/>
        <w:ind w:left="0" w:hanging="2"/>
        <w:rPr>
          <w:rFonts w:ascii="Arial" w:hAnsi="Arial" w:cs="Arial"/>
          <w:color w:val="auto"/>
        </w:rPr>
      </w:pPr>
    </w:p>
    <w:p w14:paraId="399B3163" w14:textId="77777777" w:rsidR="00794EB9" w:rsidRPr="00794EB9" w:rsidRDefault="00794EB9" w:rsidP="00794EB9">
      <w:pPr>
        <w:pStyle w:val="PMDNormal"/>
        <w:ind w:left="0" w:hanging="2"/>
        <w:rPr>
          <w:rFonts w:ascii="Arial" w:eastAsia="Arial" w:hAnsi="Arial" w:cs="Arial"/>
          <w:i/>
          <w:color w:val="auto"/>
          <w:u w:val="single"/>
        </w:rPr>
      </w:pPr>
      <w:r w:rsidRPr="00794EB9">
        <w:rPr>
          <w:rFonts w:ascii="Arial" w:hAnsi="Arial" w:cs="Arial"/>
          <w:color w:val="auto"/>
        </w:rPr>
        <w:t xml:space="preserve">A su vez, la red de ciclovías municipales en los últimos años ha tenido un importante impulso e integración. De acuerdo con datos del perfil ciclista el 80.8% de los ciclistas encuestados usan la bicicleta de 6 a 7 días de la semana y el 70 por ciento ha usado la bicicleta como modo de transporte por más de 4 años. </w:t>
      </w:r>
      <w:r w:rsidRPr="00794EB9">
        <w:rPr>
          <w:rFonts w:ascii="Arial" w:eastAsia="Arial" w:hAnsi="Arial" w:cs="Arial"/>
          <w:i/>
          <w:color w:val="auto"/>
          <w:u w:val="single"/>
        </w:rPr>
        <w:t>(“Ciudades CiClim - Pedaleando por un desarrollo bajo en carbono” SEDATU - GIZ – ITDP de 2019.)</w:t>
      </w:r>
    </w:p>
    <w:p w14:paraId="11C2795C" w14:textId="77777777" w:rsidR="00794EB9" w:rsidRPr="00794EB9" w:rsidRDefault="00794EB9" w:rsidP="00794EB9">
      <w:pPr>
        <w:pStyle w:val="PMDNormal"/>
        <w:ind w:left="0" w:hanging="2"/>
        <w:rPr>
          <w:rFonts w:ascii="Arial" w:hAnsi="Arial" w:cs="Arial"/>
          <w:color w:val="auto"/>
        </w:rPr>
      </w:pPr>
    </w:p>
    <w:p w14:paraId="6CB68274" w14:textId="77777777" w:rsidR="00794EB9" w:rsidRPr="00794EB9" w:rsidRDefault="00794EB9" w:rsidP="00794EB9">
      <w:pPr>
        <w:pStyle w:val="Textonotapie"/>
        <w:ind w:hanging="2"/>
        <w:jc w:val="both"/>
        <w:rPr>
          <w:rFonts w:ascii="Arial" w:hAnsi="Arial" w:cs="Arial"/>
          <w:i/>
          <w:szCs w:val="22"/>
          <w:u w:val="single"/>
        </w:rPr>
      </w:pPr>
      <w:r w:rsidRPr="00794EB9">
        <w:rPr>
          <w:rFonts w:ascii="Arial" w:eastAsia="Arial" w:hAnsi="Arial" w:cs="Arial"/>
          <w:szCs w:val="22"/>
        </w:rPr>
        <w:t>Los principales flujos ciclistas de largo itinerario se presentan entre el centro y las zonas periféricas, que obedecen primordialmente a traslados con motivos de trabajo. Ejemplo de esto son la movilidad en los bulevares Morelos y La Luz, la avenida Olímpica, entre otros</w:t>
      </w:r>
      <w:r w:rsidRPr="00794EB9">
        <w:rPr>
          <w:rFonts w:ascii="Arial" w:hAnsi="Arial" w:cs="Arial"/>
          <w:szCs w:val="22"/>
        </w:rPr>
        <w:t xml:space="preserve">. </w:t>
      </w:r>
      <w:r w:rsidRPr="00794EB9">
        <w:rPr>
          <w:rFonts w:ascii="Arial" w:hAnsi="Arial" w:cs="Arial"/>
          <w:i/>
          <w:szCs w:val="22"/>
        </w:rPr>
        <w:t>(</w:t>
      </w:r>
      <w:r w:rsidRPr="00794EB9">
        <w:rPr>
          <w:rFonts w:ascii="Arial" w:hAnsi="Arial" w:cs="Arial"/>
          <w:i/>
          <w:szCs w:val="22"/>
          <w:u w:val="single"/>
        </w:rPr>
        <w:t>Plan Integral de Movilidad Urbana Sustentable. Diagnóstico Propositivo. 2018.)</w:t>
      </w:r>
    </w:p>
    <w:p w14:paraId="30B799A6" w14:textId="77777777" w:rsidR="00794EB9" w:rsidRPr="00794EB9" w:rsidRDefault="00794EB9" w:rsidP="00794EB9">
      <w:pPr>
        <w:jc w:val="both"/>
        <w:rPr>
          <w:rFonts w:ascii="Arial" w:hAnsi="Arial" w:cs="Arial"/>
          <w:sz w:val="22"/>
          <w:szCs w:val="22"/>
        </w:rPr>
      </w:pPr>
    </w:p>
    <w:p w14:paraId="0E8E326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Sin embargo, en los Polígonos de Desarrollo la infraestructura para este tipo de movilidad es escasa y en algunos casos no se integran con las ciclovías existentes. De acuerdo con el Censo 2020, del total de las viviendas particulares habitadas en los Polígonos de Desarrollo, el 41.5% usa la bicicleta como medio de transporte.</w:t>
      </w:r>
    </w:p>
    <w:p w14:paraId="002F41C7" w14:textId="77777777" w:rsidR="00794EB9" w:rsidRPr="00794EB9" w:rsidRDefault="00794EB9" w:rsidP="00794EB9">
      <w:pPr>
        <w:pStyle w:val="PMDNormal"/>
        <w:ind w:left="0" w:hanging="2"/>
        <w:rPr>
          <w:rFonts w:ascii="Arial" w:hAnsi="Arial" w:cs="Arial"/>
          <w:color w:val="auto"/>
        </w:rPr>
      </w:pPr>
    </w:p>
    <w:p w14:paraId="2FFB2BE9"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Un eslabón importante para el impulso de la movilidad ciclista es la integración del sistema de bicicleta pública, la cual desde su reactivación en marzo 2021, cuenta con un estimado de 50 mil viajes realizados por ciclistas habituales y nuevos usuarios en la zona del Centro Histórico y los barrios tradicionales.</w:t>
      </w:r>
    </w:p>
    <w:p w14:paraId="51D06176" w14:textId="77777777" w:rsidR="00794EB9" w:rsidRPr="00794EB9" w:rsidRDefault="00794EB9" w:rsidP="00794EB9">
      <w:pPr>
        <w:pStyle w:val="PMDNormal"/>
        <w:ind w:left="0" w:hanging="2"/>
        <w:rPr>
          <w:rFonts w:ascii="Arial" w:hAnsi="Arial" w:cs="Arial"/>
          <w:color w:val="auto"/>
        </w:rPr>
      </w:pPr>
    </w:p>
    <w:p w14:paraId="4237CF99" w14:textId="77777777" w:rsidR="00794EB9" w:rsidRPr="00794EB9" w:rsidRDefault="00794EB9" w:rsidP="00794EB9">
      <w:pPr>
        <w:pStyle w:val="PMDNormal"/>
        <w:ind w:left="0" w:hanging="2"/>
        <w:rPr>
          <w:rFonts w:ascii="Arial" w:hAnsi="Arial" w:cs="Arial"/>
          <w:color w:val="auto"/>
        </w:rPr>
      </w:pPr>
      <w:r w:rsidRPr="00794EB9">
        <w:rPr>
          <w:rFonts w:ascii="Arial" w:hAnsi="Arial" w:cs="Arial"/>
          <w:bCs/>
          <w:color w:val="auto"/>
        </w:rPr>
        <w:t xml:space="preserve">La planeación y obras que se han dado en los últimos años en el tema de la movilidad, han favorecido la forma en la que nos desplazamos diariamente en la ciudad, de igual manera nos han mostrado que no existe solución única o definitiva que dé respuesta </w:t>
      </w:r>
      <w:r w:rsidRPr="00794EB9">
        <w:rPr>
          <w:rFonts w:ascii="Arial" w:hAnsi="Arial" w:cs="Arial"/>
          <w:color w:val="auto"/>
        </w:rPr>
        <w:t>al reto de la movilidad urbana municipal, sino que más bien será a partir de un conjunto de medidas o soluciones complementarias que, aplicadas en diferentes partes del sistema, le permiten adaptarse y evolucionar hacia una nueva movilidad multimodal.</w:t>
      </w:r>
    </w:p>
    <w:p w14:paraId="7223F15A" w14:textId="77777777" w:rsidR="00794EB9" w:rsidRPr="00794EB9" w:rsidRDefault="00794EB9" w:rsidP="00794EB9">
      <w:pPr>
        <w:pStyle w:val="PMDTtulo2"/>
        <w:ind w:left="0" w:hanging="2"/>
        <w:rPr>
          <w:rFonts w:ascii="Arial" w:hAnsi="Arial"/>
          <w:color w:val="auto"/>
          <w:sz w:val="22"/>
          <w:szCs w:val="22"/>
        </w:rPr>
      </w:pPr>
    </w:p>
    <w:p w14:paraId="67EF028D" w14:textId="77777777" w:rsidR="00794EB9" w:rsidRPr="00794EB9" w:rsidRDefault="00794EB9" w:rsidP="00794EB9">
      <w:pPr>
        <w:pStyle w:val="PMDTtulo2"/>
        <w:ind w:left="0" w:hanging="2"/>
        <w:rPr>
          <w:rFonts w:ascii="Arial" w:hAnsi="Arial"/>
          <w:color w:val="auto"/>
          <w:sz w:val="22"/>
          <w:szCs w:val="22"/>
          <w:u w:val="single"/>
        </w:rPr>
      </w:pPr>
      <w:r w:rsidRPr="00794EB9">
        <w:rPr>
          <w:rFonts w:ascii="Arial" w:hAnsi="Arial"/>
          <w:color w:val="auto"/>
          <w:sz w:val="22"/>
          <w:szCs w:val="22"/>
          <w:u w:val="single"/>
        </w:rPr>
        <w:t>Contexto ambiental</w:t>
      </w:r>
    </w:p>
    <w:p w14:paraId="5741DAF9" w14:textId="77777777" w:rsidR="00794EB9" w:rsidRPr="00794EB9" w:rsidRDefault="00794EB9" w:rsidP="00794EB9">
      <w:pPr>
        <w:ind w:hanging="2"/>
        <w:rPr>
          <w:rFonts w:ascii="Arial" w:hAnsi="Arial" w:cs="Arial"/>
          <w:sz w:val="22"/>
          <w:szCs w:val="22"/>
        </w:rPr>
      </w:pPr>
    </w:p>
    <w:p w14:paraId="147A770C" w14:textId="77777777" w:rsidR="00794EB9" w:rsidRPr="00794EB9" w:rsidRDefault="00794EB9" w:rsidP="00794EB9">
      <w:pPr>
        <w:pStyle w:val="PMDTtulo2"/>
        <w:ind w:left="0" w:hanging="2"/>
        <w:rPr>
          <w:rFonts w:ascii="Arial" w:hAnsi="Arial"/>
          <w:i/>
          <w:color w:val="auto"/>
          <w:sz w:val="22"/>
          <w:szCs w:val="22"/>
        </w:rPr>
      </w:pPr>
      <w:r w:rsidRPr="00794EB9">
        <w:rPr>
          <w:rFonts w:ascii="Arial" w:hAnsi="Arial"/>
          <w:i/>
          <w:color w:val="auto"/>
          <w:sz w:val="22"/>
          <w:szCs w:val="22"/>
        </w:rPr>
        <w:t xml:space="preserve">Recursos hídricos </w:t>
      </w:r>
    </w:p>
    <w:p w14:paraId="3935D31D" w14:textId="77777777" w:rsidR="00794EB9" w:rsidRPr="00794EB9" w:rsidRDefault="00794EB9" w:rsidP="00794EB9">
      <w:pPr>
        <w:pStyle w:val="PMDNormal"/>
        <w:ind w:left="0" w:hanging="2"/>
        <w:rPr>
          <w:rFonts w:ascii="Arial" w:hAnsi="Arial" w:cs="Arial"/>
          <w:color w:val="auto"/>
        </w:rPr>
      </w:pPr>
    </w:p>
    <w:p w14:paraId="60F0CB83"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Al norte del municipio, en la sierra de Lobos, se encuentran 16 microcuencas ubicadas en una superficie territorial de 54 mil 544 hectáreas, que forman parte del acuífero del Valle de León. A partir de éstas corren arroyos intermitentes que atraviesan la zona urbana y confluyen al sur en el río Turbio.   </w:t>
      </w:r>
    </w:p>
    <w:p w14:paraId="10BC417A" w14:textId="77777777" w:rsidR="00794EB9" w:rsidRPr="00794EB9" w:rsidRDefault="00794EB9" w:rsidP="00794EB9">
      <w:pPr>
        <w:pStyle w:val="PMDNormal"/>
        <w:ind w:left="0" w:hanging="2"/>
        <w:rPr>
          <w:rFonts w:ascii="Arial" w:hAnsi="Arial" w:cs="Arial"/>
          <w:color w:val="auto"/>
        </w:rPr>
      </w:pPr>
    </w:p>
    <w:p w14:paraId="2128937A"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A su vez, de este acuífero se obtienen las fuentes de abastecimiento de agua para la ciudad, de las cuales el 99% es de tipo subterráneo, que se extrae de una batería de 167 pozos y el 1% es de agua superficial de la presa El Palote.</w:t>
      </w:r>
    </w:p>
    <w:p w14:paraId="2CAE84F7" w14:textId="77777777" w:rsidR="00794EB9" w:rsidRPr="00794EB9" w:rsidRDefault="00794EB9" w:rsidP="00794EB9">
      <w:pPr>
        <w:pStyle w:val="PMDNormal"/>
        <w:ind w:left="0" w:hanging="2"/>
        <w:rPr>
          <w:rFonts w:ascii="Arial" w:hAnsi="Arial" w:cs="Arial"/>
          <w:color w:val="auto"/>
        </w:rPr>
      </w:pPr>
    </w:p>
    <w:p w14:paraId="3E2FC2CF"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Tan sólo en lo que va del primer semestre de 2021, se extrajeron 43 millones 343 mil 842 metros cúbicos de agua subterránea y superficial, que, a través de una red de conducción y distribución de 6 mil 547 kilómetros, ofrece una cobertura al 98% de la población. Sin embargo, existe un dos por ciento, con presencia en asentamientos irregulares, que debido a su condición no se les puede dar la introducción del servicio.</w:t>
      </w:r>
    </w:p>
    <w:p w14:paraId="49515930" w14:textId="77777777" w:rsidR="00794EB9" w:rsidRPr="00794EB9" w:rsidRDefault="00794EB9" w:rsidP="00794EB9">
      <w:pPr>
        <w:pStyle w:val="PMDNormal"/>
        <w:ind w:left="0" w:hanging="2"/>
        <w:rPr>
          <w:rFonts w:ascii="Arial" w:hAnsi="Arial" w:cs="Arial"/>
          <w:color w:val="auto"/>
        </w:rPr>
      </w:pPr>
    </w:p>
    <w:p w14:paraId="50D7660C"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Es importante destacar, que esta cantidad de agua extraída en el primer semestre de 2021, ya representa un abatimiento de 1.5 metros por año al acuífero de León. </w:t>
      </w:r>
    </w:p>
    <w:p w14:paraId="7272AB81" w14:textId="77777777" w:rsidR="00794EB9" w:rsidRPr="00794EB9" w:rsidRDefault="00794EB9" w:rsidP="00794EB9">
      <w:pPr>
        <w:pStyle w:val="PMDNormal"/>
        <w:ind w:left="0" w:hanging="2"/>
        <w:rPr>
          <w:rFonts w:ascii="Arial" w:hAnsi="Arial" w:cs="Arial"/>
          <w:color w:val="auto"/>
        </w:rPr>
      </w:pPr>
    </w:p>
    <w:p w14:paraId="342A6934"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En referencia al saneamiento del agua para la ciudad de León y su zona rural, en el primer semestre de 2021, se trataron 27 millones 807 mil metros cúbicos de agua residual, esto se efectuó a través de 22 plantas de tratamiento. De éstas, se reutilizaron 11 millones 947 mil metros cúbicos para riego agrícola, áreas verdes y uso industrial.</w:t>
      </w:r>
    </w:p>
    <w:p w14:paraId="5A12B4C0" w14:textId="77777777" w:rsidR="00794EB9" w:rsidRPr="00794EB9" w:rsidRDefault="00794EB9" w:rsidP="00794EB9">
      <w:pPr>
        <w:ind w:hanging="2"/>
        <w:jc w:val="both"/>
        <w:rPr>
          <w:rFonts w:ascii="Arial" w:hAnsi="Arial" w:cs="Arial"/>
          <w:sz w:val="22"/>
          <w:szCs w:val="22"/>
        </w:rPr>
      </w:pPr>
    </w:p>
    <w:p w14:paraId="1AAD00D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Del primer semestre de 2016 al primer semestre de 2021 el tratamiento de agua residual se incrementó en un 11 por ciento, lo que equivale a 3 millones 67 mil 753 metros cúbicos.</w:t>
      </w:r>
    </w:p>
    <w:p w14:paraId="7A052E4F" w14:textId="77777777" w:rsidR="00794EB9" w:rsidRPr="00794EB9" w:rsidRDefault="00794EB9" w:rsidP="00794EB9">
      <w:pPr>
        <w:ind w:hanging="2"/>
        <w:jc w:val="both"/>
        <w:rPr>
          <w:rFonts w:ascii="Arial" w:hAnsi="Arial" w:cs="Arial"/>
          <w:sz w:val="22"/>
          <w:szCs w:val="22"/>
          <w:lang w:val="es"/>
        </w:rPr>
      </w:pPr>
    </w:p>
    <w:p w14:paraId="33CE8B7B" w14:textId="77777777" w:rsidR="00794EB9" w:rsidRPr="00794EB9" w:rsidRDefault="00794EB9" w:rsidP="00794EB9">
      <w:pPr>
        <w:ind w:hanging="2"/>
        <w:jc w:val="both"/>
        <w:rPr>
          <w:rFonts w:ascii="Arial" w:hAnsi="Arial" w:cs="Arial"/>
          <w:sz w:val="22"/>
          <w:szCs w:val="22"/>
          <w:lang w:val="es"/>
        </w:rPr>
      </w:pPr>
      <w:r w:rsidRPr="00794EB9">
        <w:rPr>
          <w:rFonts w:ascii="Arial" w:hAnsi="Arial" w:cs="Arial"/>
          <w:noProof/>
          <w:sz w:val="22"/>
          <w:szCs w:val="22"/>
          <w:lang w:val="es-MX" w:eastAsia="es-MX"/>
        </w:rPr>
        <w:lastRenderedPageBreak/>
        <w:drawing>
          <wp:inline distT="0" distB="0" distL="0" distR="0" wp14:anchorId="06EE74F0" wp14:editId="0508E033">
            <wp:extent cx="6129655" cy="6576060"/>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a-3.png"/>
                    <pic:cNvPicPr/>
                  </pic:nvPicPr>
                  <pic:blipFill rotWithShape="1">
                    <a:blip r:embed="rId77" cstate="print">
                      <a:extLst>
                        <a:ext uri="{BEBA8EAE-BF5A-486C-A8C5-ECC9F3942E4B}">
                          <a14:imgProps xmlns:a14="http://schemas.microsoft.com/office/drawing/2010/main">
                            <a14:imgLayer r:embed="rId78">
                              <a14:imgEffect>
                                <a14:saturation sat="0"/>
                              </a14:imgEffect>
                            </a14:imgLayer>
                          </a14:imgProps>
                        </a:ext>
                        <a:ext uri="{28A0092B-C50C-407E-A947-70E740481C1C}">
                          <a14:useLocalDpi xmlns:a14="http://schemas.microsoft.com/office/drawing/2010/main" val="0"/>
                        </a:ext>
                      </a:extLst>
                    </a:blip>
                    <a:srcRect t="1" b="20516"/>
                    <a:stretch/>
                  </pic:blipFill>
                  <pic:spPr bwMode="auto">
                    <a:xfrm>
                      <a:off x="0" y="0"/>
                      <a:ext cx="6135506" cy="6582337"/>
                    </a:xfrm>
                    <a:prstGeom prst="rect">
                      <a:avLst/>
                    </a:prstGeom>
                    <a:ln>
                      <a:noFill/>
                    </a:ln>
                    <a:extLst>
                      <a:ext uri="{53640926-AAD7-44D8-BBD7-CCE9431645EC}">
                        <a14:shadowObscured xmlns:a14="http://schemas.microsoft.com/office/drawing/2010/main"/>
                      </a:ext>
                    </a:extLst>
                  </pic:spPr>
                </pic:pic>
              </a:graphicData>
            </a:graphic>
          </wp:inline>
        </w:drawing>
      </w:r>
    </w:p>
    <w:p w14:paraId="15C9AE0D" w14:textId="77777777" w:rsidR="00794EB9" w:rsidRPr="00794EB9" w:rsidRDefault="00794EB9" w:rsidP="00794EB9">
      <w:pPr>
        <w:ind w:hanging="2"/>
        <w:jc w:val="both"/>
        <w:rPr>
          <w:rFonts w:ascii="Arial" w:hAnsi="Arial" w:cs="Arial"/>
          <w:sz w:val="22"/>
          <w:szCs w:val="22"/>
          <w:lang w:val="es"/>
        </w:rPr>
      </w:pPr>
      <w:r w:rsidRPr="00794EB9">
        <w:rPr>
          <w:rFonts w:ascii="Arial" w:hAnsi="Arial" w:cs="Arial"/>
          <w:noProof/>
          <w:sz w:val="22"/>
          <w:szCs w:val="22"/>
          <w:lang w:val="es-MX" w:eastAsia="es-MX"/>
        </w:rPr>
        <w:lastRenderedPageBreak/>
        <w:drawing>
          <wp:inline distT="0" distB="0" distL="0" distR="0" wp14:anchorId="408DC32B" wp14:editId="19851CC5">
            <wp:extent cx="6129655" cy="1693511"/>
            <wp:effectExtent l="0" t="0" r="4445"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a-3.png"/>
                    <pic:cNvPicPr/>
                  </pic:nvPicPr>
                  <pic:blipFill rotWithShape="1">
                    <a:blip r:embed="rId77" cstate="print">
                      <a:extLst>
                        <a:ext uri="{BEBA8EAE-BF5A-486C-A8C5-ECC9F3942E4B}">
                          <a14:imgProps xmlns:a14="http://schemas.microsoft.com/office/drawing/2010/main">
                            <a14:imgLayer r:embed="rId78">
                              <a14:imgEffect>
                                <a14:saturation sat="0"/>
                              </a14:imgEffect>
                            </a14:imgLayer>
                          </a14:imgProps>
                        </a:ext>
                        <a:ext uri="{28A0092B-C50C-407E-A947-70E740481C1C}">
                          <a14:useLocalDpi xmlns:a14="http://schemas.microsoft.com/office/drawing/2010/main" val="0"/>
                        </a:ext>
                      </a:extLst>
                    </a:blip>
                    <a:srcRect t="79531"/>
                    <a:stretch/>
                  </pic:blipFill>
                  <pic:spPr bwMode="auto">
                    <a:xfrm>
                      <a:off x="0" y="0"/>
                      <a:ext cx="6135506" cy="1695128"/>
                    </a:xfrm>
                    <a:prstGeom prst="rect">
                      <a:avLst/>
                    </a:prstGeom>
                    <a:ln>
                      <a:noFill/>
                    </a:ln>
                    <a:extLst>
                      <a:ext uri="{53640926-AAD7-44D8-BBD7-CCE9431645EC}">
                        <a14:shadowObscured xmlns:a14="http://schemas.microsoft.com/office/drawing/2010/main"/>
                      </a:ext>
                    </a:extLst>
                  </pic:spPr>
                </pic:pic>
              </a:graphicData>
            </a:graphic>
          </wp:inline>
        </w:drawing>
      </w:r>
    </w:p>
    <w:p w14:paraId="7526DD52" w14:textId="77777777" w:rsidR="00794EB9" w:rsidRPr="00794EB9" w:rsidRDefault="00794EB9" w:rsidP="00794EB9">
      <w:pPr>
        <w:pStyle w:val="PMDTtulo2"/>
        <w:ind w:left="0" w:hanging="2"/>
        <w:rPr>
          <w:rFonts w:ascii="Arial" w:hAnsi="Arial"/>
          <w:i/>
          <w:color w:val="auto"/>
          <w:sz w:val="22"/>
          <w:szCs w:val="22"/>
        </w:rPr>
      </w:pPr>
    </w:p>
    <w:p w14:paraId="6F058042" w14:textId="77777777" w:rsidR="00794EB9" w:rsidRPr="00794EB9" w:rsidRDefault="00794EB9" w:rsidP="00794EB9">
      <w:pPr>
        <w:pStyle w:val="PMDTtulo2"/>
        <w:ind w:left="0" w:hanging="2"/>
        <w:rPr>
          <w:rFonts w:ascii="Arial" w:hAnsi="Arial"/>
          <w:i/>
          <w:color w:val="auto"/>
          <w:sz w:val="22"/>
          <w:szCs w:val="22"/>
        </w:rPr>
      </w:pPr>
      <w:r w:rsidRPr="00794EB9">
        <w:rPr>
          <w:rFonts w:ascii="Arial" w:hAnsi="Arial"/>
          <w:i/>
          <w:color w:val="auto"/>
          <w:sz w:val="22"/>
          <w:szCs w:val="22"/>
        </w:rPr>
        <w:t>Gestión integral de residuos sólidos</w:t>
      </w:r>
    </w:p>
    <w:p w14:paraId="41164C5A" w14:textId="77777777" w:rsidR="00794EB9" w:rsidRPr="00794EB9" w:rsidRDefault="00794EB9" w:rsidP="00794EB9">
      <w:pPr>
        <w:pStyle w:val="PMDTtulo2"/>
        <w:ind w:left="0" w:hanging="2"/>
        <w:rPr>
          <w:rFonts w:ascii="Arial" w:hAnsi="Arial"/>
          <w:color w:val="auto"/>
          <w:sz w:val="22"/>
          <w:szCs w:val="22"/>
        </w:rPr>
      </w:pPr>
    </w:p>
    <w:p w14:paraId="0F7BF396" w14:textId="77777777" w:rsidR="00794EB9" w:rsidRPr="00794EB9" w:rsidRDefault="00794EB9" w:rsidP="00794EB9">
      <w:pPr>
        <w:pStyle w:val="Textoindependiente"/>
        <w:tabs>
          <w:tab w:val="left" w:pos="720"/>
        </w:tabs>
        <w:kinsoku w:val="0"/>
        <w:overflowPunct w:val="0"/>
        <w:ind w:left="0" w:hanging="2"/>
        <w:jc w:val="both"/>
        <w:rPr>
          <w:rFonts w:ascii="Arial" w:hAnsi="Arial" w:cs="Arial"/>
          <w:sz w:val="22"/>
          <w:szCs w:val="22"/>
          <w:lang w:val="es"/>
        </w:rPr>
      </w:pPr>
      <w:r w:rsidRPr="00794EB9">
        <w:rPr>
          <w:rFonts w:ascii="Arial" w:hAnsi="Arial" w:cs="Arial"/>
          <w:sz w:val="22"/>
          <w:szCs w:val="22"/>
          <w:lang w:val="es"/>
        </w:rPr>
        <w:t xml:space="preserve">A nivel mundial existe una tendencia orientada al incremento de población en las zonas urbanas y León no es la excepción, puesto que figura como </w:t>
      </w:r>
      <w:r w:rsidRPr="00794EB9">
        <w:rPr>
          <w:rFonts w:ascii="Arial" w:hAnsi="Arial" w:cs="Arial"/>
          <w:sz w:val="22"/>
          <w:szCs w:val="22"/>
          <w:lang w:val="es-MX"/>
        </w:rPr>
        <w:t xml:space="preserve">una de las principales zonas económicas. Esto, combinado con la gran cantidad de actividades industriales de los diferentes sectores, </w:t>
      </w:r>
      <w:r w:rsidRPr="00794EB9">
        <w:rPr>
          <w:rFonts w:ascii="Arial" w:hAnsi="Arial" w:cs="Arial"/>
          <w:sz w:val="22"/>
          <w:szCs w:val="22"/>
          <w:lang w:val="es"/>
        </w:rPr>
        <w:t xml:space="preserve">le otorgan a la ciudad un ritmo de vida acelerado que se ve reflejado en el consumo y aprovechamiento de los recursos naturales, </w:t>
      </w:r>
      <w:r w:rsidRPr="00794EB9">
        <w:rPr>
          <w:rFonts w:ascii="Arial" w:hAnsi="Arial" w:cs="Arial"/>
          <w:sz w:val="22"/>
          <w:szCs w:val="22"/>
          <w:lang w:val="es-MX"/>
        </w:rPr>
        <w:t>con una repercusión directa en la generación de residuos sólidos urbanos.</w:t>
      </w:r>
      <w:r w:rsidRPr="00794EB9">
        <w:rPr>
          <w:rFonts w:ascii="Arial" w:hAnsi="Arial" w:cs="Arial"/>
          <w:sz w:val="22"/>
          <w:szCs w:val="22"/>
          <w:lang w:val="es"/>
        </w:rPr>
        <w:t xml:space="preserve">   </w:t>
      </w:r>
    </w:p>
    <w:p w14:paraId="213C81A2" w14:textId="77777777" w:rsidR="00794EB9" w:rsidRPr="00794EB9" w:rsidRDefault="00794EB9" w:rsidP="00794EB9">
      <w:pPr>
        <w:pStyle w:val="Textoindependiente"/>
        <w:tabs>
          <w:tab w:val="left" w:pos="720"/>
        </w:tabs>
        <w:kinsoku w:val="0"/>
        <w:overflowPunct w:val="0"/>
        <w:ind w:left="0" w:hanging="2"/>
        <w:jc w:val="both"/>
        <w:rPr>
          <w:rFonts w:ascii="Arial" w:hAnsi="Arial" w:cs="Arial"/>
          <w:sz w:val="22"/>
          <w:szCs w:val="22"/>
          <w:lang w:val="es"/>
        </w:rPr>
      </w:pPr>
    </w:p>
    <w:p w14:paraId="2945E9E9" w14:textId="77777777" w:rsidR="00794EB9" w:rsidRPr="00794EB9" w:rsidRDefault="00794EB9" w:rsidP="00794EB9">
      <w:pPr>
        <w:pStyle w:val="Textoindependiente"/>
        <w:tabs>
          <w:tab w:val="left" w:pos="720"/>
        </w:tabs>
        <w:kinsoku w:val="0"/>
        <w:overflowPunct w:val="0"/>
        <w:ind w:left="0" w:hanging="2"/>
        <w:jc w:val="both"/>
        <w:rPr>
          <w:rFonts w:ascii="Arial" w:hAnsi="Arial" w:cs="Arial"/>
          <w:sz w:val="22"/>
          <w:szCs w:val="22"/>
          <w:lang w:val="es"/>
        </w:rPr>
      </w:pPr>
      <w:r w:rsidRPr="00794EB9">
        <w:rPr>
          <w:rFonts w:ascii="Arial" w:hAnsi="Arial" w:cs="Arial"/>
          <w:sz w:val="22"/>
          <w:szCs w:val="22"/>
          <w:lang w:val="es"/>
        </w:rPr>
        <w:t xml:space="preserve">En León, el servicio de recolección tiene una cobertura del 97.6% de las casas habitación que existen dentro del área urbana. Durante el primer semestre de 2021, se recolectaron </w:t>
      </w:r>
      <w:r w:rsidRPr="00794EB9">
        <w:rPr>
          <w:rFonts w:ascii="Arial" w:hAnsi="Arial" w:cs="Arial"/>
          <w:sz w:val="22"/>
          <w:szCs w:val="22"/>
          <w:lang w:val="es-MX"/>
        </w:rPr>
        <w:t>208 mil 704 toneladas</w:t>
      </w:r>
      <w:r w:rsidRPr="00794EB9">
        <w:rPr>
          <w:rFonts w:ascii="Arial" w:hAnsi="Arial" w:cs="Arial"/>
          <w:sz w:val="22"/>
          <w:szCs w:val="22"/>
          <w:lang w:val="es"/>
        </w:rPr>
        <w:t xml:space="preserve"> </w:t>
      </w:r>
      <w:r w:rsidRPr="00794EB9">
        <w:rPr>
          <w:rFonts w:ascii="Arial" w:hAnsi="Arial" w:cs="Arial"/>
          <w:sz w:val="22"/>
          <w:szCs w:val="22"/>
          <w:lang w:val="es-MX"/>
        </w:rPr>
        <w:t xml:space="preserve">de residuos sólidos urbanos (RSU) provenientes de los hogares, es decir, que por día cada habitante genera 0.66 kg. </w:t>
      </w:r>
    </w:p>
    <w:p w14:paraId="7A2B631D" w14:textId="77777777" w:rsidR="00794EB9" w:rsidRPr="00794EB9" w:rsidRDefault="00794EB9" w:rsidP="00794EB9">
      <w:pPr>
        <w:pStyle w:val="Textoindependiente"/>
        <w:tabs>
          <w:tab w:val="left" w:pos="720"/>
        </w:tabs>
        <w:kinsoku w:val="0"/>
        <w:overflowPunct w:val="0"/>
        <w:ind w:left="0" w:hanging="2"/>
        <w:jc w:val="both"/>
        <w:rPr>
          <w:rFonts w:ascii="Arial" w:hAnsi="Arial" w:cs="Arial"/>
          <w:sz w:val="22"/>
          <w:szCs w:val="22"/>
          <w:lang w:val="es-MX"/>
        </w:rPr>
      </w:pPr>
    </w:p>
    <w:p w14:paraId="6D8636B5" w14:textId="77777777" w:rsidR="00794EB9" w:rsidRPr="00794EB9" w:rsidRDefault="00794EB9" w:rsidP="00794EB9">
      <w:pPr>
        <w:pStyle w:val="PMDNormal"/>
        <w:ind w:left="0" w:hanging="2"/>
        <w:rPr>
          <w:rFonts w:ascii="Arial" w:eastAsiaTheme="minorEastAsia" w:hAnsi="Arial" w:cs="Arial"/>
          <w:color w:val="auto"/>
          <w:lang w:eastAsia="en-US"/>
        </w:rPr>
      </w:pPr>
      <w:r w:rsidRPr="00794EB9">
        <w:rPr>
          <w:rFonts w:ascii="Arial" w:eastAsiaTheme="minorEastAsia" w:hAnsi="Arial" w:cs="Arial"/>
          <w:color w:val="auto"/>
          <w:lang w:eastAsia="en-US"/>
        </w:rPr>
        <w:t xml:space="preserve">En este mismo periodo, se recolectaron 50 mil 202 toneladas de residuos de manejo especial (RME), esto equivale a 275 toneladas por día que se generan principalmente en mercados, actividades industriales y turísticas, además de los electrónicos.  </w:t>
      </w:r>
    </w:p>
    <w:p w14:paraId="50EDC29A" w14:textId="77777777" w:rsidR="00794EB9" w:rsidRPr="00794EB9" w:rsidRDefault="00794EB9" w:rsidP="00794EB9">
      <w:pPr>
        <w:pStyle w:val="PMDNormal"/>
        <w:ind w:left="0" w:hanging="2"/>
        <w:rPr>
          <w:rFonts w:ascii="Arial" w:eastAsiaTheme="minorEastAsia" w:hAnsi="Arial" w:cs="Arial"/>
          <w:color w:val="auto"/>
          <w:lang w:eastAsia="en-US"/>
        </w:rPr>
      </w:pPr>
    </w:p>
    <w:p w14:paraId="4C4F69BB" w14:textId="77777777" w:rsidR="00794EB9" w:rsidRPr="00794EB9" w:rsidRDefault="00794EB9" w:rsidP="00794EB9">
      <w:pPr>
        <w:ind w:hanging="2"/>
        <w:jc w:val="both"/>
        <w:rPr>
          <w:rFonts w:ascii="Arial" w:eastAsiaTheme="minorEastAsia" w:hAnsi="Arial" w:cs="Arial"/>
          <w:sz w:val="22"/>
          <w:szCs w:val="22"/>
          <w:lang w:eastAsia="en-US"/>
        </w:rPr>
      </w:pPr>
      <w:r w:rsidRPr="00794EB9">
        <w:rPr>
          <w:rFonts w:ascii="Arial" w:eastAsiaTheme="minorEastAsia" w:hAnsi="Arial" w:cs="Arial"/>
          <w:sz w:val="22"/>
          <w:szCs w:val="22"/>
          <w:lang w:eastAsia="en-US"/>
        </w:rPr>
        <w:t xml:space="preserve">En total, en el relleno sanitario se confinaron 258 mil 906 toneladas de residuos, de los cuales se recuperaron 155 toneladas de residuos valorizables, provenientes de 73 mil 871 viviendas incorporadas al programa de aprovechamiento de residuos. </w:t>
      </w:r>
    </w:p>
    <w:p w14:paraId="1D981855" w14:textId="77777777" w:rsidR="00794EB9" w:rsidRPr="00794EB9" w:rsidRDefault="00794EB9" w:rsidP="00794EB9">
      <w:pPr>
        <w:ind w:hanging="2"/>
        <w:jc w:val="both"/>
        <w:rPr>
          <w:rFonts w:ascii="Arial" w:eastAsiaTheme="minorEastAsia" w:hAnsi="Arial" w:cs="Arial"/>
          <w:sz w:val="22"/>
          <w:szCs w:val="22"/>
          <w:lang w:eastAsia="en-US"/>
        </w:rPr>
      </w:pPr>
      <w:r w:rsidRPr="00794EB9">
        <w:rPr>
          <w:rFonts w:ascii="Arial" w:eastAsiaTheme="minorEastAsia" w:hAnsi="Arial" w:cs="Arial"/>
          <w:sz w:val="22"/>
          <w:szCs w:val="22"/>
          <w:lang w:eastAsia="en-US"/>
        </w:rPr>
        <w:t xml:space="preserve">   </w:t>
      </w:r>
    </w:p>
    <w:p w14:paraId="6EEA2FD8" w14:textId="77777777" w:rsidR="00794EB9" w:rsidRPr="00794EB9" w:rsidRDefault="00794EB9" w:rsidP="00794EB9">
      <w:pPr>
        <w:ind w:hanging="2"/>
        <w:jc w:val="both"/>
        <w:rPr>
          <w:rFonts w:ascii="Arial" w:eastAsiaTheme="minorEastAsia" w:hAnsi="Arial" w:cs="Arial"/>
          <w:sz w:val="22"/>
          <w:szCs w:val="22"/>
          <w:lang w:eastAsia="en-US"/>
        </w:rPr>
      </w:pPr>
      <w:r w:rsidRPr="00794EB9">
        <w:rPr>
          <w:rFonts w:ascii="Arial" w:eastAsiaTheme="minorEastAsia" w:hAnsi="Arial" w:cs="Arial"/>
          <w:sz w:val="22"/>
          <w:szCs w:val="22"/>
          <w:lang w:eastAsia="en-US"/>
        </w:rPr>
        <w:t>El efectuar una gestión integral de los residuos sólidos permite aprovechar el biogás que se extrae de su descomposición a través de la planta cogeneradora de energía en El Verde, la cual ha generado 8.7 Gigawatts que son utilizados en el alumbrado público. Esto favoreció la reducción de 60 mil 800 toneladas de CO</w:t>
      </w:r>
      <w:r w:rsidRPr="00794EB9">
        <w:rPr>
          <w:rFonts w:ascii="Arial" w:eastAsiaTheme="minorEastAsia" w:hAnsi="Arial" w:cs="Arial"/>
          <w:sz w:val="22"/>
          <w:szCs w:val="22"/>
          <w:vertAlign w:val="subscript"/>
          <w:lang w:eastAsia="en-US"/>
        </w:rPr>
        <w:t>2</w:t>
      </w:r>
      <w:r w:rsidRPr="00794EB9">
        <w:rPr>
          <w:rFonts w:ascii="Arial" w:eastAsiaTheme="minorEastAsia" w:hAnsi="Arial" w:cs="Arial"/>
          <w:sz w:val="22"/>
          <w:szCs w:val="22"/>
          <w:lang w:eastAsia="en-US"/>
        </w:rPr>
        <w:t xml:space="preserve">.  </w:t>
      </w:r>
    </w:p>
    <w:p w14:paraId="293A6FCD" w14:textId="77777777" w:rsidR="00794EB9" w:rsidRPr="00794EB9" w:rsidRDefault="00794EB9" w:rsidP="00794EB9">
      <w:pPr>
        <w:pStyle w:val="PMDNormal"/>
        <w:ind w:left="0" w:hanging="2"/>
        <w:jc w:val="center"/>
        <w:rPr>
          <w:rFonts w:ascii="Arial" w:eastAsiaTheme="minorEastAsia" w:hAnsi="Arial" w:cs="Arial"/>
          <w:color w:val="auto"/>
          <w:lang w:eastAsia="en-US"/>
        </w:rPr>
      </w:pPr>
      <w:r w:rsidRPr="00794EB9">
        <w:rPr>
          <w:rFonts w:ascii="Arial" w:eastAsiaTheme="minorEastAsia" w:hAnsi="Arial" w:cs="Arial"/>
          <w:noProof/>
          <w:color w:val="auto"/>
        </w:rPr>
        <w:lastRenderedPageBreak/>
        <w:drawing>
          <wp:inline distT="0" distB="0" distL="0" distR="0" wp14:anchorId="22AD645F" wp14:editId="70F049D4">
            <wp:extent cx="4279900" cy="3588859"/>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279900" cy="3588859"/>
                    </a:xfrm>
                    <a:prstGeom prst="rect">
                      <a:avLst/>
                    </a:prstGeom>
                  </pic:spPr>
                </pic:pic>
              </a:graphicData>
            </a:graphic>
          </wp:inline>
        </w:drawing>
      </w:r>
    </w:p>
    <w:p w14:paraId="41DFC88A" w14:textId="77777777" w:rsidR="00794EB9" w:rsidRPr="00794EB9" w:rsidRDefault="00794EB9" w:rsidP="00794EB9">
      <w:pPr>
        <w:pStyle w:val="PMDNormal"/>
        <w:ind w:left="0" w:hanging="2"/>
        <w:rPr>
          <w:rFonts w:ascii="Arial" w:eastAsiaTheme="minorEastAsia" w:hAnsi="Arial" w:cs="Arial"/>
          <w:color w:val="auto"/>
          <w:lang w:eastAsia="en-US"/>
        </w:rPr>
      </w:pPr>
    </w:p>
    <w:p w14:paraId="411D3165" w14:textId="77777777" w:rsidR="00794EB9" w:rsidRPr="00794EB9" w:rsidRDefault="00794EB9" w:rsidP="00794EB9">
      <w:pPr>
        <w:pStyle w:val="PMDNormal"/>
        <w:ind w:left="0" w:hanging="2"/>
        <w:jc w:val="center"/>
        <w:rPr>
          <w:rFonts w:ascii="Arial" w:eastAsiaTheme="minorEastAsia" w:hAnsi="Arial" w:cs="Arial"/>
          <w:color w:val="auto"/>
          <w:lang w:eastAsia="en-US"/>
        </w:rPr>
      </w:pPr>
      <w:r w:rsidRPr="00794EB9">
        <w:rPr>
          <w:rFonts w:ascii="Arial" w:eastAsiaTheme="minorEastAsia" w:hAnsi="Arial" w:cs="Arial"/>
          <w:noProof/>
          <w:color w:val="auto"/>
        </w:rPr>
        <w:drawing>
          <wp:inline distT="0" distB="0" distL="0" distR="0" wp14:anchorId="4D4D487E" wp14:editId="28E2FAFE">
            <wp:extent cx="5111926" cy="3368040"/>
            <wp:effectExtent l="0" t="0" r="0" b="381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2.png"/>
                    <pic:cNvPicPr/>
                  </pic:nvPicPr>
                  <pic:blipFill>
                    <a:blip r:embed="rId81" cstate="print">
                      <a:extLst>
                        <a:ext uri="{BEBA8EAE-BF5A-486C-A8C5-ECC9F3942E4B}">
                          <a14:imgProps xmlns:a14="http://schemas.microsoft.com/office/drawing/2010/main">
                            <a14:imgLayer r:embed="rId8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122163" cy="3374785"/>
                    </a:xfrm>
                    <a:prstGeom prst="rect">
                      <a:avLst/>
                    </a:prstGeom>
                  </pic:spPr>
                </pic:pic>
              </a:graphicData>
            </a:graphic>
          </wp:inline>
        </w:drawing>
      </w:r>
    </w:p>
    <w:p w14:paraId="17FCD2AD" w14:textId="77777777" w:rsidR="00794EB9" w:rsidRPr="00794EB9" w:rsidRDefault="00794EB9" w:rsidP="00794EB9">
      <w:pPr>
        <w:pStyle w:val="PMDNormal"/>
        <w:ind w:left="0" w:hanging="2"/>
        <w:rPr>
          <w:rFonts w:ascii="Arial" w:eastAsiaTheme="minorEastAsia" w:hAnsi="Arial" w:cs="Arial"/>
          <w:color w:val="auto"/>
          <w:lang w:eastAsia="en-US"/>
        </w:rPr>
      </w:pPr>
    </w:p>
    <w:p w14:paraId="592AE84D" w14:textId="77777777" w:rsidR="00794EB9" w:rsidRPr="00794EB9" w:rsidRDefault="00794EB9" w:rsidP="00794EB9">
      <w:pPr>
        <w:pStyle w:val="PMDNormal"/>
        <w:ind w:left="0" w:hanging="2"/>
        <w:rPr>
          <w:rFonts w:ascii="Arial" w:eastAsiaTheme="minorEastAsia" w:hAnsi="Arial" w:cs="Arial"/>
          <w:color w:val="auto"/>
          <w:lang w:eastAsia="en-US"/>
        </w:rPr>
      </w:pPr>
    </w:p>
    <w:p w14:paraId="5E1EA751" w14:textId="77777777" w:rsidR="00794EB9" w:rsidRPr="00794EB9" w:rsidRDefault="00794EB9" w:rsidP="00794EB9">
      <w:pPr>
        <w:pStyle w:val="PMDNormal"/>
        <w:ind w:left="0" w:hanging="2"/>
        <w:rPr>
          <w:rFonts w:ascii="Arial" w:eastAsiaTheme="minorEastAsia" w:hAnsi="Arial" w:cs="Arial"/>
          <w:color w:val="auto"/>
          <w:lang w:eastAsia="en-US"/>
        </w:rPr>
      </w:pPr>
    </w:p>
    <w:p w14:paraId="5905A3FE" w14:textId="77777777" w:rsidR="00794EB9" w:rsidRPr="00794EB9" w:rsidRDefault="00794EB9" w:rsidP="00794EB9">
      <w:pPr>
        <w:pStyle w:val="PMDNormal"/>
        <w:ind w:left="0" w:hanging="2"/>
        <w:rPr>
          <w:rFonts w:ascii="Arial" w:eastAsiaTheme="minorEastAsia" w:hAnsi="Arial" w:cs="Arial"/>
          <w:color w:val="auto"/>
          <w:lang w:eastAsia="en-US"/>
        </w:rPr>
      </w:pPr>
    </w:p>
    <w:p w14:paraId="487131BF" w14:textId="77777777" w:rsidR="00794EB9" w:rsidRPr="00794EB9" w:rsidRDefault="00794EB9" w:rsidP="00794EB9">
      <w:pPr>
        <w:pStyle w:val="PMDTtulo2"/>
        <w:ind w:left="0" w:hanging="2"/>
        <w:rPr>
          <w:rFonts w:ascii="Arial" w:hAnsi="Arial"/>
          <w:i/>
          <w:color w:val="auto"/>
          <w:sz w:val="22"/>
          <w:szCs w:val="22"/>
        </w:rPr>
      </w:pPr>
      <w:r w:rsidRPr="00794EB9">
        <w:rPr>
          <w:rFonts w:ascii="Arial" w:hAnsi="Arial"/>
          <w:i/>
          <w:color w:val="auto"/>
          <w:sz w:val="22"/>
          <w:szCs w:val="22"/>
        </w:rPr>
        <w:t>Aire limpio y saludable</w:t>
      </w:r>
    </w:p>
    <w:p w14:paraId="398E4A7F" w14:textId="77777777" w:rsidR="00794EB9" w:rsidRPr="00794EB9" w:rsidRDefault="00794EB9" w:rsidP="00794EB9">
      <w:pPr>
        <w:pStyle w:val="PMDNormal"/>
        <w:ind w:left="0" w:hanging="2"/>
        <w:rPr>
          <w:rFonts w:ascii="Arial" w:hAnsi="Arial" w:cs="Arial"/>
          <w:color w:val="auto"/>
        </w:rPr>
      </w:pPr>
    </w:p>
    <w:p w14:paraId="22CCC95F"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lastRenderedPageBreak/>
        <w:t xml:space="preserve">En las últimas décadas, la contaminación del aire ha cobrado reconocimiento y prominencia en las agendas globales, principalmente en temas relacionados con la salud de la población y el cambio climático. Entre las principales fuentes de contaminación atmosférica se encuentra las móviles, de área (generada por la industria) y naturales (partículas de polvo).  </w:t>
      </w:r>
    </w:p>
    <w:p w14:paraId="2556162F" w14:textId="77777777" w:rsidR="00794EB9" w:rsidRPr="00794EB9" w:rsidRDefault="00794EB9" w:rsidP="00794EB9">
      <w:pPr>
        <w:pStyle w:val="PMDNormal"/>
        <w:ind w:left="0" w:hanging="2"/>
        <w:rPr>
          <w:rFonts w:ascii="Arial" w:hAnsi="Arial" w:cs="Arial"/>
          <w:color w:val="auto"/>
        </w:rPr>
      </w:pPr>
    </w:p>
    <w:p w14:paraId="729DC64A"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Como una herramienta de planeación para el control, mitigación y prevención de emisiones contaminantes, en León se implementó el sistema de monitoreo de la calidad del aire. Este sistema opera a través de cuatro estaciones fijas automatizadas, cada una con una cobertura de dos kilómetros, que se identifican como CICEG, T21, Facultad de Medicina y Bomberos 3. </w:t>
      </w:r>
    </w:p>
    <w:p w14:paraId="29CCEE15" w14:textId="77777777" w:rsidR="00794EB9" w:rsidRPr="00794EB9" w:rsidRDefault="00794EB9" w:rsidP="00794EB9">
      <w:pPr>
        <w:pStyle w:val="PMDNormal"/>
        <w:ind w:left="0" w:hanging="2"/>
        <w:rPr>
          <w:rFonts w:ascii="Arial" w:hAnsi="Arial" w:cs="Arial"/>
          <w:color w:val="auto"/>
        </w:rPr>
      </w:pPr>
    </w:p>
    <w:p w14:paraId="35D6765E"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A éstas se suma una red de ocho sensores individuales, de los cuales dos son móviles y seis se ubican en los puntos de San Juan Bosco, Paseo de los Insurgentes (UDL), Hilario Medina (Plaza Obelisco), 16 de Septiembre y esquina 20 de Enero, blvd. Adolfo López Mateos instalaciones de la Feria, Leandro Valle y esquina Miguel Alemán. </w:t>
      </w:r>
    </w:p>
    <w:p w14:paraId="7F87CCB6" w14:textId="77777777" w:rsidR="00794EB9" w:rsidRPr="00794EB9" w:rsidRDefault="00794EB9" w:rsidP="00794EB9">
      <w:pPr>
        <w:pStyle w:val="PMDNormal"/>
        <w:ind w:left="0" w:hanging="2"/>
        <w:rPr>
          <w:rFonts w:ascii="Arial" w:hAnsi="Arial" w:cs="Arial"/>
          <w:color w:val="auto"/>
        </w:rPr>
      </w:pPr>
    </w:p>
    <w:p w14:paraId="17C556C9"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Para el primer semestre de 2021, no se rebasó ningún día la norma establecida para el parámetro de ozono (O</w:t>
      </w:r>
      <w:r w:rsidRPr="00794EB9">
        <w:rPr>
          <w:rFonts w:ascii="Arial" w:hAnsi="Arial" w:cs="Arial"/>
          <w:color w:val="auto"/>
          <w:vertAlign w:val="subscript"/>
        </w:rPr>
        <w:t>3</w:t>
      </w:r>
      <w:r w:rsidRPr="00794EB9">
        <w:rPr>
          <w:rFonts w:ascii="Arial" w:hAnsi="Arial" w:cs="Arial"/>
          <w:color w:val="auto"/>
        </w:rPr>
        <w:t xml:space="preserve">), en cambio, para las partículas suspendidas menores a 10 micras (PM10) se rebasó 34 días.  </w:t>
      </w:r>
    </w:p>
    <w:p w14:paraId="089F0975" w14:textId="77777777" w:rsidR="00794EB9" w:rsidRPr="00794EB9" w:rsidRDefault="00794EB9" w:rsidP="00794EB9">
      <w:pPr>
        <w:pStyle w:val="PMDNormal"/>
        <w:ind w:leftChars="0" w:left="0" w:firstLineChars="0" w:firstLine="0"/>
        <w:rPr>
          <w:rFonts w:ascii="Arial" w:hAnsi="Arial" w:cs="Arial"/>
          <w:color w:val="auto"/>
        </w:rPr>
      </w:pPr>
    </w:p>
    <w:p w14:paraId="583A75F7"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La verificación vehicular es una actividad de control de la contaminación atmosférica que se realiza en diversas partes del mundo, principalmente en las ciudades con un gran número de vehículos o altos índices de contaminación atmosférica. </w:t>
      </w:r>
    </w:p>
    <w:p w14:paraId="55CC61DE" w14:textId="77777777" w:rsidR="00794EB9" w:rsidRPr="00794EB9" w:rsidRDefault="00794EB9" w:rsidP="00794EB9">
      <w:pPr>
        <w:pStyle w:val="PMDNormal"/>
        <w:ind w:left="0" w:hanging="2"/>
        <w:rPr>
          <w:rFonts w:ascii="Arial" w:hAnsi="Arial" w:cs="Arial"/>
          <w:color w:val="auto"/>
        </w:rPr>
      </w:pPr>
    </w:p>
    <w:p w14:paraId="1CD35306" w14:textId="77777777" w:rsidR="00794EB9" w:rsidRPr="00794EB9" w:rsidRDefault="00794EB9" w:rsidP="00794EB9">
      <w:pPr>
        <w:pStyle w:val="PMDNormal"/>
        <w:ind w:left="0" w:hanging="2"/>
        <w:rPr>
          <w:rFonts w:ascii="Arial" w:hAnsi="Arial" w:cs="Arial"/>
          <w:i/>
          <w:color w:val="auto"/>
        </w:rPr>
      </w:pPr>
      <w:r w:rsidRPr="00794EB9">
        <w:rPr>
          <w:rFonts w:ascii="Arial" w:hAnsi="Arial" w:cs="Arial"/>
          <w:color w:val="auto"/>
        </w:rPr>
        <w:t xml:space="preserve">En nuestro municipio, el Programa Estatal de Verificación Vehicular es un instrumento obligatorio que favorece el control de emisiones provenientes de vehículos automotores. Durante el primer semestre de 2021, se verificaron 121 mil 878 automóviles, lo que equivale al 29.3% del total vehículos automóviles registrados. </w:t>
      </w:r>
      <w:r w:rsidRPr="00794EB9">
        <w:rPr>
          <w:rFonts w:ascii="Arial" w:hAnsi="Arial" w:cs="Arial"/>
          <w:i/>
          <w:color w:val="auto"/>
          <w:u w:val="single"/>
        </w:rPr>
        <w:t>(La Secretaría de Finanzas, Inversión y Administración del Estado de Guanajuato registró 414 mil 721 automóviles en el municipio)</w:t>
      </w:r>
    </w:p>
    <w:p w14:paraId="7224CAB1" w14:textId="77777777" w:rsidR="00794EB9" w:rsidRPr="00794EB9" w:rsidRDefault="00794EB9" w:rsidP="00794EB9">
      <w:pPr>
        <w:pStyle w:val="PMDNormal"/>
        <w:ind w:left="0" w:hanging="2"/>
        <w:rPr>
          <w:rFonts w:ascii="Arial" w:hAnsi="Arial" w:cs="Arial"/>
          <w:color w:val="auto"/>
        </w:rPr>
      </w:pPr>
    </w:p>
    <w:p w14:paraId="0880ED61"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Estos resultados reflejan la falta de participación ciudadana y su compromiso frente a los efectos generados por las emisiones de los vehículos automotores, por lo cual se deberá fomentar la colaboración en el programa de verificación vehicular para velar por la salud y el bienestar de los habitantes de la ciudad. </w:t>
      </w:r>
    </w:p>
    <w:p w14:paraId="551F4621" w14:textId="77777777" w:rsidR="00794EB9" w:rsidRPr="00794EB9" w:rsidRDefault="00794EB9" w:rsidP="00794EB9">
      <w:pPr>
        <w:pStyle w:val="PMDNormal"/>
        <w:ind w:left="0" w:hanging="2"/>
        <w:rPr>
          <w:rFonts w:ascii="Arial" w:hAnsi="Arial" w:cs="Arial"/>
          <w:color w:val="auto"/>
        </w:rPr>
      </w:pPr>
    </w:p>
    <w:p w14:paraId="2BD23A0E" w14:textId="77777777" w:rsidR="00794EB9" w:rsidRPr="00794EB9" w:rsidRDefault="00794EB9" w:rsidP="00794EB9">
      <w:pPr>
        <w:ind w:hanging="2"/>
        <w:jc w:val="both"/>
        <w:rPr>
          <w:rFonts w:ascii="Arial" w:eastAsia="Calibri" w:hAnsi="Arial" w:cs="Arial"/>
          <w:i/>
          <w:sz w:val="22"/>
          <w:szCs w:val="22"/>
          <w:u w:val="single"/>
        </w:rPr>
      </w:pPr>
      <w:r w:rsidRPr="00794EB9">
        <w:rPr>
          <w:rFonts w:ascii="Arial" w:hAnsi="Arial" w:cs="Arial"/>
          <w:sz w:val="22"/>
          <w:szCs w:val="22"/>
        </w:rPr>
        <w:t>El municipio de León refrenda su compromiso frente a los retos globales del cambio climático para dar cumplimiento a los objetivos: 3 salud y bienestar, 7 energía asequible y no contaminante, 11 ciudades y comunidades sostenibles y 13 acción por el clima del Desarrollo Sostenible de la Agenda 2030.</w:t>
      </w:r>
      <w:r w:rsidRPr="00794EB9">
        <w:rPr>
          <w:rFonts w:ascii="Arial" w:eastAsia="Calibri" w:hAnsi="Arial" w:cs="Arial"/>
          <w:sz w:val="22"/>
          <w:szCs w:val="22"/>
        </w:rPr>
        <w:t xml:space="preserve"> </w:t>
      </w:r>
      <w:r w:rsidRPr="00794EB9">
        <w:rPr>
          <w:rFonts w:ascii="Arial" w:eastAsia="Calibri" w:hAnsi="Arial" w:cs="Arial"/>
          <w:i/>
          <w:sz w:val="22"/>
          <w:szCs w:val="22"/>
          <w:u w:val="single"/>
        </w:rPr>
        <w:t>(Programa Municipal de Cambio Climático de León, Guanajuato. Dirección de Medio Ambiente, Centro Mario Molina para Estudios Estratégicos sobre Energía y Medio Ambiente A.C., abril 2021.)</w:t>
      </w:r>
    </w:p>
    <w:p w14:paraId="3B09EB4D" w14:textId="77777777" w:rsidR="00794EB9" w:rsidRPr="00794EB9" w:rsidRDefault="00794EB9" w:rsidP="00794EB9">
      <w:pPr>
        <w:pStyle w:val="PMDNormal"/>
        <w:ind w:left="0" w:hanging="2"/>
        <w:rPr>
          <w:rFonts w:ascii="Arial" w:hAnsi="Arial" w:cs="Arial"/>
          <w:i/>
          <w:color w:val="auto"/>
          <w:lang w:val="es-ES"/>
        </w:rPr>
      </w:pPr>
    </w:p>
    <w:p w14:paraId="0694B601" w14:textId="77777777" w:rsidR="00794EB9" w:rsidRPr="00794EB9" w:rsidRDefault="00794EB9" w:rsidP="00794EB9">
      <w:pPr>
        <w:pStyle w:val="PMDNormal"/>
        <w:ind w:left="0" w:hanging="2"/>
        <w:rPr>
          <w:rFonts w:ascii="Arial" w:hAnsi="Arial" w:cs="Arial"/>
          <w:color w:val="auto"/>
        </w:rPr>
      </w:pPr>
      <w:r w:rsidRPr="00794EB9">
        <w:rPr>
          <w:rFonts w:ascii="Arial" w:hAnsi="Arial" w:cs="Arial"/>
          <w:b/>
          <w:noProof/>
          <w:color w:val="auto"/>
        </w:rPr>
        <w:lastRenderedPageBreak/>
        <w:drawing>
          <wp:inline distT="0" distB="0" distL="0" distR="0" wp14:anchorId="26C3A75C" wp14:editId="3AF83A08">
            <wp:extent cx="5529118" cy="3634154"/>
            <wp:effectExtent l="0" t="0" r="0" b="444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a.png"/>
                    <pic:cNvPicPr/>
                  </pic:nvPicPr>
                  <pic:blipFill>
                    <a:blip r:embed="rId83" cstate="print">
                      <a:extLst>
                        <a:ext uri="{BEBA8EAE-BF5A-486C-A8C5-ECC9F3942E4B}">
                          <a14:imgProps xmlns:a14="http://schemas.microsoft.com/office/drawing/2010/main">
                            <a14:imgLayer r:embed="rId8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29118" cy="3634154"/>
                    </a:xfrm>
                    <a:prstGeom prst="rect">
                      <a:avLst/>
                    </a:prstGeom>
                  </pic:spPr>
                </pic:pic>
              </a:graphicData>
            </a:graphic>
          </wp:inline>
        </w:drawing>
      </w:r>
    </w:p>
    <w:p w14:paraId="1216ED5A" w14:textId="77777777" w:rsidR="00794EB9" w:rsidRPr="00794EB9" w:rsidRDefault="00794EB9" w:rsidP="00794EB9">
      <w:pPr>
        <w:pStyle w:val="PMDNormal"/>
        <w:ind w:left="0" w:hanging="2"/>
        <w:rPr>
          <w:rFonts w:ascii="Arial" w:hAnsi="Arial" w:cs="Arial"/>
          <w:color w:val="auto"/>
        </w:rPr>
      </w:pPr>
    </w:p>
    <w:p w14:paraId="149C56E3" w14:textId="77777777" w:rsidR="00794EB9" w:rsidRPr="00794EB9" w:rsidRDefault="00794EB9" w:rsidP="00794EB9">
      <w:pPr>
        <w:pStyle w:val="PMDTtulo2"/>
        <w:ind w:left="0" w:hanging="2"/>
        <w:jc w:val="center"/>
        <w:rPr>
          <w:rFonts w:ascii="Arial" w:hAnsi="Arial"/>
          <w:color w:val="auto"/>
          <w:sz w:val="22"/>
          <w:szCs w:val="22"/>
        </w:rPr>
      </w:pPr>
      <w:r w:rsidRPr="00794EB9">
        <w:rPr>
          <w:rFonts w:ascii="Arial" w:hAnsi="Arial"/>
          <w:b w:val="0"/>
          <w:noProof/>
          <w:color w:val="auto"/>
          <w:sz w:val="22"/>
          <w:szCs w:val="22"/>
        </w:rPr>
        <w:drawing>
          <wp:inline distT="0" distB="0" distL="0" distR="0" wp14:anchorId="5FD714EE" wp14:editId="594AC800">
            <wp:extent cx="5345723" cy="3238402"/>
            <wp:effectExtent l="0" t="0" r="7620" b="63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b.png"/>
                    <pic:cNvPicPr/>
                  </pic:nvPicPr>
                  <pic:blipFill>
                    <a:blip r:embed="rId85" cstate="print">
                      <a:extLst>
                        <a:ext uri="{BEBA8EAE-BF5A-486C-A8C5-ECC9F3942E4B}">
                          <a14:imgProps xmlns:a14="http://schemas.microsoft.com/office/drawing/2010/main">
                            <a14:imgLayer r:embed="rId8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345723" cy="3238402"/>
                    </a:xfrm>
                    <a:prstGeom prst="rect">
                      <a:avLst/>
                    </a:prstGeom>
                  </pic:spPr>
                </pic:pic>
              </a:graphicData>
            </a:graphic>
          </wp:inline>
        </w:drawing>
      </w:r>
    </w:p>
    <w:p w14:paraId="4CBDF6FD" w14:textId="77777777" w:rsidR="00794EB9" w:rsidRPr="00794EB9" w:rsidRDefault="00794EB9" w:rsidP="00794EB9">
      <w:pPr>
        <w:pStyle w:val="PMDNormal"/>
        <w:ind w:left="0" w:hanging="2"/>
        <w:rPr>
          <w:rFonts w:ascii="Arial" w:hAnsi="Arial" w:cs="Arial"/>
          <w:color w:val="auto"/>
        </w:rPr>
      </w:pPr>
    </w:p>
    <w:p w14:paraId="2EB92E6A" w14:textId="77777777" w:rsidR="00794EB9" w:rsidRPr="00794EB9" w:rsidRDefault="00794EB9" w:rsidP="00794EB9">
      <w:pPr>
        <w:pStyle w:val="PMDNormal"/>
        <w:ind w:left="0" w:hanging="2"/>
        <w:rPr>
          <w:rFonts w:ascii="Arial" w:hAnsi="Arial" w:cs="Arial"/>
          <w:color w:val="auto"/>
        </w:rPr>
      </w:pPr>
    </w:p>
    <w:p w14:paraId="11365E92" w14:textId="77777777" w:rsidR="00794EB9" w:rsidRPr="00794EB9" w:rsidRDefault="00794EB9" w:rsidP="00794EB9">
      <w:pPr>
        <w:pStyle w:val="PMDNormal"/>
        <w:ind w:left="0" w:hanging="2"/>
        <w:rPr>
          <w:rFonts w:ascii="Arial" w:hAnsi="Arial" w:cs="Arial"/>
          <w:color w:val="auto"/>
        </w:rPr>
      </w:pPr>
    </w:p>
    <w:p w14:paraId="6DD6B425" w14:textId="77777777" w:rsidR="00794EB9" w:rsidRPr="00794EB9" w:rsidRDefault="00794EB9" w:rsidP="00794EB9">
      <w:pPr>
        <w:pStyle w:val="PMDNormal"/>
        <w:ind w:left="0" w:hanging="2"/>
        <w:rPr>
          <w:rFonts w:ascii="Arial" w:hAnsi="Arial" w:cs="Arial"/>
          <w:color w:val="auto"/>
        </w:rPr>
      </w:pPr>
    </w:p>
    <w:p w14:paraId="60C9D69E" w14:textId="77777777" w:rsidR="00794EB9" w:rsidRPr="00794EB9" w:rsidRDefault="00794EB9" w:rsidP="00794EB9">
      <w:pPr>
        <w:pStyle w:val="PMDTtulo2"/>
        <w:ind w:left="0" w:hanging="2"/>
        <w:rPr>
          <w:rFonts w:ascii="Arial" w:hAnsi="Arial"/>
          <w:i/>
          <w:color w:val="auto"/>
          <w:sz w:val="22"/>
          <w:szCs w:val="22"/>
        </w:rPr>
      </w:pPr>
      <w:r w:rsidRPr="00794EB9">
        <w:rPr>
          <w:rFonts w:ascii="Arial" w:hAnsi="Arial"/>
          <w:i/>
          <w:color w:val="auto"/>
          <w:sz w:val="22"/>
          <w:szCs w:val="22"/>
        </w:rPr>
        <w:t>Recursos Naturales e Infraestructura Verde</w:t>
      </w:r>
    </w:p>
    <w:p w14:paraId="3A3B49E2" w14:textId="77777777" w:rsidR="00794EB9" w:rsidRPr="00794EB9" w:rsidRDefault="00794EB9" w:rsidP="00794EB9">
      <w:pPr>
        <w:pStyle w:val="Textoindependiente"/>
        <w:tabs>
          <w:tab w:val="left" w:pos="0"/>
          <w:tab w:val="left" w:pos="720"/>
        </w:tabs>
        <w:kinsoku w:val="0"/>
        <w:overflowPunct w:val="0"/>
        <w:ind w:left="0" w:hanging="2"/>
        <w:jc w:val="both"/>
        <w:rPr>
          <w:rFonts w:ascii="Arial" w:hAnsi="Arial" w:cs="Arial"/>
          <w:sz w:val="22"/>
          <w:szCs w:val="22"/>
          <w:lang w:val="es-ES"/>
        </w:rPr>
      </w:pPr>
    </w:p>
    <w:p w14:paraId="0F8E3ED1" w14:textId="77777777" w:rsidR="00794EB9" w:rsidRPr="00794EB9" w:rsidRDefault="00794EB9" w:rsidP="00794EB9">
      <w:pPr>
        <w:pStyle w:val="Textoindependiente"/>
        <w:tabs>
          <w:tab w:val="left" w:pos="0"/>
          <w:tab w:val="left" w:pos="720"/>
        </w:tabs>
        <w:kinsoku w:val="0"/>
        <w:overflowPunct w:val="0"/>
        <w:ind w:left="0" w:hanging="2"/>
        <w:jc w:val="both"/>
        <w:rPr>
          <w:rFonts w:ascii="Arial" w:hAnsi="Arial" w:cs="Arial"/>
          <w:sz w:val="22"/>
          <w:szCs w:val="22"/>
          <w:lang w:val="es-ES"/>
        </w:rPr>
      </w:pPr>
      <w:r w:rsidRPr="00794EB9">
        <w:rPr>
          <w:rFonts w:ascii="Arial" w:hAnsi="Arial" w:cs="Arial"/>
          <w:sz w:val="22"/>
          <w:szCs w:val="22"/>
          <w:lang w:val="es-ES"/>
        </w:rPr>
        <w:t xml:space="preserve">En León existen cuatro Áreas Naturales Protegidas (ANP) de las cuales, dos son de </w:t>
      </w:r>
      <w:r w:rsidRPr="00794EB9">
        <w:rPr>
          <w:rFonts w:ascii="Arial" w:hAnsi="Arial" w:cs="Arial"/>
          <w:sz w:val="22"/>
          <w:szCs w:val="22"/>
          <w:lang w:val="es-ES"/>
        </w:rPr>
        <w:lastRenderedPageBreak/>
        <w:t xml:space="preserve">carácter estatal, la Sierra de Lobos con una extensión de 41 mil 704 hectáreas que pertenecen al municipio y el Parque Metropolitano con una superficie de 337 hectáreas, y dos de carácter municipal que son Cañada Arroyo Hondo con 37.63 has. y La Patiña con 5 mil 849 has. </w:t>
      </w:r>
    </w:p>
    <w:p w14:paraId="5F0C97FD" w14:textId="77777777" w:rsidR="00794EB9" w:rsidRPr="00794EB9" w:rsidRDefault="00794EB9" w:rsidP="00794EB9">
      <w:pPr>
        <w:pStyle w:val="Textoindependiente"/>
        <w:tabs>
          <w:tab w:val="left" w:pos="0"/>
          <w:tab w:val="left" w:pos="720"/>
        </w:tabs>
        <w:kinsoku w:val="0"/>
        <w:overflowPunct w:val="0"/>
        <w:ind w:left="0" w:hanging="2"/>
        <w:jc w:val="both"/>
        <w:rPr>
          <w:rFonts w:ascii="Arial" w:hAnsi="Arial" w:cs="Arial"/>
          <w:sz w:val="22"/>
          <w:szCs w:val="22"/>
          <w:lang w:val="es-ES"/>
        </w:rPr>
      </w:pPr>
    </w:p>
    <w:p w14:paraId="012FAA5E" w14:textId="77777777" w:rsidR="00794EB9" w:rsidRPr="00794EB9" w:rsidRDefault="00794EB9" w:rsidP="00794EB9">
      <w:pPr>
        <w:pStyle w:val="Textoindependiente"/>
        <w:tabs>
          <w:tab w:val="left" w:pos="0"/>
          <w:tab w:val="left" w:pos="720"/>
        </w:tabs>
        <w:kinsoku w:val="0"/>
        <w:overflowPunct w:val="0"/>
        <w:ind w:left="0" w:hanging="2"/>
        <w:jc w:val="both"/>
        <w:rPr>
          <w:rFonts w:ascii="Arial" w:hAnsi="Arial" w:cs="Arial"/>
          <w:sz w:val="22"/>
          <w:szCs w:val="22"/>
          <w:vertAlign w:val="subscript"/>
          <w:lang w:val="es-ES"/>
        </w:rPr>
      </w:pPr>
      <w:r w:rsidRPr="00794EB9">
        <w:rPr>
          <w:rFonts w:ascii="Arial" w:hAnsi="Arial" w:cs="Arial"/>
          <w:sz w:val="22"/>
          <w:szCs w:val="22"/>
          <w:lang w:val="es-ES"/>
        </w:rPr>
        <w:t>Estas áreas naturales son importantes por la diversidad biológica de su flora y fauna, así como los servicios ecosistémicos que brindan a la ciudad al favorecer la captación de recursos hídricos, recarga de los acuíferos, regulación del agua y ser zonas de secuestro de CO</w:t>
      </w:r>
      <w:r w:rsidRPr="00794EB9">
        <w:rPr>
          <w:rFonts w:ascii="Arial" w:hAnsi="Arial" w:cs="Arial"/>
          <w:sz w:val="22"/>
          <w:szCs w:val="22"/>
          <w:vertAlign w:val="subscript"/>
          <w:lang w:val="es-ES"/>
        </w:rPr>
        <w:t>2.</w:t>
      </w:r>
    </w:p>
    <w:p w14:paraId="1CA78961" w14:textId="77777777" w:rsidR="00794EB9" w:rsidRPr="00794EB9" w:rsidRDefault="00794EB9" w:rsidP="00794EB9">
      <w:pPr>
        <w:pStyle w:val="Textoindependiente"/>
        <w:tabs>
          <w:tab w:val="left" w:pos="0"/>
          <w:tab w:val="left" w:pos="720"/>
        </w:tabs>
        <w:kinsoku w:val="0"/>
        <w:overflowPunct w:val="0"/>
        <w:ind w:left="0" w:hanging="2"/>
        <w:jc w:val="both"/>
        <w:rPr>
          <w:rFonts w:ascii="Arial" w:hAnsi="Arial" w:cs="Arial"/>
          <w:sz w:val="22"/>
          <w:szCs w:val="22"/>
          <w:vertAlign w:val="subscript"/>
          <w:lang w:val="es-ES"/>
        </w:rPr>
      </w:pPr>
    </w:p>
    <w:p w14:paraId="624E0EAD" w14:textId="77777777" w:rsidR="00794EB9" w:rsidRPr="00794EB9" w:rsidRDefault="00794EB9" w:rsidP="00794EB9">
      <w:pPr>
        <w:pStyle w:val="Textoindependiente"/>
        <w:tabs>
          <w:tab w:val="left" w:pos="0"/>
          <w:tab w:val="left" w:pos="720"/>
        </w:tabs>
        <w:kinsoku w:val="0"/>
        <w:overflowPunct w:val="0"/>
        <w:ind w:left="0" w:hanging="2"/>
        <w:jc w:val="both"/>
        <w:rPr>
          <w:rFonts w:ascii="Arial" w:hAnsi="Arial" w:cs="Arial"/>
          <w:i/>
          <w:sz w:val="22"/>
          <w:szCs w:val="22"/>
          <w:u w:val="single"/>
          <w:lang w:val="es-ES"/>
        </w:rPr>
      </w:pPr>
      <w:r w:rsidRPr="00794EB9">
        <w:rPr>
          <w:rFonts w:ascii="Arial" w:hAnsi="Arial" w:cs="Arial"/>
          <w:sz w:val="22"/>
          <w:szCs w:val="22"/>
          <w:lang w:val="es-ES"/>
        </w:rPr>
        <w:t xml:space="preserve">A su vez, se registraron 350 especies de flora y fauna nativa. Dentro de la zona urbana aún existen áreas donde prevalecen condiciones para albergar a estas especies, sin embargo, la fragilidad que presentan hacen prioritaria su conservación. </w:t>
      </w:r>
      <w:r w:rsidRPr="00794EB9">
        <w:rPr>
          <w:rFonts w:ascii="Arial" w:hAnsi="Arial" w:cs="Arial"/>
          <w:i/>
          <w:sz w:val="22"/>
          <w:szCs w:val="22"/>
          <w:u w:val="single"/>
          <w:lang w:val="es-ES"/>
        </w:rPr>
        <w:t xml:space="preserve">(Índice de Biodiversidad Urbana, IBU, IMPLAN, 2020) </w:t>
      </w:r>
    </w:p>
    <w:p w14:paraId="6795F047" w14:textId="77777777" w:rsidR="00794EB9" w:rsidRPr="00794EB9" w:rsidRDefault="00794EB9" w:rsidP="00794EB9">
      <w:pPr>
        <w:pStyle w:val="Textoindependiente"/>
        <w:tabs>
          <w:tab w:val="left" w:pos="0"/>
          <w:tab w:val="left" w:pos="720"/>
        </w:tabs>
        <w:kinsoku w:val="0"/>
        <w:overflowPunct w:val="0"/>
        <w:ind w:left="0" w:hanging="2"/>
        <w:jc w:val="both"/>
        <w:rPr>
          <w:rFonts w:ascii="Arial" w:hAnsi="Arial" w:cs="Arial"/>
          <w:sz w:val="22"/>
          <w:szCs w:val="22"/>
          <w:lang w:val="es-ES"/>
        </w:rPr>
      </w:pPr>
      <w:r w:rsidRPr="00794EB9">
        <w:rPr>
          <w:rFonts w:ascii="Arial" w:hAnsi="Arial" w:cs="Arial"/>
          <w:sz w:val="22"/>
          <w:szCs w:val="22"/>
          <w:lang w:val="es-ES"/>
        </w:rPr>
        <w:t xml:space="preserve">  </w:t>
      </w:r>
    </w:p>
    <w:p w14:paraId="7E2FCBD3" w14:textId="77777777" w:rsidR="00794EB9" w:rsidRPr="00794EB9" w:rsidRDefault="00794EB9" w:rsidP="00794EB9">
      <w:pPr>
        <w:pStyle w:val="Textonotapie"/>
        <w:ind w:hanging="2"/>
        <w:jc w:val="both"/>
        <w:rPr>
          <w:rFonts w:ascii="Arial" w:hAnsi="Arial" w:cs="Arial"/>
          <w:szCs w:val="22"/>
        </w:rPr>
      </w:pPr>
      <w:r w:rsidRPr="00794EB9">
        <w:rPr>
          <w:rFonts w:ascii="Arial" w:hAnsi="Arial" w:cs="Arial"/>
          <w:szCs w:val="22"/>
        </w:rPr>
        <w:t xml:space="preserve">Además de los elementos antes señalados, se suman a la zona urbana una red conformada por áreas núcleo (ANP´S al norte del municipio que suman 47 mil 928 has.), áreas de amortiguamiento (Línea de Lobos, zonas de conservación ecológica y frontera agrícola sur 40 mil 262 has.), nodos primarios (Parques urbanos 200 has.), nodos secundarios (jardines públicos 46 has.) y terciarios (jardines públicos 248 has.) conectores fluviales (ríos, arroyos y parques lineales 24 km) y no fluviales (ciclovías 216 km). </w:t>
      </w:r>
      <w:r w:rsidRPr="00794EB9">
        <w:rPr>
          <w:rFonts w:ascii="Arial" w:hAnsi="Arial" w:cs="Arial"/>
          <w:i/>
          <w:szCs w:val="22"/>
          <w:u w:val="single"/>
        </w:rPr>
        <w:t>(Manual de Infraestructura Verde. IMPLAN, 2020.)</w:t>
      </w:r>
      <w:r w:rsidRPr="00794EB9">
        <w:rPr>
          <w:rFonts w:ascii="Arial" w:hAnsi="Arial" w:cs="Arial"/>
          <w:szCs w:val="22"/>
        </w:rPr>
        <w:t xml:space="preserve"> </w:t>
      </w:r>
    </w:p>
    <w:p w14:paraId="0AAB5D69" w14:textId="77777777" w:rsidR="00794EB9" w:rsidRPr="00794EB9" w:rsidRDefault="00794EB9" w:rsidP="00794EB9">
      <w:pPr>
        <w:jc w:val="both"/>
        <w:rPr>
          <w:rFonts w:ascii="Arial" w:eastAsiaTheme="minorEastAsia" w:hAnsi="Arial" w:cs="Arial"/>
          <w:sz w:val="22"/>
          <w:szCs w:val="22"/>
          <w:lang w:eastAsia="en-US"/>
        </w:rPr>
      </w:pPr>
    </w:p>
    <w:p w14:paraId="6B2B2D14" w14:textId="77777777" w:rsidR="00794EB9" w:rsidRPr="00794EB9" w:rsidRDefault="00794EB9" w:rsidP="00794EB9">
      <w:pPr>
        <w:ind w:hanging="2"/>
        <w:jc w:val="both"/>
        <w:rPr>
          <w:rFonts w:ascii="Arial" w:eastAsiaTheme="minorEastAsia" w:hAnsi="Arial" w:cs="Arial"/>
          <w:sz w:val="22"/>
          <w:szCs w:val="22"/>
          <w:lang w:eastAsia="en-US"/>
        </w:rPr>
      </w:pPr>
      <w:r w:rsidRPr="00794EB9">
        <w:rPr>
          <w:rFonts w:ascii="Arial" w:eastAsiaTheme="minorEastAsia" w:hAnsi="Arial" w:cs="Arial"/>
          <w:sz w:val="22"/>
          <w:szCs w:val="22"/>
          <w:lang w:eastAsia="en-US"/>
        </w:rPr>
        <w:t xml:space="preserve">Por ello, es imperante contar con una red de infraestructura verde, que en conjunto con el IBU, sirvan como un eje transversal que le permita a la ciudad ser más atractiva y competitiva en el mercado global, al priorizar el bienestar de su población creando opciones más sostenibles, rentables y eficientes ante la adaptación y mitigación del cambio climático. </w:t>
      </w:r>
    </w:p>
    <w:p w14:paraId="726D5159" w14:textId="77777777" w:rsidR="00794EB9" w:rsidRPr="00794EB9" w:rsidRDefault="00794EB9" w:rsidP="00794EB9">
      <w:pPr>
        <w:ind w:hanging="2"/>
        <w:jc w:val="both"/>
        <w:rPr>
          <w:rFonts w:ascii="Arial" w:eastAsiaTheme="minorEastAsia" w:hAnsi="Arial" w:cs="Arial"/>
          <w:sz w:val="22"/>
          <w:szCs w:val="22"/>
          <w:lang w:eastAsia="en-US"/>
        </w:rPr>
      </w:pPr>
    </w:p>
    <w:p w14:paraId="66D6B18D" w14:textId="77777777" w:rsidR="00794EB9" w:rsidRPr="00794EB9" w:rsidRDefault="00794EB9" w:rsidP="00794EB9">
      <w:pPr>
        <w:pStyle w:val="Textoindependiente"/>
        <w:tabs>
          <w:tab w:val="left" w:pos="0"/>
          <w:tab w:val="left" w:pos="720"/>
        </w:tabs>
        <w:kinsoku w:val="0"/>
        <w:overflowPunct w:val="0"/>
        <w:ind w:left="0" w:hanging="2"/>
        <w:jc w:val="center"/>
        <w:rPr>
          <w:rFonts w:ascii="Arial" w:hAnsi="Arial" w:cs="Arial"/>
          <w:sz w:val="22"/>
          <w:szCs w:val="22"/>
          <w:lang w:val="es-ES"/>
        </w:rPr>
      </w:pPr>
      <w:r w:rsidRPr="00794EB9">
        <w:rPr>
          <w:rFonts w:ascii="Arial" w:hAnsi="Arial" w:cs="Arial"/>
          <w:noProof/>
          <w:sz w:val="22"/>
          <w:szCs w:val="22"/>
          <w:lang w:val="es-MX" w:eastAsia="es-MX"/>
        </w:rPr>
        <w:drawing>
          <wp:inline distT="0" distB="0" distL="0" distR="0" wp14:anchorId="24E7842A" wp14:editId="60C602C4">
            <wp:extent cx="4686011" cy="3008172"/>
            <wp:effectExtent l="0" t="0" r="635" b="19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png"/>
                    <pic:cNvPicPr/>
                  </pic:nvPicPr>
                  <pic:blipFill>
                    <a:blip r:embed="rId87" cstate="print">
                      <a:extLst>
                        <a:ext uri="{BEBA8EAE-BF5A-486C-A8C5-ECC9F3942E4B}">
                          <a14:imgProps xmlns:a14="http://schemas.microsoft.com/office/drawing/2010/main">
                            <a14:imgLayer r:embed="rId8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694157" cy="3013401"/>
                    </a:xfrm>
                    <a:prstGeom prst="rect">
                      <a:avLst/>
                    </a:prstGeom>
                  </pic:spPr>
                </pic:pic>
              </a:graphicData>
            </a:graphic>
          </wp:inline>
        </w:drawing>
      </w:r>
    </w:p>
    <w:p w14:paraId="55664F8E" w14:textId="77777777" w:rsidR="00794EB9" w:rsidRPr="00794EB9" w:rsidRDefault="00794EB9" w:rsidP="00794EB9">
      <w:pPr>
        <w:pStyle w:val="Textoindependiente"/>
        <w:tabs>
          <w:tab w:val="left" w:pos="0"/>
          <w:tab w:val="left" w:pos="720"/>
        </w:tabs>
        <w:kinsoku w:val="0"/>
        <w:overflowPunct w:val="0"/>
        <w:ind w:leftChars="0" w:left="0" w:firstLineChars="0" w:firstLine="0"/>
        <w:rPr>
          <w:rFonts w:ascii="Arial" w:hAnsi="Arial" w:cs="Arial"/>
          <w:sz w:val="22"/>
          <w:szCs w:val="22"/>
          <w:lang w:val="es-ES"/>
        </w:rPr>
      </w:pPr>
    </w:p>
    <w:p w14:paraId="5106D28D" w14:textId="77777777" w:rsidR="00794EB9" w:rsidRPr="00794EB9" w:rsidRDefault="00794EB9" w:rsidP="00794EB9">
      <w:pPr>
        <w:pStyle w:val="Textoindependiente"/>
        <w:tabs>
          <w:tab w:val="left" w:pos="0"/>
          <w:tab w:val="left" w:pos="720"/>
        </w:tabs>
        <w:kinsoku w:val="0"/>
        <w:overflowPunct w:val="0"/>
        <w:ind w:left="0" w:hanging="2"/>
        <w:jc w:val="center"/>
        <w:rPr>
          <w:rFonts w:ascii="Arial" w:hAnsi="Arial" w:cs="Arial"/>
          <w:sz w:val="22"/>
          <w:szCs w:val="22"/>
          <w:lang w:val="es-ES"/>
        </w:rPr>
      </w:pPr>
      <w:r w:rsidRPr="00794EB9">
        <w:rPr>
          <w:rFonts w:ascii="Arial" w:hAnsi="Arial" w:cs="Arial"/>
          <w:noProof/>
          <w:sz w:val="22"/>
          <w:szCs w:val="22"/>
          <w:lang w:val="es-MX" w:eastAsia="es-MX"/>
        </w:rPr>
        <w:lastRenderedPageBreak/>
        <w:drawing>
          <wp:inline distT="0" distB="0" distL="0" distR="0" wp14:anchorId="27650C4B" wp14:editId="6A957315">
            <wp:extent cx="4762500" cy="3281695"/>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b-6.png"/>
                    <pic:cNvPicPr/>
                  </pic:nvPicPr>
                  <pic:blipFill>
                    <a:blip r:embed="rId89" cstate="print">
                      <a:extLst>
                        <a:ext uri="{BEBA8EAE-BF5A-486C-A8C5-ECC9F3942E4B}">
                          <a14:imgProps xmlns:a14="http://schemas.microsoft.com/office/drawing/2010/main">
                            <a14:imgLayer r:embed="rId9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766205" cy="3284248"/>
                    </a:xfrm>
                    <a:prstGeom prst="rect">
                      <a:avLst/>
                    </a:prstGeom>
                  </pic:spPr>
                </pic:pic>
              </a:graphicData>
            </a:graphic>
          </wp:inline>
        </w:drawing>
      </w:r>
    </w:p>
    <w:p w14:paraId="0DC84E82" w14:textId="77777777" w:rsidR="00794EB9" w:rsidRPr="00794EB9" w:rsidRDefault="00794EB9" w:rsidP="00794EB9">
      <w:pPr>
        <w:pStyle w:val="PMDTtulo2"/>
        <w:ind w:left="0" w:hanging="2"/>
        <w:rPr>
          <w:rFonts w:ascii="Arial" w:hAnsi="Arial"/>
          <w:color w:val="auto"/>
          <w:sz w:val="22"/>
          <w:szCs w:val="22"/>
          <w:lang w:val="es-ES"/>
        </w:rPr>
      </w:pPr>
      <w:r w:rsidRPr="00794EB9">
        <w:rPr>
          <w:rFonts w:ascii="Arial" w:hAnsi="Arial"/>
          <w:b w:val="0"/>
          <w:noProof/>
          <w:color w:val="auto"/>
          <w:sz w:val="22"/>
          <w:szCs w:val="22"/>
        </w:rPr>
        <w:lastRenderedPageBreak/>
        <w:drawing>
          <wp:inline distT="0" distB="0" distL="0" distR="0" wp14:anchorId="026CE4AB" wp14:editId="268D2726">
            <wp:extent cx="5693147" cy="5403272"/>
            <wp:effectExtent l="0" t="0" r="3175" b="698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c-6.png"/>
                    <pic:cNvPicPr/>
                  </pic:nvPicPr>
                  <pic:blipFill>
                    <a:blip r:embed="rId91" cstate="print">
                      <a:extLst>
                        <a:ext uri="{BEBA8EAE-BF5A-486C-A8C5-ECC9F3942E4B}">
                          <a14:imgProps xmlns:a14="http://schemas.microsoft.com/office/drawing/2010/main">
                            <a14:imgLayer r:embed="rId9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694218" cy="5404289"/>
                    </a:xfrm>
                    <a:prstGeom prst="rect">
                      <a:avLst/>
                    </a:prstGeom>
                  </pic:spPr>
                </pic:pic>
              </a:graphicData>
            </a:graphic>
          </wp:inline>
        </w:drawing>
      </w:r>
    </w:p>
    <w:p w14:paraId="58787830" w14:textId="77777777" w:rsidR="00794EB9" w:rsidRPr="00794EB9" w:rsidRDefault="00794EB9" w:rsidP="00794EB9">
      <w:pPr>
        <w:pStyle w:val="PMDTtulo2"/>
        <w:ind w:left="0" w:hanging="2"/>
        <w:rPr>
          <w:rFonts w:ascii="Arial" w:hAnsi="Arial"/>
          <w:color w:val="auto"/>
          <w:sz w:val="22"/>
          <w:szCs w:val="22"/>
          <w:lang w:val="es-ES"/>
        </w:rPr>
      </w:pPr>
    </w:p>
    <w:p w14:paraId="20A7B4AA" w14:textId="77777777" w:rsidR="00794EB9" w:rsidRPr="00794EB9" w:rsidRDefault="00794EB9" w:rsidP="00794EB9">
      <w:pPr>
        <w:pStyle w:val="PMDTtulo2"/>
        <w:ind w:left="0" w:hanging="2"/>
        <w:rPr>
          <w:rFonts w:ascii="Arial" w:hAnsi="Arial"/>
          <w:i/>
          <w:color w:val="auto"/>
          <w:sz w:val="22"/>
          <w:szCs w:val="22"/>
        </w:rPr>
      </w:pPr>
      <w:r w:rsidRPr="00794EB9">
        <w:rPr>
          <w:rFonts w:ascii="Arial" w:hAnsi="Arial"/>
          <w:i/>
          <w:color w:val="auto"/>
          <w:sz w:val="22"/>
          <w:szCs w:val="22"/>
        </w:rPr>
        <w:t xml:space="preserve">Riesgos y cambio climático </w:t>
      </w:r>
    </w:p>
    <w:p w14:paraId="5CCA8E76" w14:textId="77777777" w:rsidR="00794EB9" w:rsidRPr="00794EB9" w:rsidRDefault="00794EB9" w:rsidP="00794EB9">
      <w:pPr>
        <w:pStyle w:val="PMDNormal"/>
        <w:ind w:left="0" w:hanging="2"/>
        <w:rPr>
          <w:rFonts w:ascii="Arial" w:hAnsi="Arial" w:cs="Arial"/>
          <w:color w:val="auto"/>
        </w:rPr>
      </w:pPr>
    </w:p>
    <w:p w14:paraId="61C82141" w14:textId="77777777" w:rsidR="00794EB9" w:rsidRPr="00794EB9" w:rsidRDefault="00794EB9" w:rsidP="00794EB9">
      <w:pPr>
        <w:ind w:hanging="2"/>
        <w:jc w:val="both"/>
        <w:rPr>
          <w:rFonts w:ascii="Arial" w:eastAsia="Calibri" w:hAnsi="Arial" w:cs="Arial"/>
          <w:sz w:val="22"/>
          <w:szCs w:val="22"/>
        </w:rPr>
      </w:pPr>
      <w:r w:rsidRPr="00794EB9">
        <w:rPr>
          <w:rFonts w:ascii="Arial" w:eastAsia="Calibri" w:hAnsi="Arial" w:cs="Arial"/>
          <w:sz w:val="22"/>
          <w:szCs w:val="22"/>
        </w:rPr>
        <w:t xml:space="preserve">En 2021, del 16 al 29 de agosto, la ciudad registró un nuevo riesgo en el fenómeno geológico al presentarse microsismos, con una magnitud de 4.5 y una duración de 5 a 10 segundos, al norte del municipio en las comunidades de San Antonio del Gigante, El Gigante, Rincón Grande, Los Alisos, Sauz Seco y Otates Norte. </w:t>
      </w:r>
    </w:p>
    <w:p w14:paraId="55B09307" w14:textId="77777777" w:rsidR="00794EB9" w:rsidRPr="00794EB9" w:rsidRDefault="00794EB9" w:rsidP="00794EB9">
      <w:pPr>
        <w:ind w:hanging="2"/>
        <w:jc w:val="both"/>
        <w:rPr>
          <w:rFonts w:ascii="Arial" w:eastAsia="Calibri" w:hAnsi="Arial" w:cs="Arial"/>
          <w:sz w:val="22"/>
          <w:szCs w:val="22"/>
        </w:rPr>
      </w:pPr>
    </w:p>
    <w:p w14:paraId="72055A44" w14:textId="77777777" w:rsidR="00794EB9" w:rsidRPr="00794EB9" w:rsidRDefault="00794EB9" w:rsidP="00794EB9">
      <w:pPr>
        <w:ind w:hanging="2"/>
        <w:jc w:val="both"/>
        <w:rPr>
          <w:rFonts w:ascii="Arial" w:eastAsia="Calibri" w:hAnsi="Arial" w:cs="Arial"/>
          <w:sz w:val="22"/>
          <w:szCs w:val="22"/>
        </w:rPr>
      </w:pPr>
      <w:r w:rsidRPr="00794EB9">
        <w:rPr>
          <w:rFonts w:ascii="Arial" w:eastAsia="Calibri" w:hAnsi="Arial" w:cs="Arial"/>
          <w:sz w:val="22"/>
          <w:szCs w:val="22"/>
        </w:rPr>
        <w:t xml:space="preserve">De acuerdo con lo registrado y atendido por la Coordinación Estatal de Protección Civil, Dirección General de Protección Civil Municipal y la Dirección General de Desarrollo Rural, este riesgo geológico no presentó daños en infraestructuras ni ocasionó daños a los habitantes de dichas comunidades. </w:t>
      </w:r>
    </w:p>
    <w:p w14:paraId="5264E407" w14:textId="77777777" w:rsidR="00794EB9" w:rsidRPr="00794EB9" w:rsidRDefault="00794EB9" w:rsidP="00794EB9">
      <w:pPr>
        <w:ind w:hanging="2"/>
        <w:jc w:val="both"/>
        <w:rPr>
          <w:rFonts w:ascii="Arial" w:eastAsia="Calibri" w:hAnsi="Arial" w:cs="Arial"/>
          <w:sz w:val="22"/>
          <w:szCs w:val="22"/>
        </w:rPr>
      </w:pPr>
    </w:p>
    <w:p w14:paraId="038CCE2B" w14:textId="77777777" w:rsidR="00794EB9" w:rsidRPr="00794EB9" w:rsidRDefault="00794EB9" w:rsidP="00794EB9">
      <w:pPr>
        <w:ind w:hanging="2"/>
        <w:jc w:val="both"/>
        <w:rPr>
          <w:rFonts w:ascii="Arial" w:eastAsia="Calibri" w:hAnsi="Arial" w:cs="Arial"/>
          <w:sz w:val="22"/>
          <w:szCs w:val="22"/>
        </w:rPr>
      </w:pPr>
      <w:r w:rsidRPr="00794EB9">
        <w:rPr>
          <w:rFonts w:ascii="Arial" w:eastAsia="Calibri" w:hAnsi="Arial" w:cs="Arial"/>
          <w:sz w:val="22"/>
          <w:szCs w:val="22"/>
        </w:rPr>
        <w:t xml:space="preserve">Con el fin de prevenir cualquier contingencia por el reblandecimiento de material rocoso en la zona de laderas en asentamientos irregulares al norte de la ciudad, se continúa con un monitoreo permanente por la presencia de nuevos registros sísmicos. </w:t>
      </w:r>
    </w:p>
    <w:p w14:paraId="4BCDF122" w14:textId="77777777" w:rsidR="00794EB9" w:rsidRPr="00794EB9" w:rsidRDefault="00794EB9" w:rsidP="00794EB9">
      <w:pPr>
        <w:ind w:hanging="2"/>
        <w:jc w:val="both"/>
        <w:rPr>
          <w:rFonts w:ascii="Arial" w:eastAsia="Calibri" w:hAnsi="Arial" w:cs="Arial"/>
          <w:sz w:val="22"/>
          <w:szCs w:val="22"/>
        </w:rPr>
      </w:pPr>
    </w:p>
    <w:p w14:paraId="36A870F5" w14:textId="77777777" w:rsidR="00794EB9" w:rsidRPr="00794EB9" w:rsidRDefault="00794EB9" w:rsidP="00794EB9">
      <w:pPr>
        <w:ind w:hanging="2"/>
        <w:jc w:val="both"/>
        <w:rPr>
          <w:rFonts w:ascii="Arial" w:eastAsia="Calibri" w:hAnsi="Arial" w:cs="Arial"/>
          <w:sz w:val="22"/>
          <w:szCs w:val="22"/>
        </w:rPr>
      </w:pPr>
      <w:r w:rsidRPr="00794EB9">
        <w:rPr>
          <w:rFonts w:ascii="Arial" w:eastAsia="Calibri" w:hAnsi="Arial" w:cs="Arial"/>
          <w:sz w:val="22"/>
          <w:szCs w:val="22"/>
        </w:rPr>
        <w:lastRenderedPageBreak/>
        <w:t xml:space="preserve">Otro riesgo natural que se manifestó es la influencia de una falla en la zona urbana sobre las colonias Cumbres de la Piscina, Lomas de la Piscina, La Piscina, Las Mandarinas, La Condesa, Colinas de San Francisco, Cumbres del Sol, Las Huertas, Monte de Cristo, Granja Las Amalias, Arroyo Hondo, Betania y La Lucita; así como en las comunidades rurales de La Reserva, La Mora, La Venta y Puerta del Cerro, en las que se tuvo afectaciones a construcciones de viviendas e infraestructura vial. </w:t>
      </w:r>
    </w:p>
    <w:p w14:paraId="7702250B" w14:textId="77777777" w:rsidR="00794EB9" w:rsidRPr="00794EB9" w:rsidRDefault="00794EB9" w:rsidP="00794EB9">
      <w:pPr>
        <w:ind w:hanging="2"/>
        <w:jc w:val="both"/>
        <w:rPr>
          <w:rFonts w:ascii="Arial" w:eastAsia="Calibri" w:hAnsi="Arial" w:cs="Arial"/>
          <w:sz w:val="22"/>
          <w:szCs w:val="22"/>
        </w:rPr>
      </w:pPr>
    </w:p>
    <w:p w14:paraId="2854001F" w14:textId="77777777" w:rsidR="00794EB9" w:rsidRPr="00794EB9" w:rsidRDefault="00794EB9" w:rsidP="00794EB9">
      <w:pPr>
        <w:ind w:hanging="2"/>
        <w:jc w:val="both"/>
        <w:rPr>
          <w:rFonts w:ascii="Arial" w:eastAsia="Calibri" w:hAnsi="Arial" w:cs="Arial"/>
          <w:i/>
          <w:sz w:val="22"/>
          <w:szCs w:val="22"/>
        </w:rPr>
      </w:pPr>
      <w:r w:rsidRPr="00794EB9">
        <w:rPr>
          <w:rFonts w:ascii="Arial" w:eastAsia="Calibri" w:hAnsi="Arial" w:cs="Arial"/>
          <w:sz w:val="22"/>
          <w:szCs w:val="22"/>
        </w:rPr>
        <w:t xml:space="preserve">Adicionalmente, se suman las lluvias atípicas del fenómeno hidrometeorológico, por ser cada vez más cortas, intensas y puntuales, lo que origina tormentas e inundaciones que saturan el sistema de drenaje pluvial afectando vialidades primarias y locales, viviendas y bienes. En la ciudad existen 66 zonas catalogadas como inundables, de las cuales 17 ya fueron atendidas, 27 se encuentran parcialmente atendidas y 22 por atender. </w:t>
      </w:r>
      <w:r w:rsidRPr="00794EB9">
        <w:rPr>
          <w:rFonts w:ascii="Arial" w:eastAsia="Calibri" w:hAnsi="Arial" w:cs="Arial"/>
          <w:i/>
          <w:sz w:val="22"/>
          <w:szCs w:val="22"/>
          <w:u w:val="single"/>
        </w:rPr>
        <w:t>(Servicio Sismológico Nacional SSN-2021, Catálogo de Sismos, Epicentros. Atlas de Riesgos del Municipio de León. Instituto Municipal de Planeación. IMPLAN (2018) Fenómeno Geológico, Falla Geológica. Dirección General de Protección Civil, Peligro por inestabilidad de laderas, Notificaciones 2018-2021. Programa Municipal de Cambio Climático de León, Guanajuato. Dirección de Medio Ambiente y Centro Mario Molina para Estudios Estratégicos sobre Energía y Medio Ambiente A.C., abril 2021. Plan de Desarrollo Hidráulico Municipal, julio)</w:t>
      </w:r>
    </w:p>
    <w:p w14:paraId="3995791B" w14:textId="77777777" w:rsidR="00794EB9" w:rsidRPr="00794EB9" w:rsidRDefault="00794EB9" w:rsidP="00794EB9">
      <w:pPr>
        <w:ind w:hanging="2"/>
        <w:jc w:val="both"/>
        <w:rPr>
          <w:rFonts w:ascii="Arial" w:eastAsia="Calibri" w:hAnsi="Arial" w:cs="Arial"/>
          <w:sz w:val="22"/>
          <w:szCs w:val="22"/>
        </w:rPr>
      </w:pPr>
    </w:p>
    <w:p w14:paraId="3653E477" w14:textId="77777777" w:rsidR="00794EB9" w:rsidRPr="00794EB9" w:rsidRDefault="00794EB9" w:rsidP="00794EB9">
      <w:pPr>
        <w:pStyle w:val="Textonotapie"/>
        <w:ind w:hanging="2"/>
        <w:jc w:val="both"/>
        <w:rPr>
          <w:rFonts w:ascii="Arial" w:hAnsi="Arial" w:cs="Arial"/>
          <w:i/>
          <w:szCs w:val="22"/>
          <w:u w:val="single"/>
        </w:rPr>
      </w:pPr>
      <w:r w:rsidRPr="00794EB9">
        <w:rPr>
          <w:rFonts w:ascii="Arial" w:hAnsi="Arial" w:cs="Arial"/>
          <w:szCs w:val="22"/>
        </w:rPr>
        <w:t xml:space="preserve">Otro elemento fue la epidemia del SARS-COV 2, la cual se define como una elevación considerable de casos infectocontagiosos dentro de una extensión geográfica a nivel de país, región o ciudad. De acuerdo el reporte con corte a agosto de 2021, en León se tenían registrados 49 mil 220 casos confirmados y 3 mil 921 defunciones. </w:t>
      </w:r>
      <w:r w:rsidRPr="00794EB9">
        <w:rPr>
          <w:rFonts w:ascii="Arial" w:hAnsi="Arial" w:cs="Arial"/>
          <w:i/>
          <w:szCs w:val="22"/>
          <w:u w:val="single"/>
        </w:rPr>
        <w:t>(Secretaría de Salud del Estado de Guanajuato, 2021)</w:t>
      </w:r>
    </w:p>
    <w:p w14:paraId="4B707309" w14:textId="77777777" w:rsidR="00794EB9" w:rsidRPr="00794EB9" w:rsidRDefault="00794EB9" w:rsidP="00794EB9">
      <w:pPr>
        <w:jc w:val="both"/>
        <w:rPr>
          <w:rFonts w:ascii="Arial" w:eastAsia="Calibri" w:hAnsi="Arial" w:cs="Arial"/>
          <w:sz w:val="22"/>
          <w:szCs w:val="22"/>
        </w:rPr>
      </w:pPr>
    </w:p>
    <w:p w14:paraId="33F9F6E3" w14:textId="77777777" w:rsidR="00794EB9" w:rsidRPr="00794EB9" w:rsidRDefault="00794EB9" w:rsidP="00794EB9">
      <w:pPr>
        <w:ind w:hanging="2"/>
        <w:jc w:val="both"/>
        <w:rPr>
          <w:rFonts w:ascii="Arial" w:eastAsia="Calibri" w:hAnsi="Arial" w:cs="Arial"/>
          <w:sz w:val="22"/>
          <w:szCs w:val="22"/>
        </w:rPr>
      </w:pPr>
      <w:r w:rsidRPr="00794EB9">
        <w:rPr>
          <w:rFonts w:ascii="Arial" w:eastAsia="Calibri" w:hAnsi="Arial" w:cs="Arial"/>
          <w:sz w:val="22"/>
          <w:szCs w:val="22"/>
        </w:rPr>
        <w:t>De los casos confirmados, el 51% fueron mujeres y el 49% hombres, a su vez el rango de edad más frecuente es de 25 a 29 años.</w:t>
      </w:r>
    </w:p>
    <w:p w14:paraId="17813B68" w14:textId="77777777" w:rsidR="00794EB9" w:rsidRPr="00794EB9" w:rsidRDefault="00794EB9" w:rsidP="00794EB9">
      <w:pPr>
        <w:ind w:hanging="2"/>
        <w:rPr>
          <w:rFonts w:ascii="Arial" w:hAnsi="Arial" w:cs="Arial"/>
          <w:sz w:val="22"/>
          <w:szCs w:val="22"/>
        </w:rPr>
      </w:pPr>
    </w:p>
    <w:p w14:paraId="53D0CF8F" w14:textId="77777777" w:rsidR="00794EB9" w:rsidRPr="00794EB9" w:rsidRDefault="00794EB9" w:rsidP="00794EB9">
      <w:pPr>
        <w:ind w:hanging="2"/>
        <w:jc w:val="both"/>
        <w:rPr>
          <w:rFonts w:ascii="Arial" w:eastAsia="Calibri" w:hAnsi="Arial" w:cs="Arial"/>
          <w:sz w:val="22"/>
          <w:szCs w:val="22"/>
        </w:rPr>
      </w:pPr>
      <w:r w:rsidRPr="00794EB9">
        <w:rPr>
          <w:rFonts w:ascii="Arial" w:eastAsia="Calibri" w:hAnsi="Arial" w:cs="Arial"/>
          <w:sz w:val="22"/>
          <w:szCs w:val="22"/>
        </w:rPr>
        <w:t>Actualmente, así como en todo el país, en León se está presentando la llamada “tercera ola COVID-19” la cual se caracteriza por un aumento exponencial de los casos confirmados. La primera ola se registró en los meses de junio y julio de 2020 y la segunda durante diciembre de 2020 y enero de 2021.</w:t>
      </w:r>
    </w:p>
    <w:p w14:paraId="0CB7856E" w14:textId="77777777" w:rsidR="00794EB9" w:rsidRPr="00794EB9" w:rsidRDefault="00794EB9" w:rsidP="00794EB9">
      <w:pPr>
        <w:ind w:hanging="2"/>
        <w:jc w:val="both"/>
        <w:rPr>
          <w:rFonts w:ascii="Arial" w:eastAsia="Calibri" w:hAnsi="Arial" w:cs="Arial"/>
          <w:sz w:val="22"/>
          <w:szCs w:val="22"/>
        </w:rPr>
      </w:pPr>
    </w:p>
    <w:p w14:paraId="778696B0" w14:textId="77777777" w:rsidR="00794EB9" w:rsidRPr="00794EB9" w:rsidRDefault="00794EB9" w:rsidP="00794EB9">
      <w:pPr>
        <w:ind w:hanging="2"/>
        <w:jc w:val="both"/>
        <w:rPr>
          <w:rFonts w:ascii="Arial" w:eastAsia="Calibri" w:hAnsi="Arial" w:cs="Arial"/>
          <w:sz w:val="22"/>
          <w:szCs w:val="22"/>
        </w:rPr>
      </w:pPr>
    </w:p>
    <w:p w14:paraId="014FD3F4" w14:textId="77777777" w:rsidR="00794EB9" w:rsidRPr="00794EB9" w:rsidRDefault="00794EB9" w:rsidP="00794EB9">
      <w:pPr>
        <w:ind w:hanging="2"/>
        <w:jc w:val="both"/>
        <w:rPr>
          <w:rFonts w:ascii="Arial" w:eastAsia="Calibri" w:hAnsi="Arial" w:cs="Arial"/>
          <w:sz w:val="22"/>
          <w:szCs w:val="22"/>
        </w:rPr>
      </w:pPr>
    </w:p>
    <w:p w14:paraId="6E82EE69" w14:textId="77777777" w:rsidR="00794EB9" w:rsidRPr="00794EB9" w:rsidRDefault="00794EB9" w:rsidP="00794EB9">
      <w:pPr>
        <w:ind w:hanging="2"/>
        <w:jc w:val="both"/>
        <w:rPr>
          <w:rFonts w:ascii="Arial" w:eastAsia="Calibri" w:hAnsi="Arial" w:cs="Arial"/>
          <w:sz w:val="22"/>
          <w:szCs w:val="22"/>
        </w:rPr>
      </w:pPr>
    </w:p>
    <w:p w14:paraId="300129E2" w14:textId="77777777" w:rsidR="00794EB9" w:rsidRPr="00794EB9" w:rsidRDefault="00794EB9" w:rsidP="00794EB9">
      <w:pPr>
        <w:pStyle w:val="PMDTtulo2"/>
        <w:ind w:left="0" w:hanging="2"/>
        <w:rPr>
          <w:rFonts w:ascii="Arial" w:hAnsi="Arial"/>
          <w:color w:val="auto"/>
          <w:sz w:val="22"/>
          <w:szCs w:val="22"/>
          <w:lang w:val="es-ES"/>
        </w:rPr>
      </w:pPr>
      <w:r w:rsidRPr="00794EB9">
        <w:rPr>
          <w:rFonts w:ascii="Arial" w:hAnsi="Arial"/>
          <w:b w:val="0"/>
          <w:noProof/>
          <w:color w:val="auto"/>
          <w:sz w:val="22"/>
          <w:szCs w:val="22"/>
        </w:rPr>
        <w:lastRenderedPageBreak/>
        <w:drawing>
          <wp:inline distT="0" distB="0" distL="0" distR="0" wp14:anchorId="1023AB09" wp14:editId="436534A9">
            <wp:extent cx="5721985" cy="4200525"/>
            <wp:effectExtent l="0" t="0" r="5715" b="3175"/>
            <wp:docPr id="9" name="Imagen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21985" cy="4200525"/>
                    </a:xfrm>
                    <a:prstGeom prst="rect">
                      <a:avLst/>
                    </a:prstGeom>
                    <a:noFill/>
                    <a:ln>
                      <a:noFill/>
                    </a:ln>
                  </pic:spPr>
                </pic:pic>
              </a:graphicData>
            </a:graphic>
          </wp:inline>
        </w:drawing>
      </w:r>
    </w:p>
    <w:p w14:paraId="37B08C28" w14:textId="77777777" w:rsidR="00794EB9" w:rsidRPr="00794EB9" w:rsidRDefault="00794EB9" w:rsidP="00794EB9">
      <w:pPr>
        <w:rPr>
          <w:rFonts w:ascii="Arial" w:hAnsi="Arial" w:cs="Arial"/>
          <w:sz w:val="22"/>
          <w:szCs w:val="22"/>
        </w:rPr>
      </w:pPr>
    </w:p>
    <w:p w14:paraId="0AFDB832" w14:textId="77777777" w:rsidR="00794EB9" w:rsidRPr="00794EB9" w:rsidRDefault="00794EB9" w:rsidP="00794EB9">
      <w:pPr>
        <w:ind w:hanging="2"/>
        <w:rPr>
          <w:rFonts w:ascii="Arial" w:hAnsi="Arial" w:cs="Arial"/>
          <w:sz w:val="22"/>
          <w:szCs w:val="22"/>
        </w:rPr>
      </w:pPr>
      <w:r w:rsidRPr="00794EB9">
        <w:rPr>
          <w:rFonts w:ascii="Arial" w:hAnsi="Arial" w:cs="Arial"/>
          <w:b/>
          <w:noProof/>
          <w:sz w:val="22"/>
          <w:szCs w:val="22"/>
          <w:lang w:val="es-MX" w:eastAsia="es-MX"/>
        </w:rPr>
        <w:drawing>
          <wp:inline distT="0" distB="0" distL="0" distR="0" wp14:anchorId="1CA220AC" wp14:editId="12CC21D5">
            <wp:extent cx="5593715" cy="2706129"/>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a-7.png"/>
                    <pic:cNvPicPr/>
                  </pic:nvPicPr>
                  <pic:blipFill rotWithShape="1">
                    <a:blip r:embed="rId94" cstate="print">
                      <a:extLst>
                        <a:ext uri="{BEBA8EAE-BF5A-486C-A8C5-ECC9F3942E4B}">
                          <a14:imgProps xmlns:a14="http://schemas.microsoft.com/office/drawing/2010/main">
                            <a14:imgLayer r:embed="rId95">
                              <a14:imgEffect>
                                <a14:saturation sat="0"/>
                              </a14:imgEffect>
                            </a14:imgLayer>
                          </a14:imgProps>
                        </a:ext>
                        <a:ext uri="{28A0092B-C50C-407E-A947-70E740481C1C}">
                          <a14:useLocalDpi xmlns:a14="http://schemas.microsoft.com/office/drawing/2010/main" val="0"/>
                        </a:ext>
                      </a:extLst>
                    </a:blip>
                    <a:srcRect t="60802"/>
                    <a:stretch/>
                  </pic:blipFill>
                  <pic:spPr bwMode="auto">
                    <a:xfrm>
                      <a:off x="0" y="0"/>
                      <a:ext cx="5594556" cy="2706536"/>
                    </a:xfrm>
                    <a:prstGeom prst="rect">
                      <a:avLst/>
                    </a:prstGeom>
                    <a:ln>
                      <a:noFill/>
                    </a:ln>
                    <a:extLst>
                      <a:ext uri="{53640926-AAD7-44D8-BBD7-CCE9431645EC}">
                        <a14:shadowObscured xmlns:a14="http://schemas.microsoft.com/office/drawing/2010/main"/>
                      </a:ext>
                    </a:extLst>
                  </pic:spPr>
                </pic:pic>
              </a:graphicData>
            </a:graphic>
          </wp:inline>
        </w:drawing>
      </w:r>
    </w:p>
    <w:p w14:paraId="42900B97" w14:textId="77777777" w:rsidR="00794EB9" w:rsidRPr="00794EB9" w:rsidRDefault="00794EB9" w:rsidP="00794EB9">
      <w:pPr>
        <w:rPr>
          <w:rFonts w:ascii="Arial" w:hAnsi="Arial" w:cs="Arial"/>
          <w:b/>
          <w:bCs/>
          <w:sz w:val="22"/>
          <w:szCs w:val="22"/>
        </w:rPr>
      </w:pPr>
      <w:r w:rsidRPr="00794EB9">
        <w:rPr>
          <w:rFonts w:ascii="Arial" w:hAnsi="Arial" w:cs="Arial"/>
          <w:b/>
          <w:bCs/>
          <w:sz w:val="22"/>
          <w:szCs w:val="22"/>
        </w:rPr>
        <w:br w:type="page"/>
      </w:r>
    </w:p>
    <w:p w14:paraId="2B1966E4" w14:textId="77777777" w:rsidR="00794EB9" w:rsidRPr="00794EB9" w:rsidRDefault="00794EB9" w:rsidP="00794EB9">
      <w:pPr>
        <w:pStyle w:val="TtuloPG2"/>
        <w:ind w:left="0"/>
        <w:rPr>
          <w:color w:val="auto"/>
          <w:sz w:val="22"/>
          <w:szCs w:val="22"/>
        </w:rPr>
      </w:pPr>
      <w:r w:rsidRPr="00794EB9">
        <w:rPr>
          <w:color w:val="auto"/>
          <w:sz w:val="22"/>
          <w:szCs w:val="22"/>
        </w:rPr>
        <w:lastRenderedPageBreak/>
        <w:t>DIAGNÓSTICO ESTRATÉGICO. DEFINICIÓN DE LA PROBLEMÁTICA.</w:t>
      </w:r>
    </w:p>
    <w:p w14:paraId="088CF3CD" w14:textId="77777777" w:rsidR="00794EB9" w:rsidRPr="00794EB9" w:rsidRDefault="00794EB9" w:rsidP="00794EB9">
      <w:pPr>
        <w:rPr>
          <w:rFonts w:ascii="Arial" w:hAnsi="Arial" w:cs="Arial"/>
          <w:b/>
          <w:bCs/>
          <w:sz w:val="22"/>
          <w:szCs w:val="22"/>
        </w:rPr>
      </w:pPr>
    </w:p>
    <w:p w14:paraId="2271B114" w14:textId="77777777" w:rsidR="00794EB9" w:rsidRPr="00794EB9" w:rsidRDefault="00794EB9" w:rsidP="00794EB9">
      <w:pPr>
        <w:jc w:val="both"/>
        <w:rPr>
          <w:rFonts w:ascii="Arial" w:eastAsia="Calibri" w:hAnsi="Arial" w:cs="Arial"/>
          <w:sz w:val="22"/>
          <w:szCs w:val="22"/>
        </w:rPr>
      </w:pPr>
      <w:r w:rsidRPr="00794EB9">
        <w:rPr>
          <w:rFonts w:ascii="Arial" w:eastAsia="Calibri" w:hAnsi="Arial" w:cs="Arial"/>
          <w:sz w:val="22"/>
          <w:szCs w:val="22"/>
        </w:rPr>
        <w:t>Como parte del diagnóstico estratégico se presentan a continuación los árboles de problemas con las principales causas y efectos de las problemáticas centrales del municipio, identificados en el apartado de características generales de León. A partir de estos, se presentan los árboles de objetivos, con los medios para alcanzarlos, así como los fines que se persiguen, mismos que representan la base del planteamiento estratégico del presente Programa de Gobierno Municipal 2021-2024.</w:t>
      </w:r>
    </w:p>
    <w:p w14:paraId="7EA3092E" w14:textId="77777777" w:rsidR="00794EB9" w:rsidRPr="00794EB9" w:rsidRDefault="00794EB9" w:rsidP="00794EB9">
      <w:pPr>
        <w:jc w:val="both"/>
        <w:rPr>
          <w:rFonts w:ascii="Arial" w:eastAsia="Calibri" w:hAnsi="Arial" w:cs="Arial"/>
          <w:sz w:val="22"/>
          <w:szCs w:val="22"/>
        </w:rPr>
      </w:pPr>
    </w:p>
    <w:p w14:paraId="4FA41D66" w14:textId="77777777" w:rsidR="00794EB9" w:rsidRPr="00794EB9" w:rsidRDefault="00794EB9" w:rsidP="00794EB9">
      <w:pPr>
        <w:ind w:hanging="2"/>
        <w:rPr>
          <w:rFonts w:ascii="Arial" w:hAnsi="Arial" w:cs="Arial"/>
          <w:b/>
          <w:sz w:val="22"/>
          <w:szCs w:val="22"/>
        </w:rPr>
      </w:pPr>
      <w:r w:rsidRPr="00794EB9">
        <w:rPr>
          <w:rFonts w:ascii="Arial" w:hAnsi="Arial" w:cs="Arial"/>
          <w:b/>
          <w:sz w:val="22"/>
          <w:szCs w:val="22"/>
        </w:rPr>
        <w:t>Árboles de problemas – León 2021</w:t>
      </w:r>
    </w:p>
    <w:tbl>
      <w:tblPr>
        <w:tblW w:w="5000" w:type="pct"/>
        <w:tblCellMar>
          <w:left w:w="70" w:type="dxa"/>
          <w:right w:w="70" w:type="dxa"/>
        </w:tblCellMar>
        <w:tblLook w:val="04A0" w:firstRow="1" w:lastRow="0" w:firstColumn="1" w:lastColumn="0" w:noHBand="0" w:noVBand="1"/>
      </w:tblPr>
      <w:tblGrid>
        <w:gridCol w:w="1278"/>
        <w:gridCol w:w="249"/>
        <w:gridCol w:w="1267"/>
        <w:gridCol w:w="196"/>
        <w:gridCol w:w="1092"/>
        <w:gridCol w:w="249"/>
        <w:gridCol w:w="1098"/>
        <w:gridCol w:w="256"/>
        <w:gridCol w:w="1429"/>
        <w:gridCol w:w="300"/>
        <w:gridCol w:w="1414"/>
      </w:tblGrid>
      <w:tr w:rsidR="00794EB9" w:rsidRPr="00794EB9" w14:paraId="785223DB" w14:textId="77777777" w:rsidTr="00C307FB">
        <w:trPr>
          <w:trHeight w:val="5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608BD46"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INSEGURIDAD E INTRANQUILIDAD SOCIAL</w:t>
            </w:r>
          </w:p>
        </w:tc>
      </w:tr>
      <w:tr w:rsidR="00794EB9" w:rsidRPr="00794EB9" w14:paraId="6B2DB5E4" w14:textId="77777777" w:rsidTr="00C307FB">
        <w:trPr>
          <w:trHeight w:val="53"/>
        </w:trPr>
        <w:tc>
          <w:tcPr>
            <w:tcW w:w="662" w:type="pct"/>
            <w:tcBorders>
              <w:top w:val="nil"/>
              <w:left w:val="nil"/>
              <w:bottom w:val="nil"/>
              <w:right w:val="nil"/>
            </w:tcBorders>
            <w:shd w:val="clear" w:color="auto" w:fill="auto"/>
            <w:noWrap/>
            <w:vAlign w:val="bottom"/>
            <w:hideMark/>
          </w:tcPr>
          <w:p w14:paraId="02368B50" w14:textId="77777777" w:rsidR="00794EB9" w:rsidRPr="00794EB9" w:rsidRDefault="00794EB9" w:rsidP="00C307FB">
            <w:pPr>
              <w:jc w:val="center"/>
              <w:rPr>
                <w:rFonts w:ascii="Arial" w:hAnsi="Arial" w:cs="Arial"/>
                <w:b/>
                <w:bCs/>
                <w:sz w:val="22"/>
                <w:szCs w:val="22"/>
                <w:lang w:eastAsia="es-MX"/>
              </w:rPr>
            </w:pPr>
          </w:p>
        </w:tc>
        <w:tc>
          <w:tcPr>
            <w:tcW w:w="127" w:type="pct"/>
            <w:tcBorders>
              <w:top w:val="nil"/>
              <w:left w:val="nil"/>
              <w:bottom w:val="nil"/>
              <w:right w:val="nil"/>
            </w:tcBorders>
            <w:shd w:val="clear" w:color="auto" w:fill="auto"/>
            <w:noWrap/>
            <w:vAlign w:val="bottom"/>
            <w:hideMark/>
          </w:tcPr>
          <w:p w14:paraId="018B2E32" w14:textId="77777777" w:rsidR="00794EB9" w:rsidRPr="00794EB9" w:rsidRDefault="00794EB9" w:rsidP="00C307FB">
            <w:pPr>
              <w:rPr>
                <w:rFonts w:ascii="Arial" w:hAnsi="Arial" w:cs="Arial"/>
                <w:sz w:val="22"/>
                <w:szCs w:val="22"/>
                <w:lang w:eastAsia="es-MX"/>
              </w:rPr>
            </w:pPr>
          </w:p>
        </w:tc>
        <w:tc>
          <w:tcPr>
            <w:tcW w:w="752" w:type="pct"/>
            <w:tcBorders>
              <w:top w:val="nil"/>
              <w:left w:val="nil"/>
              <w:bottom w:val="nil"/>
              <w:right w:val="nil"/>
            </w:tcBorders>
            <w:shd w:val="clear" w:color="auto" w:fill="auto"/>
            <w:noWrap/>
            <w:vAlign w:val="bottom"/>
            <w:hideMark/>
          </w:tcPr>
          <w:p w14:paraId="5377D522" w14:textId="77777777" w:rsidR="00794EB9" w:rsidRPr="00794EB9" w:rsidRDefault="00794EB9" w:rsidP="00C307FB">
            <w:pPr>
              <w:rPr>
                <w:rFonts w:ascii="Arial" w:hAnsi="Arial" w:cs="Arial"/>
                <w:sz w:val="22"/>
                <w:szCs w:val="22"/>
                <w:lang w:eastAsia="es-MX"/>
              </w:rPr>
            </w:pPr>
          </w:p>
        </w:tc>
        <w:tc>
          <w:tcPr>
            <w:tcW w:w="94" w:type="pct"/>
            <w:tcBorders>
              <w:top w:val="nil"/>
              <w:left w:val="nil"/>
              <w:bottom w:val="nil"/>
              <w:right w:val="nil"/>
            </w:tcBorders>
            <w:shd w:val="clear" w:color="auto" w:fill="auto"/>
            <w:noWrap/>
            <w:vAlign w:val="bottom"/>
            <w:hideMark/>
          </w:tcPr>
          <w:p w14:paraId="37386731" w14:textId="77777777" w:rsidR="00794EB9" w:rsidRPr="00794EB9" w:rsidRDefault="00794EB9" w:rsidP="00C307FB">
            <w:pPr>
              <w:rPr>
                <w:rFonts w:ascii="Arial" w:hAnsi="Arial" w:cs="Arial"/>
                <w:sz w:val="22"/>
                <w:szCs w:val="22"/>
                <w:lang w:eastAsia="es-MX"/>
              </w:rPr>
            </w:pPr>
          </w:p>
        </w:tc>
        <w:tc>
          <w:tcPr>
            <w:tcW w:w="624" w:type="pct"/>
            <w:tcBorders>
              <w:top w:val="nil"/>
              <w:left w:val="nil"/>
              <w:bottom w:val="nil"/>
              <w:right w:val="nil"/>
            </w:tcBorders>
            <w:shd w:val="clear" w:color="auto" w:fill="auto"/>
            <w:noWrap/>
            <w:vAlign w:val="bottom"/>
            <w:hideMark/>
          </w:tcPr>
          <w:p w14:paraId="09DB947A" w14:textId="77777777" w:rsidR="00794EB9" w:rsidRPr="00794EB9" w:rsidRDefault="00794EB9" w:rsidP="00C307FB">
            <w:pPr>
              <w:rPr>
                <w:rFonts w:ascii="Arial" w:hAnsi="Arial" w:cs="Arial"/>
                <w:sz w:val="22"/>
                <w:szCs w:val="22"/>
                <w:lang w:eastAsia="es-MX"/>
              </w:rPr>
            </w:pPr>
          </w:p>
        </w:tc>
        <w:tc>
          <w:tcPr>
            <w:tcW w:w="127" w:type="pct"/>
            <w:tcBorders>
              <w:top w:val="nil"/>
              <w:left w:val="nil"/>
              <w:bottom w:val="nil"/>
              <w:right w:val="nil"/>
            </w:tcBorders>
            <w:shd w:val="clear" w:color="auto" w:fill="auto"/>
            <w:noWrap/>
            <w:vAlign w:val="bottom"/>
            <w:hideMark/>
          </w:tcPr>
          <w:p w14:paraId="47DBBF59" w14:textId="77777777" w:rsidR="00794EB9" w:rsidRPr="00794EB9" w:rsidRDefault="00794EB9" w:rsidP="00C307FB">
            <w:pPr>
              <w:rPr>
                <w:rFonts w:ascii="Arial" w:hAnsi="Arial" w:cs="Arial"/>
                <w:sz w:val="22"/>
                <w:szCs w:val="22"/>
                <w:lang w:eastAsia="es-MX"/>
              </w:rPr>
            </w:pPr>
          </w:p>
        </w:tc>
        <w:tc>
          <w:tcPr>
            <w:tcW w:w="648" w:type="pct"/>
            <w:tcBorders>
              <w:top w:val="nil"/>
              <w:left w:val="nil"/>
              <w:bottom w:val="nil"/>
              <w:right w:val="nil"/>
            </w:tcBorders>
            <w:shd w:val="clear" w:color="auto" w:fill="auto"/>
            <w:noWrap/>
            <w:vAlign w:val="bottom"/>
            <w:hideMark/>
          </w:tcPr>
          <w:p w14:paraId="5448878E" w14:textId="77777777" w:rsidR="00794EB9" w:rsidRPr="00794EB9" w:rsidRDefault="00794EB9" w:rsidP="00C307FB">
            <w:pPr>
              <w:rPr>
                <w:rFonts w:ascii="Arial" w:hAnsi="Arial" w:cs="Arial"/>
                <w:sz w:val="22"/>
                <w:szCs w:val="22"/>
                <w:lang w:eastAsia="es-MX"/>
              </w:rPr>
            </w:pPr>
          </w:p>
        </w:tc>
        <w:tc>
          <w:tcPr>
            <w:tcW w:w="131" w:type="pct"/>
            <w:tcBorders>
              <w:top w:val="nil"/>
              <w:left w:val="nil"/>
              <w:bottom w:val="nil"/>
              <w:right w:val="nil"/>
            </w:tcBorders>
            <w:shd w:val="clear" w:color="auto" w:fill="auto"/>
            <w:noWrap/>
            <w:vAlign w:val="bottom"/>
            <w:hideMark/>
          </w:tcPr>
          <w:p w14:paraId="7D8544B3" w14:textId="77777777" w:rsidR="00794EB9" w:rsidRPr="00794EB9" w:rsidRDefault="00794EB9" w:rsidP="00C307FB">
            <w:pPr>
              <w:rPr>
                <w:rFonts w:ascii="Arial" w:hAnsi="Arial" w:cs="Arial"/>
                <w:sz w:val="22"/>
                <w:szCs w:val="22"/>
                <w:lang w:eastAsia="es-MX"/>
              </w:rPr>
            </w:pPr>
          </w:p>
        </w:tc>
        <w:tc>
          <w:tcPr>
            <w:tcW w:w="852" w:type="pct"/>
            <w:tcBorders>
              <w:top w:val="nil"/>
              <w:left w:val="nil"/>
              <w:bottom w:val="nil"/>
              <w:right w:val="nil"/>
            </w:tcBorders>
            <w:shd w:val="clear" w:color="auto" w:fill="auto"/>
            <w:noWrap/>
            <w:vAlign w:val="bottom"/>
            <w:hideMark/>
          </w:tcPr>
          <w:p w14:paraId="7CA9795D" w14:textId="77777777" w:rsidR="00794EB9" w:rsidRPr="00794EB9" w:rsidRDefault="00794EB9" w:rsidP="00C307FB">
            <w:pPr>
              <w:rPr>
                <w:rFonts w:ascii="Arial" w:hAnsi="Arial" w:cs="Arial"/>
                <w:sz w:val="22"/>
                <w:szCs w:val="22"/>
                <w:lang w:eastAsia="es-MX"/>
              </w:rPr>
            </w:pPr>
          </w:p>
        </w:tc>
        <w:tc>
          <w:tcPr>
            <w:tcW w:w="158" w:type="pct"/>
            <w:tcBorders>
              <w:top w:val="nil"/>
              <w:left w:val="nil"/>
              <w:bottom w:val="nil"/>
              <w:right w:val="nil"/>
            </w:tcBorders>
            <w:shd w:val="clear" w:color="auto" w:fill="auto"/>
            <w:noWrap/>
            <w:vAlign w:val="bottom"/>
            <w:hideMark/>
          </w:tcPr>
          <w:p w14:paraId="0CA1EC2F" w14:textId="77777777" w:rsidR="00794EB9" w:rsidRPr="00794EB9" w:rsidRDefault="00794EB9" w:rsidP="00C307FB">
            <w:pPr>
              <w:rPr>
                <w:rFonts w:ascii="Arial" w:hAnsi="Arial" w:cs="Arial"/>
                <w:sz w:val="22"/>
                <w:szCs w:val="22"/>
                <w:lang w:eastAsia="es-MX"/>
              </w:rPr>
            </w:pPr>
          </w:p>
        </w:tc>
        <w:tc>
          <w:tcPr>
            <w:tcW w:w="828" w:type="pct"/>
            <w:tcBorders>
              <w:top w:val="nil"/>
              <w:left w:val="nil"/>
              <w:bottom w:val="nil"/>
              <w:right w:val="nil"/>
            </w:tcBorders>
            <w:shd w:val="clear" w:color="auto" w:fill="auto"/>
            <w:noWrap/>
            <w:vAlign w:val="bottom"/>
            <w:hideMark/>
          </w:tcPr>
          <w:p w14:paraId="3AEE833E" w14:textId="77777777" w:rsidR="00794EB9" w:rsidRPr="00794EB9" w:rsidRDefault="00794EB9" w:rsidP="00C307FB">
            <w:pPr>
              <w:rPr>
                <w:rFonts w:ascii="Arial" w:hAnsi="Arial" w:cs="Arial"/>
                <w:sz w:val="22"/>
                <w:szCs w:val="22"/>
                <w:lang w:eastAsia="es-MX"/>
              </w:rPr>
            </w:pPr>
          </w:p>
        </w:tc>
      </w:tr>
      <w:tr w:rsidR="00794EB9" w:rsidRPr="00794EB9" w14:paraId="42E59F99" w14:textId="77777777" w:rsidTr="00C307FB">
        <w:trPr>
          <w:trHeight w:val="1595"/>
        </w:trPr>
        <w:tc>
          <w:tcPr>
            <w:tcW w:w="154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3A7D9E6"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Modelo convencional de gobierno con dificultades para atender demandas y solicitudes ciudadanas,</w:t>
            </w:r>
            <w:r w:rsidRPr="00794EB9">
              <w:rPr>
                <w:rFonts w:ascii="Arial" w:hAnsi="Arial" w:cs="Arial"/>
                <w:sz w:val="22"/>
                <w:szCs w:val="22"/>
                <w:lang w:eastAsia="es-MX"/>
              </w:rPr>
              <w:t xml:space="preserve"> con trámites tardados, dependencias y servicios desarticulados, restricciones presupuestales y una atención ciudadana deficiente.</w:t>
            </w:r>
          </w:p>
        </w:tc>
        <w:tc>
          <w:tcPr>
            <w:tcW w:w="94" w:type="pct"/>
            <w:tcBorders>
              <w:top w:val="nil"/>
              <w:left w:val="nil"/>
              <w:bottom w:val="nil"/>
              <w:right w:val="nil"/>
            </w:tcBorders>
            <w:shd w:val="clear" w:color="auto" w:fill="auto"/>
            <w:noWrap/>
            <w:vAlign w:val="center"/>
            <w:hideMark/>
          </w:tcPr>
          <w:p w14:paraId="695F1FF3" w14:textId="77777777" w:rsidR="00794EB9" w:rsidRPr="00794EB9" w:rsidRDefault="00794EB9" w:rsidP="00C307FB">
            <w:pPr>
              <w:jc w:val="center"/>
              <w:rPr>
                <w:rFonts w:ascii="Arial" w:hAnsi="Arial" w:cs="Arial"/>
                <w:sz w:val="22"/>
                <w:szCs w:val="22"/>
                <w:lang w:eastAsia="es-MX"/>
              </w:rPr>
            </w:pPr>
          </w:p>
        </w:tc>
        <w:tc>
          <w:tcPr>
            <w:tcW w:w="1399"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1598D7D"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Movilidad urbana insostenible donde los ciudadanos circulan de forma insegura y recorriendo grandes distancias</w:t>
            </w:r>
            <w:r w:rsidRPr="00794EB9">
              <w:rPr>
                <w:rFonts w:ascii="Arial" w:hAnsi="Arial" w:cs="Arial"/>
                <w:sz w:val="22"/>
                <w:szCs w:val="22"/>
                <w:lang w:eastAsia="es-MX"/>
              </w:rPr>
              <w:t>, sin las adecuaciones a la infraestructura para desplazarse</w:t>
            </w:r>
          </w:p>
        </w:tc>
        <w:tc>
          <w:tcPr>
            <w:tcW w:w="131" w:type="pct"/>
            <w:tcBorders>
              <w:top w:val="nil"/>
              <w:left w:val="nil"/>
              <w:bottom w:val="nil"/>
              <w:right w:val="nil"/>
            </w:tcBorders>
            <w:shd w:val="clear" w:color="auto" w:fill="auto"/>
            <w:noWrap/>
            <w:vAlign w:val="center"/>
            <w:hideMark/>
          </w:tcPr>
          <w:p w14:paraId="6395B093" w14:textId="77777777" w:rsidR="00794EB9" w:rsidRPr="00794EB9" w:rsidRDefault="00794EB9" w:rsidP="00C307FB">
            <w:pPr>
              <w:jc w:val="center"/>
              <w:rPr>
                <w:rFonts w:ascii="Arial" w:hAnsi="Arial" w:cs="Arial"/>
                <w:sz w:val="22"/>
                <w:szCs w:val="22"/>
                <w:lang w:eastAsia="es-MX"/>
              </w:rPr>
            </w:pPr>
          </w:p>
        </w:tc>
        <w:tc>
          <w:tcPr>
            <w:tcW w:w="8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A3F224"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Modelo de seguridad reactivo a las emergencias</w:t>
            </w:r>
            <w:r w:rsidRPr="00794EB9">
              <w:rPr>
                <w:rFonts w:ascii="Arial" w:hAnsi="Arial" w:cs="Arial"/>
                <w:sz w:val="22"/>
                <w:szCs w:val="22"/>
                <w:lang w:eastAsia="es-MX"/>
              </w:rPr>
              <w:t>, ajeno a la ciudadanía, con una estructura policial en que opera en condiciones deficitarias de preparación y sin elementos tecnológicos</w:t>
            </w:r>
          </w:p>
        </w:tc>
        <w:tc>
          <w:tcPr>
            <w:tcW w:w="158" w:type="pct"/>
            <w:tcBorders>
              <w:top w:val="nil"/>
              <w:left w:val="nil"/>
              <w:bottom w:val="nil"/>
              <w:right w:val="nil"/>
            </w:tcBorders>
            <w:shd w:val="clear" w:color="auto" w:fill="auto"/>
            <w:noWrap/>
            <w:vAlign w:val="center"/>
            <w:hideMark/>
          </w:tcPr>
          <w:p w14:paraId="2C8CFBE3" w14:textId="77777777" w:rsidR="00794EB9" w:rsidRPr="00794EB9" w:rsidRDefault="00794EB9" w:rsidP="00C307FB">
            <w:pPr>
              <w:jc w:val="center"/>
              <w:rPr>
                <w:rFonts w:ascii="Arial" w:hAnsi="Arial" w:cs="Arial"/>
                <w:sz w:val="22"/>
                <w:szCs w:val="22"/>
                <w:lang w:eastAsia="es-MX"/>
              </w:rPr>
            </w:pP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A7FEC5"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Desaliento a las actividades artísticas y culturales</w:t>
            </w:r>
            <w:r w:rsidRPr="00794EB9">
              <w:rPr>
                <w:rFonts w:ascii="Arial" w:hAnsi="Arial" w:cs="Arial"/>
                <w:sz w:val="22"/>
                <w:szCs w:val="22"/>
                <w:lang w:eastAsia="es-MX"/>
              </w:rPr>
              <w:t>, en detrimento de la convivencia social, el sector turismo y la identidad local</w:t>
            </w:r>
          </w:p>
        </w:tc>
      </w:tr>
      <w:tr w:rsidR="00794EB9" w:rsidRPr="00794EB9" w14:paraId="4E0084DE" w14:textId="77777777" w:rsidTr="00C307FB">
        <w:trPr>
          <w:trHeight w:val="53"/>
        </w:trPr>
        <w:tc>
          <w:tcPr>
            <w:tcW w:w="662" w:type="pct"/>
            <w:tcBorders>
              <w:top w:val="nil"/>
              <w:left w:val="nil"/>
              <w:bottom w:val="nil"/>
              <w:right w:val="nil"/>
            </w:tcBorders>
            <w:shd w:val="clear" w:color="auto" w:fill="auto"/>
            <w:noWrap/>
            <w:vAlign w:val="bottom"/>
            <w:hideMark/>
          </w:tcPr>
          <w:p w14:paraId="7E28926F" w14:textId="77777777" w:rsidR="00794EB9" w:rsidRPr="00794EB9" w:rsidRDefault="00794EB9" w:rsidP="00C307FB">
            <w:pPr>
              <w:contextualSpacing/>
              <w:jc w:val="center"/>
              <w:rPr>
                <w:rFonts w:ascii="Arial" w:hAnsi="Arial" w:cs="Arial"/>
                <w:sz w:val="22"/>
                <w:szCs w:val="22"/>
                <w:lang w:eastAsia="es-MX"/>
              </w:rPr>
            </w:pPr>
          </w:p>
        </w:tc>
        <w:tc>
          <w:tcPr>
            <w:tcW w:w="127" w:type="pct"/>
            <w:tcBorders>
              <w:top w:val="nil"/>
              <w:left w:val="nil"/>
              <w:bottom w:val="nil"/>
              <w:right w:val="nil"/>
            </w:tcBorders>
            <w:shd w:val="clear" w:color="auto" w:fill="auto"/>
            <w:noWrap/>
            <w:vAlign w:val="bottom"/>
            <w:hideMark/>
          </w:tcPr>
          <w:p w14:paraId="7586B511" w14:textId="77777777" w:rsidR="00794EB9" w:rsidRPr="00794EB9" w:rsidRDefault="00794EB9" w:rsidP="00C307FB">
            <w:pPr>
              <w:contextualSpacing/>
              <w:rPr>
                <w:rFonts w:ascii="Arial" w:hAnsi="Arial" w:cs="Arial"/>
                <w:sz w:val="22"/>
                <w:szCs w:val="22"/>
                <w:lang w:eastAsia="es-MX"/>
              </w:rPr>
            </w:pPr>
          </w:p>
        </w:tc>
        <w:tc>
          <w:tcPr>
            <w:tcW w:w="752" w:type="pct"/>
            <w:tcBorders>
              <w:top w:val="nil"/>
              <w:left w:val="nil"/>
              <w:bottom w:val="nil"/>
              <w:right w:val="nil"/>
            </w:tcBorders>
            <w:shd w:val="clear" w:color="auto" w:fill="auto"/>
            <w:noWrap/>
            <w:vAlign w:val="bottom"/>
            <w:hideMark/>
          </w:tcPr>
          <w:p w14:paraId="4BDD3A0C" w14:textId="77777777" w:rsidR="00794EB9" w:rsidRPr="00794EB9" w:rsidRDefault="00794EB9" w:rsidP="00C307FB">
            <w:pPr>
              <w:contextualSpacing/>
              <w:rPr>
                <w:rFonts w:ascii="Arial" w:hAnsi="Arial" w:cs="Arial"/>
                <w:sz w:val="22"/>
                <w:szCs w:val="22"/>
                <w:lang w:eastAsia="es-MX"/>
              </w:rPr>
            </w:pPr>
          </w:p>
        </w:tc>
        <w:tc>
          <w:tcPr>
            <w:tcW w:w="94" w:type="pct"/>
            <w:tcBorders>
              <w:top w:val="nil"/>
              <w:left w:val="nil"/>
              <w:bottom w:val="nil"/>
              <w:right w:val="nil"/>
            </w:tcBorders>
            <w:shd w:val="clear" w:color="auto" w:fill="auto"/>
            <w:noWrap/>
            <w:vAlign w:val="bottom"/>
            <w:hideMark/>
          </w:tcPr>
          <w:p w14:paraId="0108B55B" w14:textId="77777777" w:rsidR="00794EB9" w:rsidRPr="00794EB9" w:rsidRDefault="00794EB9" w:rsidP="00C307FB">
            <w:pPr>
              <w:contextualSpacing/>
              <w:rPr>
                <w:rFonts w:ascii="Arial" w:hAnsi="Arial" w:cs="Arial"/>
                <w:sz w:val="22"/>
                <w:szCs w:val="22"/>
                <w:lang w:eastAsia="es-MX"/>
              </w:rPr>
            </w:pPr>
          </w:p>
        </w:tc>
        <w:tc>
          <w:tcPr>
            <w:tcW w:w="624" w:type="pct"/>
            <w:tcBorders>
              <w:top w:val="nil"/>
              <w:left w:val="nil"/>
              <w:bottom w:val="nil"/>
              <w:right w:val="nil"/>
            </w:tcBorders>
            <w:shd w:val="clear" w:color="auto" w:fill="auto"/>
            <w:noWrap/>
            <w:vAlign w:val="bottom"/>
            <w:hideMark/>
          </w:tcPr>
          <w:p w14:paraId="4622131D" w14:textId="77777777" w:rsidR="00794EB9" w:rsidRPr="00794EB9" w:rsidRDefault="00794EB9" w:rsidP="00C307FB">
            <w:pPr>
              <w:contextualSpacing/>
              <w:rPr>
                <w:rFonts w:ascii="Arial" w:hAnsi="Arial" w:cs="Arial"/>
                <w:sz w:val="22"/>
                <w:szCs w:val="22"/>
                <w:lang w:eastAsia="es-MX"/>
              </w:rPr>
            </w:pPr>
          </w:p>
        </w:tc>
        <w:tc>
          <w:tcPr>
            <w:tcW w:w="127" w:type="pct"/>
            <w:tcBorders>
              <w:top w:val="nil"/>
              <w:left w:val="nil"/>
              <w:bottom w:val="nil"/>
              <w:right w:val="nil"/>
            </w:tcBorders>
            <w:shd w:val="clear" w:color="auto" w:fill="auto"/>
            <w:noWrap/>
            <w:vAlign w:val="bottom"/>
            <w:hideMark/>
          </w:tcPr>
          <w:p w14:paraId="24441C13" w14:textId="77777777" w:rsidR="00794EB9" w:rsidRPr="00794EB9" w:rsidRDefault="00794EB9" w:rsidP="00C307FB">
            <w:pPr>
              <w:contextualSpacing/>
              <w:rPr>
                <w:rFonts w:ascii="Arial" w:hAnsi="Arial" w:cs="Arial"/>
                <w:sz w:val="22"/>
                <w:szCs w:val="22"/>
                <w:lang w:eastAsia="es-MX"/>
              </w:rPr>
            </w:pPr>
          </w:p>
        </w:tc>
        <w:tc>
          <w:tcPr>
            <w:tcW w:w="648" w:type="pct"/>
            <w:tcBorders>
              <w:top w:val="nil"/>
              <w:left w:val="nil"/>
              <w:bottom w:val="nil"/>
              <w:right w:val="nil"/>
            </w:tcBorders>
            <w:shd w:val="clear" w:color="auto" w:fill="auto"/>
            <w:noWrap/>
            <w:vAlign w:val="bottom"/>
            <w:hideMark/>
          </w:tcPr>
          <w:p w14:paraId="63F5D05A" w14:textId="77777777" w:rsidR="00794EB9" w:rsidRPr="00794EB9" w:rsidRDefault="00794EB9" w:rsidP="00C307FB">
            <w:pPr>
              <w:contextualSpacing/>
              <w:rPr>
                <w:rFonts w:ascii="Arial" w:hAnsi="Arial" w:cs="Arial"/>
                <w:sz w:val="22"/>
                <w:szCs w:val="22"/>
                <w:lang w:eastAsia="es-MX"/>
              </w:rPr>
            </w:pPr>
          </w:p>
        </w:tc>
        <w:tc>
          <w:tcPr>
            <w:tcW w:w="131" w:type="pct"/>
            <w:tcBorders>
              <w:top w:val="nil"/>
              <w:left w:val="nil"/>
              <w:bottom w:val="nil"/>
              <w:right w:val="nil"/>
            </w:tcBorders>
            <w:shd w:val="clear" w:color="auto" w:fill="auto"/>
            <w:noWrap/>
            <w:vAlign w:val="bottom"/>
            <w:hideMark/>
          </w:tcPr>
          <w:p w14:paraId="68470986" w14:textId="77777777" w:rsidR="00794EB9" w:rsidRPr="00794EB9" w:rsidRDefault="00794EB9" w:rsidP="00C307FB">
            <w:pPr>
              <w:contextualSpacing/>
              <w:rPr>
                <w:rFonts w:ascii="Arial" w:hAnsi="Arial" w:cs="Arial"/>
                <w:sz w:val="22"/>
                <w:szCs w:val="22"/>
                <w:lang w:eastAsia="es-MX"/>
              </w:rPr>
            </w:pPr>
          </w:p>
        </w:tc>
        <w:tc>
          <w:tcPr>
            <w:tcW w:w="852" w:type="pct"/>
            <w:tcBorders>
              <w:top w:val="nil"/>
              <w:left w:val="nil"/>
              <w:bottom w:val="nil"/>
              <w:right w:val="nil"/>
            </w:tcBorders>
            <w:shd w:val="clear" w:color="auto" w:fill="auto"/>
            <w:noWrap/>
            <w:vAlign w:val="bottom"/>
            <w:hideMark/>
          </w:tcPr>
          <w:p w14:paraId="08454B0D" w14:textId="77777777" w:rsidR="00794EB9" w:rsidRPr="00794EB9" w:rsidRDefault="00794EB9" w:rsidP="00C307FB">
            <w:pPr>
              <w:contextualSpacing/>
              <w:rPr>
                <w:rFonts w:ascii="Arial" w:hAnsi="Arial" w:cs="Arial"/>
                <w:sz w:val="22"/>
                <w:szCs w:val="22"/>
                <w:lang w:eastAsia="es-MX"/>
              </w:rPr>
            </w:pPr>
          </w:p>
        </w:tc>
        <w:tc>
          <w:tcPr>
            <w:tcW w:w="158" w:type="pct"/>
            <w:tcBorders>
              <w:top w:val="nil"/>
              <w:left w:val="nil"/>
              <w:bottom w:val="nil"/>
              <w:right w:val="nil"/>
            </w:tcBorders>
            <w:shd w:val="clear" w:color="auto" w:fill="auto"/>
            <w:noWrap/>
            <w:vAlign w:val="bottom"/>
            <w:hideMark/>
          </w:tcPr>
          <w:p w14:paraId="655CDE61" w14:textId="77777777" w:rsidR="00794EB9" w:rsidRPr="00794EB9" w:rsidRDefault="00794EB9" w:rsidP="00C307FB">
            <w:pPr>
              <w:contextualSpacing/>
              <w:rPr>
                <w:rFonts w:ascii="Arial" w:hAnsi="Arial" w:cs="Arial"/>
                <w:sz w:val="22"/>
                <w:szCs w:val="22"/>
                <w:lang w:eastAsia="es-MX"/>
              </w:rPr>
            </w:pPr>
          </w:p>
        </w:tc>
        <w:tc>
          <w:tcPr>
            <w:tcW w:w="828" w:type="pct"/>
            <w:tcBorders>
              <w:top w:val="nil"/>
              <w:left w:val="nil"/>
              <w:bottom w:val="nil"/>
              <w:right w:val="nil"/>
            </w:tcBorders>
            <w:shd w:val="clear" w:color="auto" w:fill="auto"/>
            <w:noWrap/>
            <w:vAlign w:val="bottom"/>
            <w:hideMark/>
          </w:tcPr>
          <w:p w14:paraId="36CC12F8" w14:textId="77777777" w:rsidR="00794EB9" w:rsidRPr="00794EB9" w:rsidRDefault="00794EB9" w:rsidP="00C307FB">
            <w:pPr>
              <w:contextualSpacing/>
              <w:rPr>
                <w:rFonts w:ascii="Arial" w:hAnsi="Arial" w:cs="Arial"/>
                <w:sz w:val="22"/>
                <w:szCs w:val="22"/>
                <w:lang w:eastAsia="es-MX"/>
              </w:rPr>
            </w:pPr>
          </w:p>
        </w:tc>
      </w:tr>
      <w:tr w:rsidR="00794EB9" w:rsidRPr="00794EB9" w14:paraId="6E1663C1" w14:textId="77777777" w:rsidTr="00C307FB">
        <w:trPr>
          <w:trHeight w:val="275"/>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F60B26"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Inexistencia de políticas y proyectos para que todos los leoneses puedan sentirse tranquilos viviendo en León</w:t>
            </w:r>
          </w:p>
        </w:tc>
      </w:tr>
      <w:tr w:rsidR="00794EB9" w:rsidRPr="00794EB9" w14:paraId="0C6F0C2D" w14:textId="77777777" w:rsidTr="00C307FB">
        <w:trPr>
          <w:trHeight w:val="53"/>
        </w:trPr>
        <w:tc>
          <w:tcPr>
            <w:tcW w:w="662" w:type="pct"/>
            <w:tcBorders>
              <w:top w:val="nil"/>
              <w:left w:val="nil"/>
              <w:bottom w:val="nil"/>
              <w:right w:val="nil"/>
            </w:tcBorders>
            <w:shd w:val="clear" w:color="auto" w:fill="auto"/>
            <w:noWrap/>
            <w:vAlign w:val="bottom"/>
            <w:hideMark/>
          </w:tcPr>
          <w:p w14:paraId="6BFDD0BB" w14:textId="77777777" w:rsidR="00794EB9" w:rsidRPr="00794EB9" w:rsidRDefault="00794EB9" w:rsidP="00C307FB">
            <w:pPr>
              <w:jc w:val="center"/>
              <w:rPr>
                <w:rFonts w:ascii="Arial" w:hAnsi="Arial" w:cs="Arial"/>
                <w:b/>
                <w:bCs/>
                <w:sz w:val="22"/>
                <w:szCs w:val="22"/>
                <w:lang w:eastAsia="es-MX"/>
              </w:rPr>
            </w:pPr>
          </w:p>
        </w:tc>
        <w:tc>
          <w:tcPr>
            <w:tcW w:w="127" w:type="pct"/>
            <w:tcBorders>
              <w:top w:val="nil"/>
              <w:left w:val="nil"/>
              <w:bottom w:val="nil"/>
              <w:right w:val="nil"/>
            </w:tcBorders>
            <w:shd w:val="clear" w:color="auto" w:fill="auto"/>
            <w:noWrap/>
            <w:vAlign w:val="bottom"/>
            <w:hideMark/>
          </w:tcPr>
          <w:p w14:paraId="033D8C40" w14:textId="77777777" w:rsidR="00794EB9" w:rsidRPr="00794EB9" w:rsidRDefault="00794EB9" w:rsidP="00C307FB">
            <w:pPr>
              <w:rPr>
                <w:rFonts w:ascii="Arial" w:hAnsi="Arial" w:cs="Arial"/>
                <w:sz w:val="22"/>
                <w:szCs w:val="22"/>
                <w:lang w:eastAsia="es-MX"/>
              </w:rPr>
            </w:pPr>
          </w:p>
        </w:tc>
        <w:tc>
          <w:tcPr>
            <w:tcW w:w="752" w:type="pct"/>
            <w:tcBorders>
              <w:top w:val="nil"/>
              <w:left w:val="nil"/>
              <w:bottom w:val="nil"/>
              <w:right w:val="nil"/>
            </w:tcBorders>
            <w:shd w:val="clear" w:color="auto" w:fill="auto"/>
            <w:noWrap/>
            <w:vAlign w:val="bottom"/>
            <w:hideMark/>
          </w:tcPr>
          <w:p w14:paraId="6B3A1F88" w14:textId="77777777" w:rsidR="00794EB9" w:rsidRPr="00794EB9" w:rsidRDefault="00794EB9" w:rsidP="00C307FB">
            <w:pPr>
              <w:rPr>
                <w:rFonts w:ascii="Arial" w:hAnsi="Arial" w:cs="Arial"/>
                <w:sz w:val="22"/>
                <w:szCs w:val="22"/>
                <w:lang w:eastAsia="es-MX"/>
              </w:rPr>
            </w:pPr>
          </w:p>
        </w:tc>
        <w:tc>
          <w:tcPr>
            <w:tcW w:w="94" w:type="pct"/>
            <w:tcBorders>
              <w:top w:val="nil"/>
              <w:left w:val="nil"/>
              <w:bottom w:val="nil"/>
              <w:right w:val="nil"/>
            </w:tcBorders>
            <w:shd w:val="clear" w:color="auto" w:fill="auto"/>
            <w:noWrap/>
            <w:vAlign w:val="bottom"/>
            <w:hideMark/>
          </w:tcPr>
          <w:p w14:paraId="2FD88BA9" w14:textId="77777777" w:rsidR="00794EB9" w:rsidRPr="00794EB9" w:rsidRDefault="00794EB9" w:rsidP="00C307FB">
            <w:pPr>
              <w:rPr>
                <w:rFonts w:ascii="Arial" w:hAnsi="Arial" w:cs="Arial"/>
                <w:sz w:val="22"/>
                <w:szCs w:val="22"/>
                <w:lang w:eastAsia="es-MX"/>
              </w:rPr>
            </w:pPr>
          </w:p>
        </w:tc>
        <w:tc>
          <w:tcPr>
            <w:tcW w:w="624" w:type="pct"/>
            <w:tcBorders>
              <w:top w:val="nil"/>
              <w:left w:val="nil"/>
              <w:bottom w:val="nil"/>
              <w:right w:val="nil"/>
            </w:tcBorders>
            <w:shd w:val="clear" w:color="auto" w:fill="auto"/>
            <w:noWrap/>
            <w:vAlign w:val="bottom"/>
            <w:hideMark/>
          </w:tcPr>
          <w:p w14:paraId="2172A87D" w14:textId="77777777" w:rsidR="00794EB9" w:rsidRPr="00794EB9" w:rsidRDefault="00794EB9" w:rsidP="00C307FB">
            <w:pPr>
              <w:rPr>
                <w:rFonts w:ascii="Arial" w:hAnsi="Arial" w:cs="Arial"/>
                <w:sz w:val="22"/>
                <w:szCs w:val="22"/>
                <w:lang w:eastAsia="es-MX"/>
              </w:rPr>
            </w:pPr>
          </w:p>
        </w:tc>
        <w:tc>
          <w:tcPr>
            <w:tcW w:w="127" w:type="pct"/>
            <w:tcBorders>
              <w:top w:val="nil"/>
              <w:left w:val="nil"/>
              <w:bottom w:val="nil"/>
              <w:right w:val="nil"/>
            </w:tcBorders>
            <w:shd w:val="clear" w:color="auto" w:fill="auto"/>
            <w:noWrap/>
            <w:vAlign w:val="bottom"/>
            <w:hideMark/>
          </w:tcPr>
          <w:p w14:paraId="46B691EF" w14:textId="77777777" w:rsidR="00794EB9" w:rsidRPr="00794EB9" w:rsidRDefault="00794EB9" w:rsidP="00C307FB">
            <w:pPr>
              <w:rPr>
                <w:rFonts w:ascii="Arial" w:hAnsi="Arial" w:cs="Arial"/>
                <w:sz w:val="22"/>
                <w:szCs w:val="22"/>
                <w:lang w:eastAsia="es-MX"/>
              </w:rPr>
            </w:pPr>
          </w:p>
        </w:tc>
        <w:tc>
          <w:tcPr>
            <w:tcW w:w="648" w:type="pct"/>
            <w:tcBorders>
              <w:top w:val="nil"/>
              <w:left w:val="nil"/>
              <w:bottom w:val="nil"/>
              <w:right w:val="nil"/>
            </w:tcBorders>
            <w:shd w:val="clear" w:color="auto" w:fill="auto"/>
            <w:noWrap/>
            <w:vAlign w:val="bottom"/>
            <w:hideMark/>
          </w:tcPr>
          <w:p w14:paraId="65096573" w14:textId="77777777" w:rsidR="00794EB9" w:rsidRPr="00794EB9" w:rsidRDefault="00794EB9" w:rsidP="00C307FB">
            <w:pPr>
              <w:rPr>
                <w:rFonts w:ascii="Arial" w:hAnsi="Arial" w:cs="Arial"/>
                <w:sz w:val="22"/>
                <w:szCs w:val="22"/>
                <w:lang w:eastAsia="es-MX"/>
              </w:rPr>
            </w:pPr>
          </w:p>
        </w:tc>
        <w:tc>
          <w:tcPr>
            <w:tcW w:w="131" w:type="pct"/>
            <w:tcBorders>
              <w:top w:val="nil"/>
              <w:left w:val="nil"/>
              <w:bottom w:val="nil"/>
              <w:right w:val="nil"/>
            </w:tcBorders>
            <w:shd w:val="clear" w:color="auto" w:fill="auto"/>
            <w:noWrap/>
            <w:vAlign w:val="bottom"/>
            <w:hideMark/>
          </w:tcPr>
          <w:p w14:paraId="3485CEA2" w14:textId="77777777" w:rsidR="00794EB9" w:rsidRPr="00794EB9" w:rsidRDefault="00794EB9" w:rsidP="00C307FB">
            <w:pPr>
              <w:rPr>
                <w:rFonts w:ascii="Arial" w:hAnsi="Arial" w:cs="Arial"/>
                <w:sz w:val="22"/>
                <w:szCs w:val="22"/>
                <w:lang w:eastAsia="es-MX"/>
              </w:rPr>
            </w:pPr>
          </w:p>
        </w:tc>
        <w:tc>
          <w:tcPr>
            <w:tcW w:w="852" w:type="pct"/>
            <w:tcBorders>
              <w:top w:val="nil"/>
              <w:left w:val="nil"/>
              <w:bottom w:val="nil"/>
              <w:right w:val="nil"/>
            </w:tcBorders>
            <w:shd w:val="clear" w:color="auto" w:fill="auto"/>
            <w:noWrap/>
            <w:vAlign w:val="bottom"/>
            <w:hideMark/>
          </w:tcPr>
          <w:p w14:paraId="0C54FF3C" w14:textId="77777777" w:rsidR="00794EB9" w:rsidRPr="00794EB9" w:rsidRDefault="00794EB9" w:rsidP="00C307FB">
            <w:pPr>
              <w:rPr>
                <w:rFonts w:ascii="Arial" w:hAnsi="Arial" w:cs="Arial"/>
                <w:sz w:val="22"/>
                <w:szCs w:val="22"/>
                <w:lang w:eastAsia="es-MX"/>
              </w:rPr>
            </w:pPr>
          </w:p>
        </w:tc>
        <w:tc>
          <w:tcPr>
            <w:tcW w:w="158" w:type="pct"/>
            <w:tcBorders>
              <w:top w:val="nil"/>
              <w:left w:val="nil"/>
              <w:bottom w:val="nil"/>
              <w:right w:val="nil"/>
            </w:tcBorders>
            <w:shd w:val="clear" w:color="auto" w:fill="auto"/>
            <w:noWrap/>
            <w:vAlign w:val="bottom"/>
            <w:hideMark/>
          </w:tcPr>
          <w:p w14:paraId="33D0673B" w14:textId="77777777" w:rsidR="00794EB9" w:rsidRPr="00794EB9" w:rsidRDefault="00794EB9" w:rsidP="00C307FB">
            <w:pPr>
              <w:rPr>
                <w:rFonts w:ascii="Arial" w:hAnsi="Arial" w:cs="Arial"/>
                <w:sz w:val="22"/>
                <w:szCs w:val="22"/>
                <w:lang w:eastAsia="es-MX"/>
              </w:rPr>
            </w:pPr>
          </w:p>
        </w:tc>
        <w:tc>
          <w:tcPr>
            <w:tcW w:w="828" w:type="pct"/>
            <w:tcBorders>
              <w:top w:val="nil"/>
              <w:left w:val="nil"/>
              <w:bottom w:val="nil"/>
              <w:right w:val="nil"/>
            </w:tcBorders>
            <w:shd w:val="clear" w:color="auto" w:fill="auto"/>
            <w:noWrap/>
            <w:vAlign w:val="bottom"/>
            <w:hideMark/>
          </w:tcPr>
          <w:p w14:paraId="5D151261" w14:textId="77777777" w:rsidR="00794EB9" w:rsidRPr="00794EB9" w:rsidRDefault="00794EB9" w:rsidP="00C307FB">
            <w:pPr>
              <w:rPr>
                <w:rFonts w:ascii="Arial" w:hAnsi="Arial" w:cs="Arial"/>
                <w:sz w:val="22"/>
                <w:szCs w:val="22"/>
                <w:lang w:eastAsia="es-MX"/>
              </w:rPr>
            </w:pPr>
          </w:p>
        </w:tc>
      </w:tr>
      <w:tr w:rsidR="00794EB9" w:rsidRPr="00794EB9" w14:paraId="3501A440" w14:textId="77777777" w:rsidTr="00C307FB">
        <w:trPr>
          <w:trHeight w:val="478"/>
        </w:trPr>
        <w:tc>
          <w:tcPr>
            <w:tcW w:w="154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B32D445"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Administración pública convencional, con trámites lentos y procesos complejos  </w:t>
            </w:r>
          </w:p>
        </w:tc>
        <w:tc>
          <w:tcPr>
            <w:tcW w:w="94" w:type="pct"/>
            <w:tcBorders>
              <w:top w:val="nil"/>
              <w:left w:val="nil"/>
              <w:bottom w:val="nil"/>
              <w:right w:val="nil"/>
            </w:tcBorders>
            <w:shd w:val="clear" w:color="auto" w:fill="auto"/>
            <w:noWrap/>
            <w:vAlign w:val="center"/>
            <w:hideMark/>
          </w:tcPr>
          <w:p w14:paraId="08061E35" w14:textId="77777777" w:rsidR="00794EB9" w:rsidRPr="00794EB9" w:rsidRDefault="00794EB9" w:rsidP="00C307FB">
            <w:pPr>
              <w:jc w:val="center"/>
              <w:rPr>
                <w:rFonts w:ascii="Arial" w:hAnsi="Arial" w:cs="Arial"/>
                <w:b/>
                <w:bCs/>
                <w:sz w:val="22"/>
                <w:szCs w:val="22"/>
                <w:lang w:eastAsia="es-MX"/>
              </w:rPr>
            </w:pPr>
          </w:p>
        </w:tc>
        <w:tc>
          <w:tcPr>
            <w:tcW w:w="1399"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DC18123"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Movilidad urbana en condiciones de inseguridad y de tiempos prolongados</w:t>
            </w:r>
          </w:p>
        </w:tc>
        <w:tc>
          <w:tcPr>
            <w:tcW w:w="131" w:type="pct"/>
            <w:tcBorders>
              <w:top w:val="nil"/>
              <w:left w:val="nil"/>
              <w:bottom w:val="nil"/>
              <w:right w:val="nil"/>
            </w:tcBorders>
            <w:shd w:val="clear" w:color="auto" w:fill="auto"/>
            <w:noWrap/>
            <w:vAlign w:val="center"/>
            <w:hideMark/>
          </w:tcPr>
          <w:p w14:paraId="33840A29" w14:textId="77777777" w:rsidR="00794EB9" w:rsidRPr="00794EB9" w:rsidRDefault="00794EB9" w:rsidP="00C307FB">
            <w:pPr>
              <w:jc w:val="center"/>
              <w:rPr>
                <w:rFonts w:ascii="Arial" w:hAnsi="Arial" w:cs="Arial"/>
                <w:b/>
                <w:bCs/>
                <w:sz w:val="22"/>
                <w:szCs w:val="22"/>
                <w:lang w:eastAsia="es-MX"/>
              </w:rPr>
            </w:pPr>
          </w:p>
        </w:tc>
        <w:tc>
          <w:tcPr>
            <w:tcW w:w="8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8696D7"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Limitada operación de la seguridad</w:t>
            </w:r>
          </w:p>
        </w:tc>
        <w:tc>
          <w:tcPr>
            <w:tcW w:w="158" w:type="pct"/>
            <w:tcBorders>
              <w:top w:val="nil"/>
              <w:left w:val="nil"/>
              <w:bottom w:val="nil"/>
              <w:right w:val="nil"/>
            </w:tcBorders>
            <w:shd w:val="clear" w:color="auto" w:fill="auto"/>
            <w:noWrap/>
            <w:vAlign w:val="center"/>
            <w:hideMark/>
          </w:tcPr>
          <w:p w14:paraId="2555AF0B" w14:textId="77777777" w:rsidR="00794EB9" w:rsidRPr="00794EB9" w:rsidRDefault="00794EB9" w:rsidP="00C307FB">
            <w:pPr>
              <w:jc w:val="center"/>
              <w:rPr>
                <w:rFonts w:ascii="Arial" w:hAnsi="Arial" w:cs="Arial"/>
                <w:b/>
                <w:bCs/>
                <w:sz w:val="22"/>
                <w:szCs w:val="22"/>
                <w:lang w:eastAsia="es-MX"/>
              </w:rPr>
            </w:pP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28F310"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Desapego a la ciudad</w:t>
            </w:r>
          </w:p>
        </w:tc>
      </w:tr>
      <w:tr w:rsidR="00794EB9" w:rsidRPr="00794EB9" w14:paraId="2CB16E87" w14:textId="77777777" w:rsidTr="00C307FB">
        <w:trPr>
          <w:trHeight w:val="53"/>
        </w:trPr>
        <w:tc>
          <w:tcPr>
            <w:tcW w:w="662" w:type="pct"/>
            <w:tcBorders>
              <w:top w:val="nil"/>
              <w:left w:val="nil"/>
              <w:bottom w:val="nil"/>
              <w:right w:val="nil"/>
            </w:tcBorders>
            <w:shd w:val="clear" w:color="auto" w:fill="auto"/>
            <w:noWrap/>
            <w:vAlign w:val="bottom"/>
            <w:hideMark/>
          </w:tcPr>
          <w:p w14:paraId="1B06F342" w14:textId="77777777" w:rsidR="00794EB9" w:rsidRPr="00794EB9" w:rsidRDefault="00794EB9" w:rsidP="00C307FB">
            <w:pPr>
              <w:jc w:val="center"/>
              <w:rPr>
                <w:rFonts w:ascii="Arial" w:hAnsi="Arial" w:cs="Arial"/>
                <w:b/>
                <w:bCs/>
                <w:sz w:val="22"/>
                <w:szCs w:val="22"/>
                <w:lang w:eastAsia="es-MX"/>
              </w:rPr>
            </w:pPr>
          </w:p>
        </w:tc>
        <w:tc>
          <w:tcPr>
            <w:tcW w:w="127" w:type="pct"/>
            <w:tcBorders>
              <w:top w:val="nil"/>
              <w:left w:val="nil"/>
              <w:bottom w:val="nil"/>
              <w:right w:val="nil"/>
            </w:tcBorders>
            <w:shd w:val="clear" w:color="auto" w:fill="auto"/>
            <w:noWrap/>
            <w:vAlign w:val="bottom"/>
            <w:hideMark/>
          </w:tcPr>
          <w:p w14:paraId="74AEF3CE" w14:textId="77777777" w:rsidR="00794EB9" w:rsidRPr="00794EB9" w:rsidRDefault="00794EB9" w:rsidP="00C307FB">
            <w:pPr>
              <w:rPr>
                <w:rFonts w:ascii="Arial" w:hAnsi="Arial" w:cs="Arial"/>
                <w:sz w:val="22"/>
                <w:szCs w:val="22"/>
                <w:lang w:eastAsia="es-MX"/>
              </w:rPr>
            </w:pPr>
          </w:p>
        </w:tc>
        <w:tc>
          <w:tcPr>
            <w:tcW w:w="752" w:type="pct"/>
            <w:tcBorders>
              <w:top w:val="nil"/>
              <w:left w:val="nil"/>
              <w:bottom w:val="nil"/>
              <w:right w:val="nil"/>
            </w:tcBorders>
            <w:shd w:val="clear" w:color="auto" w:fill="auto"/>
            <w:noWrap/>
            <w:vAlign w:val="bottom"/>
            <w:hideMark/>
          </w:tcPr>
          <w:p w14:paraId="76CC14F4" w14:textId="77777777" w:rsidR="00794EB9" w:rsidRPr="00794EB9" w:rsidRDefault="00794EB9" w:rsidP="00C307FB">
            <w:pPr>
              <w:rPr>
                <w:rFonts w:ascii="Arial" w:hAnsi="Arial" w:cs="Arial"/>
                <w:sz w:val="22"/>
                <w:szCs w:val="22"/>
                <w:lang w:eastAsia="es-MX"/>
              </w:rPr>
            </w:pPr>
          </w:p>
        </w:tc>
        <w:tc>
          <w:tcPr>
            <w:tcW w:w="94" w:type="pct"/>
            <w:tcBorders>
              <w:top w:val="nil"/>
              <w:left w:val="nil"/>
              <w:bottom w:val="nil"/>
              <w:right w:val="nil"/>
            </w:tcBorders>
            <w:shd w:val="clear" w:color="auto" w:fill="auto"/>
            <w:noWrap/>
            <w:vAlign w:val="bottom"/>
            <w:hideMark/>
          </w:tcPr>
          <w:p w14:paraId="0E4CBCDF" w14:textId="77777777" w:rsidR="00794EB9" w:rsidRPr="00794EB9" w:rsidRDefault="00794EB9" w:rsidP="00C307FB">
            <w:pPr>
              <w:rPr>
                <w:rFonts w:ascii="Arial" w:hAnsi="Arial" w:cs="Arial"/>
                <w:sz w:val="22"/>
                <w:szCs w:val="22"/>
                <w:lang w:eastAsia="es-MX"/>
              </w:rPr>
            </w:pPr>
          </w:p>
        </w:tc>
        <w:tc>
          <w:tcPr>
            <w:tcW w:w="624" w:type="pct"/>
            <w:tcBorders>
              <w:top w:val="nil"/>
              <w:left w:val="nil"/>
              <w:bottom w:val="nil"/>
              <w:right w:val="nil"/>
            </w:tcBorders>
            <w:shd w:val="clear" w:color="auto" w:fill="auto"/>
            <w:noWrap/>
            <w:vAlign w:val="bottom"/>
            <w:hideMark/>
          </w:tcPr>
          <w:p w14:paraId="30F65D9A" w14:textId="77777777" w:rsidR="00794EB9" w:rsidRPr="00794EB9" w:rsidRDefault="00794EB9" w:rsidP="00C307FB">
            <w:pPr>
              <w:rPr>
                <w:rFonts w:ascii="Arial" w:hAnsi="Arial" w:cs="Arial"/>
                <w:sz w:val="22"/>
                <w:szCs w:val="22"/>
                <w:lang w:eastAsia="es-MX"/>
              </w:rPr>
            </w:pPr>
          </w:p>
        </w:tc>
        <w:tc>
          <w:tcPr>
            <w:tcW w:w="127" w:type="pct"/>
            <w:tcBorders>
              <w:top w:val="nil"/>
              <w:left w:val="nil"/>
              <w:bottom w:val="nil"/>
              <w:right w:val="nil"/>
            </w:tcBorders>
            <w:shd w:val="clear" w:color="auto" w:fill="auto"/>
            <w:noWrap/>
            <w:vAlign w:val="bottom"/>
            <w:hideMark/>
          </w:tcPr>
          <w:p w14:paraId="7671A553" w14:textId="77777777" w:rsidR="00794EB9" w:rsidRPr="00794EB9" w:rsidRDefault="00794EB9" w:rsidP="00C307FB">
            <w:pPr>
              <w:rPr>
                <w:rFonts w:ascii="Arial" w:hAnsi="Arial" w:cs="Arial"/>
                <w:sz w:val="22"/>
                <w:szCs w:val="22"/>
                <w:lang w:eastAsia="es-MX"/>
              </w:rPr>
            </w:pPr>
          </w:p>
        </w:tc>
        <w:tc>
          <w:tcPr>
            <w:tcW w:w="648" w:type="pct"/>
            <w:tcBorders>
              <w:top w:val="nil"/>
              <w:left w:val="nil"/>
              <w:bottom w:val="nil"/>
              <w:right w:val="nil"/>
            </w:tcBorders>
            <w:shd w:val="clear" w:color="auto" w:fill="auto"/>
            <w:noWrap/>
            <w:vAlign w:val="bottom"/>
            <w:hideMark/>
          </w:tcPr>
          <w:p w14:paraId="00E04CD4" w14:textId="77777777" w:rsidR="00794EB9" w:rsidRPr="00794EB9" w:rsidRDefault="00794EB9" w:rsidP="00C307FB">
            <w:pPr>
              <w:rPr>
                <w:rFonts w:ascii="Arial" w:hAnsi="Arial" w:cs="Arial"/>
                <w:sz w:val="22"/>
                <w:szCs w:val="22"/>
                <w:lang w:eastAsia="es-MX"/>
              </w:rPr>
            </w:pPr>
          </w:p>
        </w:tc>
        <w:tc>
          <w:tcPr>
            <w:tcW w:w="131" w:type="pct"/>
            <w:tcBorders>
              <w:top w:val="nil"/>
              <w:left w:val="nil"/>
              <w:bottom w:val="nil"/>
              <w:right w:val="nil"/>
            </w:tcBorders>
            <w:shd w:val="clear" w:color="auto" w:fill="auto"/>
            <w:noWrap/>
            <w:vAlign w:val="bottom"/>
            <w:hideMark/>
          </w:tcPr>
          <w:p w14:paraId="37F0153E" w14:textId="77777777" w:rsidR="00794EB9" w:rsidRPr="00794EB9" w:rsidRDefault="00794EB9" w:rsidP="00C307FB">
            <w:pPr>
              <w:rPr>
                <w:rFonts w:ascii="Arial" w:hAnsi="Arial" w:cs="Arial"/>
                <w:sz w:val="22"/>
                <w:szCs w:val="22"/>
                <w:lang w:eastAsia="es-MX"/>
              </w:rPr>
            </w:pPr>
          </w:p>
        </w:tc>
        <w:tc>
          <w:tcPr>
            <w:tcW w:w="852" w:type="pct"/>
            <w:tcBorders>
              <w:top w:val="nil"/>
              <w:left w:val="nil"/>
              <w:bottom w:val="nil"/>
              <w:right w:val="nil"/>
            </w:tcBorders>
            <w:shd w:val="clear" w:color="auto" w:fill="auto"/>
            <w:noWrap/>
            <w:vAlign w:val="bottom"/>
            <w:hideMark/>
          </w:tcPr>
          <w:p w14:paraId="106BB628" w14:textId="77777777" w:rsidR="00794EB9" w:rsidRPr="00794EB9" w:rsidRDefault="00794EB9" w:rsidP="00C307FB">
            <w:pPr>
              <w:rPr>
                <w:rFonts w:ascii="Arial" w:hAnsi="Arial" w:cs="Arial"/>
                <w:sz w:val="22"/>
                <w:szCs w:val="22"/>
                <w:lang w:eastAsia="es-MX"/>
              </w:rPr>
            </w:pPr>
          </w:p>
        </w:tc>
        <w:tc>
          <w:tcPr>
            <w:tcW w:w="158" w:type="pct"/>
            <w:tcBorders>
              <w:top w:val="nil"/>
              <w:left w:val="nil"/>
              <w:bottom w:val="nil"/>
              <w:right w:val="nil"/>
            </w:tcBorders>
            <w:shd w:val="clear" w:color="auto" w:fill="auto"/>
            <w:noWrap/>
            <w:vAlign w:val="bottom"/>
            <w:hideMark/>
          </w:tcPr>
          <w:p w14:paraId="0F37D82D" w14:textId="77777777" w:rsidR="00794EB9" w:rsidRPr="00794EB9" w:rsidRDefault="00794EB9" w:rsidP="00C307FB">
            <w:pPr>
              <w:rPr>
                <w:rFonts w:ascii="Arial" w:hAnsi="Arial" w:cs="Arial"/>
                <w:sz w:val="22"/>
                <w:szCs w:val="22"/>
                <w:lang w:eastAsia="es-MX"/>
              </w:rPr>
            </w:pPr>
          </w:p>
        </w:tc>
        <w:tc>
          <w:tcPr>
            <w:tcW w:w="828" w:type="pct"/>
            <w:tcBorders>
              <w:top w:val="nil"/>
              <w:left w:val="nil"/>
              <w:bottom w:val="nil"/>
              <w:right w:val="nil"/>
            </w:tcBorders>
            <w:shd w:val="clear" w:color="auto" w:fill="auto"/>
            <w:noWrap/>
            <w:vAlign w:val="bottom"/>
            <w:hideMark/>
          </w:tcPr>
          <w:p w14:paraId="6C6D004D" w14:textId="77777777" w:rsidR="00794EB9" w:rsidRPr="00794EB9" w:rsidRDefault="00794EB9" w:rsidP="00C307FB">
            <w:pPr>
              <w:rPr>
                <w:rFonts w:ascii="Arial" w:hAnsi="Arial" w:cs="Arial"/>
                <w:sz w:val="22"/>
                <w:szCs w:val="22"/>
                <w:lang w:eastAsia="es-MX"/>
              </w:rPr>
            </w:pPr>
          </w:p>
        </w:tc>
      </w:tr>
      <w:tr w:rsidR="00794EB9" w:rsidRPr="00794EB9" w14:paraId="75B704F1" w14:textId="77777777" w:rsidTr="00C307FB">
        <w:trPr>
          <w:trHeight w:val="1021"/>
        </w:trPr>
        <w:tc>
          <w:tcPr>
            <w:tcW w:w="6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EA01E4"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Modelo de gobierno presencial</w:t>
            </w:r>
            <w:r w:rsidRPr="00794EB9">
              <w:rPr>
                <w:rFonts w:ascii="Arial" w:hAnsi="Arial" w:cs="Arial"/>
                <w:bCs/>
                <w:sz w:val="22"/>
                <w:szCs w:val="22"/>
                <w:lang w:eastAsia="es-MX"/>
              </w:rPr>
              <w:t>, escaso número de trámites en línea 56 de 243 trámites</w:t>
            </w:r>
          </w:p>
        </w:tc>
        <w:tc>
          <w:tcPr>
            <w:tcW w:w="127" w:type="pct"/>
            <w:tcBorders>
              <w:top w:val="nil"/>
              <w:left w:val="nil"/>
              <w:bottom w:val="nil"/>
              <w:right w:val="nil"/>
            </w:tcBorders>
            <w:shd w:val="clear" w:color="auto" w:fill="auto"/>
            <w:noWrap/>
            <w:vAlign w:val="center"/>
            <w:hideMark/>
          </w:tcPr>
          <w:p w14:paraId="0557614C" w14:textId="77777777" w:rsidR="00794EB9" w:rsidRPr="00794EB9" w:rsidRDefault="00794EB9" w:rsidP="00C307FB">
            <w:pPr>
              <w:jc w:val="center"/>
              <w:rPr>
                <w:rFonts w:ascii="Arial" w:hAnsi="Arial" w:cs="Arial"/>
                <w:bCs/>
                <w:sz w:val="22"/>
                <w:szCs w:val="22"/>
                <w:lang w:eastAsia="es-MX"/>
              </w:rPr>
            </w:pPr>
          </w:p>
        </w:tc>
        <w:tc>
          <w:tcPr>
            <w:tcW w:w="7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C4F72"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Restricciones presupuestales</w:t>
            </w:r>
            <w:r w:rsidRPr="00794EB9">
              <w:rPr>
                <w:rFonts w:ascii="Arial" w:hAnsi="Arial" w:cs="Arial"/>
                <w:bCs/>
                <w:sz w:val="22"/>
                <w:szCs w:val="22"/>
                <w:lang w:eastAsia="es-MX"/>
              </w:rPr>
              <w:t xml:space="preserve"> por una alta dependencia a participaciones estatales y federales del 70% y bajo impulso de </w:t>
            </w:r>
            <w:r w:rsidRPr="00794EB9">
              <w:rPr>
                <w:rFonts w:ascii="Arial" w:hAnsi="Arial" w:cs="Arial"/>
                <w:bCs/>
                <w:sz w:val="22"/>
                <w:szCs w:val="22"/>
                <w:lang w:eastAsia="es-MX"/>
              </w:rPr>
              <w:lastRenderedPageBreak/>
              <w:t>proyectos de iniciativa ciudadana</w:t>
            </w:r>
          </w:p>
        </w:tc>
        <w:tc>
          <w:tcPr>
            <w:tcW w:w="94" w:type="pct"/>
            <w:tcBorders>
              <w:top w:val="nil"/>
              <w:left w:val="nil"/>
              <w:bottom w:val="nil"/>
              <w:right w:val="nil"/>
            </w:tcBorders>
            <w:shd w:val="clear" w:color="auto" w:fill="auto"/>
            <w:noWrap/>
            <w:vAlign w:val="bottom"/>
            <w:hideMark/>
          </w:tcPr>
          <w:p w14:paraId="18C069AF" w14:textId="77777777" w:rsidR="00794EB9" w:rsidRPr="00794EB9" w:rsidRDefault="00794EB9" w:rsidP="00C307FB">
            <w:pPr>
              <w:jc w:val="center"/>
              <w:rPr>
                <w:rFonts w:ascii="Arial" w:hAnsi="Arial" w:cs="Arial"/>
                <w:bCs/>
                <w:sz w:val="22"/>
                <w:szCs w:val="22"/>
                <w:lang w:eastAsia="es-MX"/>
              </w:rPr>
            </w:pPr>
          </w:p>
        </w:tc>
        <w:tc>
          <w:tcPr>
            <w:tcW w:w="1399"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8A32AEE"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Limitada oferta de alternativas de movilidad</w:t>
            </w:r>
            <w:r w:rsidRPr="00794EB9">
              <w:rPr>
                <w:rFonts w:ascii="Arial" w:hAnsi="Arial" w:cs="Arial"/>
                <w:bCs/>
                <w:sz w:val="22"/>
                <w:szCs w:val="22"/>
                <w:lang w:eastAsia="es-MX"/>
              </w:rPr>
              <w:t>; en el  41.5% de las viviendas del municipio usan la bicicleta como medio de transporte</w:t>
            </w:r>
          </w:p>
        </w:tc>
        <w:tc>
          <w:tcPr>
            <w:tcW w:w="131" w:type="pct"/>
            <w:tcBorders>
              <w:top w:val="nil"/>
              <w:left w:val="nil"/>
              <w:bottom w:val="nil"/>
              <w:right w:val="nil"/>
            </w:tcBorders>
            <w:shd w:val="clear" w:color="auto" w:fill="auto"/>
            <w:vAlign w:val="center"/>
            <w:hideMark/>
          </w:tcPr>
          <w:p w14:paraId="16B2A376" w14:textId="77777777" w:rsidR="00794EB9" w:rsidRPr="00794EB9" w:rsidRDefault="00794EB9" w:rsidP="00C307FB">
            <w:pPr>
              <w:jc w:val="center"/>
              <w:rPr>
                <w:rFonts w:ascii="Arial" w:hAnsi="Arial" w:cs="Arial"/>
                <w:bCs/>
                <w:sz w:val="22"/>
                <w:szCs w:val="22"/>
                <w:lang w:eastAsia="es-MX"/>
              </w:rPr>
            </w:pPr>
          </w:p>
        </w:tc>
        <w:tc>
          <w:tcPr>
            <w:tcW w:w="8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35A5C8"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Conflictos viales</w:t>
            </w:r>
          </w:p>
          <w:p w14:paraId="4B25C12C"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Cs/>
                <w:sz w:val="22"/>
                <w:szCs w:val="22"/>
                <w:lang w:eastAsia="es-MX"/>
              </w:rPr>
              <w:t xml:space="preserve">Más de 7 mil certificados médicos a conductores con algún grado de intoxicación y 88% de los accidentes corresponden a conductores </w:t>
            </w:r>
            <w:r w:rsidRPr="00794EB9">
              <w:rPr>
                <w:rFonts w:ascii="Arial" w:hAnsi="Arial" w:cs="Arial"/>
                <w:bCs/>
                <w:sz w:val="22"/>
                <w:szCs w:val="22"/>
                <w:lang w:eastAsia="es-MX"/>
              </w:rPr>
              <w:lastRenderedPageBreak/>
              <w:t>que no se encontraban sobrios</w:t>
            </w:r>
          </w:p>
        </w:tc>
        <w:tc>
          <w:tcPr>
            <w:tcW w:w="158" w:type="pct"/>
            <w:tcBorders>
              <w:top w:val="nil"/>
              <w:left w:val="nil"/>
              <w:bottom w:val="nil"/>
              <w:right w:val="nil"/>
            </w:tcBorders>
            <w:shd w:val="clear" w:color="auto" w:fill="auto"/>
            <w:vAlign w:val="center"/>
            <w:hideMark/>
          </w:tcPr>
          <w:p w14:paraId="027094D2" w14:textId="77777777" w:rsidR="00794EB9" w:rsidRPr="00794EB9" w:rsidRDefault="00794EB9" w:rsidP="00C307FB">
            <w:pPr>
              <w:jc w:val="center"/>
              <w:rPr>
                <w:rFonts w:ascii="Arial" w:hAnsi="Arial" w:cs="Arial"/>
                <w:bCs/>
                <w:sz w:val="22"/>
                <w:szCs w:val="22"/>
                <w:lang w:eastAsia="es-MX"/>
              </w:rPr>
            </w:pP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09FBFB"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Reducción de la cohesión social y debilitamiento de la identidad local</w:t>
            </w:r>
            <w:r w:rsidRPr="00794EB9">
              <w:rPr>
                <w:rFonts w:ascii="Arial" w:hAnsi="Arial" w:cs="Arial"/>
                <w:bCs/>
                <w:sz w:val="22"/>
                <w:szCs w:val="22"/>
                <w:lang w:eastAsia="es-MX"/>
              </w:rPr>
              <w:t>.</w:t>
            </w:r>
          </w:p>
          <w:p w14:paraId="7E148ECB"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Cs/>
                <w:sz w:val="22"/>
                <w:szCs w:val="22"/>
                <w:lang w:eastAsia="es-MX"/>
              </w:rPr>
              <w:t xml:space="preserve">El 60% de los jóvenes no se ven viviendo en León en un futuro </w:t>
            </w:r>
          </w:p>
        </w:tc>
      </w:tr>
      <w:tr w:rsidR="00794EB9" w:rsidRPr="00794EB9" w14:paraId="34E24502" w14:textId="77777777" w:rsidTr="00C307FB">
        <w:trPr>
          <w:trHeight w:val="53"/>
        </w:trPr>
        <w:tc>
          <w:tcPr>
            <w:tcW w:w="662" w:type="pct"/>
            <w:tcBorders>
              <w:top w:val="nil"/>
              <w:left w:val="nil"/>
              <w:bottom w:val="nil"/>
              <w:right w:val="nil"/>
            </w:tcBorders>
            <w:shd w:val="clear" w:color="auto" w:fill="auto"/>
            <w:vAlign w:val="center"/>
            <w:hideMark/>
          </w:tcPr>
          <w:p w14:paraId="094593DB" w14:textId="77777777" w:rsidR="00794EB9" w:rsidRPr="00794EB9" w:rsidRDefault="00794EB9" w:rsidP="00C307FB">
            <w:pPr>
              <w:jc w:val="center"/>
              <w:rPr>
                <w:rFonts w:ascii="Arial" w:hAnsi="Arial" w:cs="Arial"/>
                <w:bCs/>
                <w:sz w:val="22"/>
                <w:szCs w:val="22"/>
                <w:lang w:eastAsia="es-MX"/>
              </w:rPr>
            </w:pPr>
          </w:p>
        </w:tc>
        <w:tc>
          <w:tcPr>
            <w:tcW w:w="127" w:type="pct"/>
            <w:tcBorders>
              <w:top w:val="nil"/>
              <w:left w:val="nil"/>
              <w:bottom w:val="nil"/>
              <w:right w:val="nil"/>
            </w:tcBorders>
            <w:shd w:val="clear" w:color="auto" w:fill="auto"/>
            <w:noWrap/>
            <w:vAlign w:val="center"/>
            <w:hideMark/>
          </w:tcPr>
          <w:p w14:paraId="4D45E73D" w14:textId="77777777" w:rsidR="00794EB9" w:rsidRPr="00794EB9" w:rsidRDefault="00794EB9" w:rsidP="00C307FB">
            <w:pPr>
              <w:jc w:val="center"/>
              <w:rPr>
                <w:rFonts w:ascii="Arial" w:hAnsi="Arial" w:cs="Arial"/>
                <w:sz w:val="22"/>
                <w:szCs w:val="22"/>
                <w:lang w:eastAsia="es-MX"/>
              </w:rPr>
            </w:pPr>
          </w:p>
        </w:tc>
        <w:tc>
          <w:tcPr>
            <w:tcW w:w="752" w:type="pct"/>
            <w:tcBorders>
              <w:top w:val="nil"/>
              <w:left w:val="nil"/>
              <w:bottom w:val="nil"/>
              <w:right w:val="nil"/>
            </w:tcBorders>
            <w:shd w:val="clear" w:color="auto" w:fill="auto"/>
            <w:vAlign w:val="center"/>
            <w:hideMark/>
          </w:tcPr>
          <w:p w14:paraId="0DC4EF39" w14:textId="77777777" w:rsidR="00794EB9" w:rsidRPr="00794EB9" w:rsidRDefault="00794EB9" w:rsidP="00C307FB">
            <w:pPr>
              <w:jc w:val="center"/>
              <w:rPr>
                <w:rFonts w:ascii="Arial" w:hAnsi="Arial" w:cs="Arial"/>
                <w:sz w:val="22"/>
                <w:szCs w:val="22"/>
                <w:lang w:eastAsia="es-MX"/>
              </w:rPr>
            </w:pPr>
          </w:p>
        </w:tc>
        <w:tc>
          <w:tcPr>
            <w:tcW w:w="94" w:type="pct"/>
            <w:tcBorders>
              <w:top w:val="nil"/>
              <w:left w:val="nil"/>
              <w:bottom w:val="nil"/>
              <w:right w:val="nil"/>
            </w:tcBorders>
            <w:shd w:val="clear" w:color="auto" w:fill="auto"/>
            <w:noWrap/>
            <w:vAlign w:val="bottom"/>
            <w:hideMark/>
          </w:tcPr>
          <w:p w14:paraId="571A0BF0" w14:textId="77777777" w:rsidR="00794EB9" w:rsidRPr="00794EB9" w:rsidRDefault="00794EB9" w:rsidP="00C307FB">
            <w:pPr>
              <w:jc w:val="center"/>
              <w:rPr>
                <w:rFonts w:ascii="Arial" w:hAnsi="Arial" w:cs="Arial"/>
                <w:sz w:val="22"/>
                <w:szCs w:val="22"/>
                <w:lang w:eastAsia="es-MX"/>
              </w:rPr>
            </w:pPr>
          </w:p>
        </w:tc>
        <w:tc>
          <w:tcPr>
            <w:tcW w:w="624" w:type="pct"/>
            <w:tcBorders>
              <w:top w:val="nil"/>
              <w:left w:val="nil"/>
              <w:bottom w:val="nil"/>
              <w:right w:val="nil"/>
            </w:tcBorders>
            <w:shd w:val="clear" w:color="auto" w:fill="auto"/>
            <w:vAlign w:val="center"/>
            <w:hideMark/>
          </w:tcPr>
          <w:p w14:paraId="1D48D2CD" w14:textId="77777777" w:rsidR="00794EB9" w:rsidRPr="00794EB9" w:rsidRDefault="00794EB9" w:rsidP="00C307FB">
            <w:pPr>
              <w:rPr>
                <w:rFonts w:ascii="Arial" w:hAnsi="Arial" w:cs="Arial"/>
                <w:sz w:val="22"/>
                <w:szCs w:val="22"/>
                <w:lang w:eastAsia="es-MX"/>
              </w:rPr>
            </w:pPr>
          </w:p>
        </w:tc>
        <w:tc>
          <w:tcPr>
            <w:tcW w:w="127" w:type="pct"/>
            <w:tcBorders>
              <w:top w:val="nil"/>
              <w:left w:val="nil"/>
              <w:bottom w:val="nil"/>
              <w:right w:val="nil"/>
            </w:tcBorders>
            <w:shd w:val="clear" w:color="auto" w:fill="auto"/>
            <w:vAlign w:val="center"/>
            <w:hideMark/>
          </w:tcPr>
          <w:p w14:paraId="0DCBC96F" w14:textId="77777777" w:rsidR="00794EB9" w:rsidRPr="00794EB9" w:rsidRDefault="00794EB9" w:rsidP="00C307FB">
            <w:pPr>
              <w:jc w:val="center"/>
              <w:rPr>
                <w:rFonts w:ascii="Arial" w:hAnsi="Arial" w:cs="Arial"/>
                <w:sz w:val="22"/>
                <w:szCs w:val="22"/>
                <w:lang w:eastAsia="es-MX"/>
              </w:rPr>
            </w:pPr>
          </w:p>
        </w:tc>
        <w:tc>
          <w:tcPr>
            <w:tcW w:w="648" w:type="pct"/>
            <w:tcBorders>
              <w:top w:val="nil"/>
              <w:left w:val="nil"/>
              <w:bottom w:val="nil"/>
              <w:right w:val="nil"/>
            </w:tcBorders>
            <w:shd w:val="clear" w:color="auto" w:fill="auto"/>
            <w:vAlign w:val="center"/>
            <w:hideMark/>
          </w:tcPr>
          <w:p w14:paraId="5DFB5B53" w14:textId="77777777" w:rsidR="00794EB9" w:rsidRPr="00794EB9" w:rsidRDefault="00794EB9" w:rsidP="00C307FB">
            <w:pPr>
              <w:jc w:val="center"/>
              <w:rPr>
                <w:rFonts w:ascii="Arial" w:hAnsi="Arial" w:cs="Arial"/>
                <w:sz w:val="22"/>
                <w:szCs w:val="22"/>
                <w:lang w:eastAsia="es-MX"/>
              </w:rPr>
            </w:pPr>
          </w:p>
        </w:tc>
        <w:tc>
          <w:tcPr>
            <w:tcW w:w="131" w:type="pct"/>
            <w:tcBorders>
              <w:top w:val="nil"/>
              <w:left w:val="nil"/>
              <w:bottom w:val="nil"/>
              <w:right w:val="nil"/>
            </w:tcBorders>
            <w:shd w:val="clear" w:color="auto" w:fill="auto"/>
            <w:vAlign w:val="center"/>
            <w:hideMark/>
          </w:tcPr>
          <w:p w14:paraId="0EEB5B3E" w14:textId="77777777" w:rsidR="00794EB9" w:rsidRPr="00794EB9" w:rsidRDefault="00794EB9" w:rsidP="00C307FB">
            <w:pPr>
              <w:jc w:val="center"/>
              <w:rPr>
                <w:rFonts w:ascii="Arial" w:hAnsi="Arial" w:cs="Arial"/>
                <w:sz w:val="22"/>
                <w:szCs w:val="22"/>
                <w:lang w:eastAsia="es-MX"/>
              </w:rPr>
            </w:pPr>
          </w:p>
        </w:tc>
        <w:tc>
          <w:tcPr>
            <w:tcW w:w="852" w:type="pct"/>
            <w:tcBorders>
              <w:top w:val="nil"/>
              <w:left w:val="nil"/>
              <w:bottom w:val="nil"/>
              <w:right w:val="nil"/>
            </w:tcBorders>
            <w:shd w:val="clear" w:color="auto" w:fill="auto"/>
            <w:vAlign w:val="center"/>
            <w:hideMark/>
          </w:tcPr>
          <w:p w14:paraId="76181610" w14:textId="77777777" w:rsidR="00794EB9" w:rsidRPr="00794EB9" w:rsidRDefault="00794EB9" w:rsidP="00C307FB">
            <w:pPr>
              <w:jc w:val="center"/>
              <w:rPr>
                <w:rFonts w:ascii="Arial" w:hAnsi="Arial" w:cs="Arial"/>
                <w:sz w:val="22"/>
                <w:szCs w:val="22"/>
                <w:lang w:eastAsia="es-MX"/>
              </w:rPr>
            </w:pPr>
          </w:p>
        </w:tc>
        <w:tc>
          <w:tcPr>
            <w:tcW w:w="158" w:type="pct"/>
            <w:tcBorders>
              <w:top w:val="nil"/>
              <w:left w:val="nil"/>
              <w:bottom w:val="nil"/>
              <w:right w:val="nil"/>
            </w:tcBorders>
            <w:shd w:val="clear" w:color="auto" w:fill="auto"/>
            <w:vAlign w:val="center"/>
            <w:hideMark/>
          </w:tcPr>
          <w:p w14:paraId="15135B07" w14:textId="77777777" w:rsidR="00794EB9" w:rsidRPr="00794EB9" w:rsidRDefault="00794EB9" w:rsidP="00C307FB">
            <w:pPr>
              <w:jc w:val="center"/>
              <w:rPr>
                <w:rFonts w:ascii="Arial" w:hAnsi="Arial" w:cs="Arial"/>
                <w:sz w:val="22"/>
                <w:szCs w:val="22"/>
                <w:lang w:eastAsia="es-MX"/>
              </w:rPr>
            </w:pPr>
          </w:p>
        </w:tc>
        <w:tc>
          <w:tcPr>
            <w:tcW w:w="828" w:type="pct"/>
            <w:tcBorders>
              <w:top w:val="nil"/>
              <w:left w:val="nil"/>
              <w:bottom w:val="nil"/>
              <w:right w:val="nil"/>
            </w:tcBorders>
            <w:shd w:val="clear" w:color="auto" w:fill="auto"/>
            <w:vAlign w:val="center"/>
            <w:hideMark/>
          </w:tcPr>
          <w:p w14:paraId="2297CEB9" w14:textId="77777777" w:rsidR="00794EB9" w:rsidRPr="00794EB9" w:rsidRDefault="00794EB9" w:rsidP="00C307FB">
            <w:pPr>
              <w:jc w:val="center"/>
              <w:rPr>
                <w:rFonts w:ascii="Arial" w:hAnsi="Arial" w:cs="Arial"/>
                <w:sz w:val="22"/>
                <w:szCs w:val="22"/>
                <w:lang w:eastAsia="es-MX"/>
              </w:rPr>
            </w:pPr>
          </w:p>
        </w:tc>
      </w:tr>
      <w:tr w:rsidR="00794EB9" w:rsidRPr="00794EB9" w14:paraId="34CC8B44" w14:textId="77777777" w:rsidTr="00C307FB">
        <w:trPr>
          <w:trHeight w:val="1021"/>
        </w:trPr>
        <w:tc>
          <w:tcPr>
            <w:tcW w:w="6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7E213C"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Niveles bajos de capacitación de servidores públicos en áreas de atención</w:t>
            </w:r>
            <w:r w:rsidRPr="00794EB9">
              <w:rPr>
                <w:rFonts w:ascii="Arial" w:hAnsi="Arial" w:cs="Arial"/>
                <w:bCs/>
                <w:sz w:val="22"/>
                <w:szCs w:val="22"/>
                <w:lang w:eastAsia="es-MX"/>
              </w:rPr>
              <w:t xml:space="preserve">; 20% de los participantes de Escucha Ciudadana lo consideran  importante </w:t>
            </w:r>
          </w:p>
        </w:tc>
        <w:tc>
          <w:tcPr>
            <w:tcW w:w="127" w:type="pct"/>
            <w:tcBorders>
              <w:top w:val="nil"/>
              <w:left w:val="nil"/>
              <w:bottom w:val="nil"/>
              <w:right w:val="nil"/>
            </w:tcBorders>
            <w:shd w:val="clear" w:color="auto" w:fill="auto"/>
            <w:vAlign w:val="center"/>
            <w:hideMark/>
          </w:tcPr>
          <w:p w14:paraId="6CCDEDE2" w14:textId="77777777" w:rsidR="00794EB9" w:rsidRPr="00794EB9" w:rsidRDefault="00794EB9" w:rsidP="00C307FB">
            <w:pPr>
              <w:jc w:val="center"/>
              <w:rPr>
                <w:rFonts w:ascii="Arial" w:hAnsi="Arial" w:cs="Arial"/>
                <w:bCs/>
                <w:sz w:val="22"/>
                <w:szCs w:val="22"/>
                <w:lang w:eastAsia="es-MX"/>
              </w:rPr>
            </w:pPr>
          </w:p>
        </w:tc>
        <w:tc>
          <w:tcPr>
            <w:tcW w:w="7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2BF74E"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Oficinas y dependencias de atención al ciudadano concentradas</w:t>
            </w:r>
            <w:r w:rsidRPr="00794EB9">
              <w:rPr>
                <w:rFonts w:ascii="Arial" w:hAnsi="Arial" w:cs="Arial"/>
                <w:bCs/>
                <w:sz w:val="22"/>
                <w:szCs w:val="22"/>
                <w:lang w:eastAsia="es-MX"/>
              </w:rPr>
              <w:t xml:space="preserve"> en pocos sitios de la ciudad</w:t>
            </w:r>
          </w:p>
        </w:tc>
        <w:tc>
          <w:tcPr>
            <w:tcW w:w="94" w:type="pct"/>
            <w:tcBorders>
              <w:top w:val="nil"/>
              <w:left w:val="nil"/>
              <w:bottom w:val="nil"/>
              <w:right w:val="nil"/>
            </w:tcBorders>
            <w:shd w:val="clear" w:color="auto" w:fill="auto"/>
            <w:noWrap/>
            <w:vAlign w:val="bottom"/>
            <w:hideMark/>
          </w:tcPr>
          <w:p w14:paraId="38BB3D15" w14:textId="77777777" w:rsidR="00794EB9" w:rsidRPr="00794EB9" w:rsidRDefault="00794EB9" w:rsidP="00C307FB">
            <w:pPr>
              <w:jc w:val="center"/>
              <w:rPr>
                <w:rFonts w:ascii="Arial" w:hAnsi="Arial" w:cs="Arial"/>
                <w:bCs/>
                <w:sz w:val="22"/>
                <w:szCs w:val="22"/>
                <w:lang w:eastAsia="es-MX"/>
              </w:rPr>
            </w:pP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232EFE"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Corredores viales inseguros</w:t>
            </w:r>
            <w:r w:rsidRPr="00794EB9">
              <w:rPr>
                <w:rFonts w:ascii="Arial" w:hAnsi="Arial" w:cs="Arial"/>
                <w:bCs/>
                <w:sz w:val="22"/>
                <w:szCs w:val="22"/>
                <w:lang w:eastAsia="es-MX"/>
              </w:rPr>
              <w:t xml:space="preserve"> </w:t>
            </w:r>
          </w:p>
          <w:p w14:paraId="1ACE6A04"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Cs/>
                <w:sz w:val="22"/>
                <w:szCs w:val="22"/>
                <w:lang w:eastAsia="es-MX"/>
              </w:rPr>
              <w:t>En 2020 se registraron en León 3 mil 594 accidentes en la zona urbana</w:t>
            </w:r>
          </w:p>
        </w:tc>
        <w:tc>
          <w:tcPr>
            <w:tcW w:w="127" w:type="pct"/>
            <w:tcBorders>
              <w:top w:val="nil"/>
              <w:left w:val="nil"/>
              <w:bottom w:val="nil"/>
              <w:right w:val="nil"/>
            </w:tcBorders>
            <w:shd w:val="clear" w:color="auto" w:fill="auto"/>
            <w:vAlign w:val="center"/>
            <w:hideMark/>
          </w:tcPr>
          <w:p w14:paraId="7BC5E794" w14:textId="77777777" w:rsidR="00794EB9" w:rsidRPr="00794EB9" w:rsidRDefault="00794EB9" w:rsidP="00C307FB">
            <w:pPr>
              <w:jc w:val="center"/>
              <w:rPr>
                <w:rFonts w:ascii="Arial" w:hAnsi="Arial" w:cs="Arial"/>
                <w:bCs/>
                <w:sz w:val="22"/>
                <w:szCs w:val="22"/>
                <w:lang w:eastAsia="es-MX"/>
              </w:rPr>
            </w:pP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521E96"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Rutas de transporte con largos recorridos</w:t>
            </w:r>
            <w:r w:rsidRPr="00794EB9">
              <w:rPr>
                <w:rFonts w:ascii="Arial" w:hAnsi="Arial" w:cs="Arial"/>
                <w:bCs/>
                <w:sz w:val="22"/>
                <w:szCs w:val="22"/>
                <w:lang w:eastAsia="es-MX"/>
              </w:rPr>
              <w:t xml:space="preserve"> y un tiempo promedio de origen destino de  53.5 minutos </w:t>
            </w:r>
          </w:p>
        </w:tc>
        <w:tc>
          <w:tcPr>
            <w:tcW w:w="131" w:type="pct"/>
            <w:tcBorders>
              <w:top w:val="nil"/>
              <w:left w:val="nil"/>
              <w:bottom w:val="nil"/>
              <w:right w:val="nil"/>
            </w:tcBorders>
            <w:shd w:val="clear" w:color="auto" w:fill="auto"/>
            <w:vAlign w:val="center"/>
            <w:hideMark/>
          </w:tcPr>
          <w:p w14:paraId="536C4A37" w14:textId="77777777" w:rsidR="00794EB9" w:rsidRPr="00794EB9" w:rsidRDefault="00794EB9" w:rsidP="00C307FB">
            <w:pPr>
              <w:jc w:val="center"/>
              <w:rPr>
                <w:rFonts w:ascii="Arial" w:hAnsi="Arial" w:cs="Arial"/>
                <w:bCs/>
                <w:sz w:val="22"/>
                <w:szCs w:val="22"/>
                <w:lang w:eastAsia="es-MX"/>
              </w:rPr>
            </w:pPr>
          </w:p>
        </w:tc>
        <w:tc>
          <w:tcPr>
            <w:tcW w:w="8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680535"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Seguridad reactiva sin un adecuado involucramiento ciudadano</w:t>
            </w:r>
            <w:r w:rsidRPr="00794EB9">
              <w:rPr>
                <w:rFonts w:ascii="Arial" w:hAnsi="Arial" w:cs="Arial"/>
                <w:bCs/>
                <w:sz w:val="22"/>
                <w:szCs w:val="22"/>
                <w:lang w:eastAsia="es-MX"/>
              </w:rPr>
              <w:t xml:space="preserve">; 52% de los habitantes de 18 años y más consideran que la policía no está capacitada para acercarse al ciudadano </w:t>
            </w:r>
          </w:p>
        </w:tc>
        <w:tc>
          <w:tcPr>
            <w:tcW w:w="158" w:type="pct"/>
            <w:tcBorders>
              <w:top w:val="nil"/>
              <w:left w:val="nil"/>
              <w:bottom w:val="nil"/>
              <w:right w:val="nil"/>
            </w:tcBorders>
            <w:shd w:val="clear" w:color="auto" w:fill="auto"/>
            <w:vAlign w:val="center"/>
            <w:hideMark/>
          </w:tcPr>
          <w:p w14:paraId="3D9CAB4E" w14:textId="77777777" w:rsidR="00794EB9" w:rsidRPr="00794EB9" w:rsidRDefault="00794EB9" w:rsidP="00C307FB">
            <w:pPr>
              <w:jc w:val="center"/>
              <w:rPr>
                <w:rFonts w:ascii="Arial" w:hAnsi="Arial" w:cs="Arial"/>
                <w:bCs/>
                <w:sz w:val="22"/>
                <w:szCs w:val="22"/>
                <w:lang w:eastAsia="es-MX"/>
              </w:rPr>
            </w:pP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649C4A"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Desconocimiento de eventos turísticos, artísticos y culturales y de las modalidades de los mismos</w:t>
            </w:r>
          </w:p>
        </w:tc>
      </w:tr>
      <w:tr w:rsidR="00794EB9" w:rsidRPr="00794EB9" w14:paraId="298DD6CF" w14:textId="77777777" w:rsidTr="00C307FB">
        <w:trPr>
          <w:trHeight w:val="53"/>
        </w:trPr>
        <w:tc>
          <w:tcPr>
            <w:tcW w:w="662" w:type="pct"/>
            <w:tcBorders>
              <w:top w:val="nil"/>
              <w:left w:val="nil"/>
              <w:bottom w:val="nil"/>
              <w:right w:val="nil"/>
            </w:tcBorders>
            <w:shd w:val="clear" w:color="auto" w:fill="auto"/>
            <w:vAlign w:val="center"/>
            <w:hideMark/>
          </w:tcPr>
          <w:p w14:paraId="26077504" w14:textId="77777777" w:rsidR="00794EB9" w:rsidRPr="00794EB9" w:rsidRDefault="00794EB9" w:rsidP="00C307FB">
            <w:pPr>
              <w:jc w:val="center"/>
              <w:rPr>
                <w:rFonts w:ascii="Arial" w:hAnsi="Arial" w:cs="Arial"/>
                <w:bCs/>
                <w:sz w:val="22"/>
                <w:szCs w:val="22"/>
                <w:lang w:eastAsia="es-MX"/>
              </w:rPr>
            </w:pPr>
          </w:p>
        </w:tc>
        <w:tc>
          <w:tcPr>
            <w:tcW w:w="127" w:type="pct"/>
            <w:tcBorders>
              <w:top w:val="nil"/>
              <w:left w:val="nil"/>
              <w:bottom w:val="nil"/>
              <w:right w:val="nil"/>
            </w:tcBorders>
            <w:shd w:val="clear" w:color="auto" w:fill="auto"/>
            <w:vAlign w:val="center"/>
            <w:hideMark/>
          </w:tcPr>
          <w:p w14:paraId="0720CE9B" w14:textId="77777777" w:rsidR="00794EB9" w:rsidRPr="00794EB9" w:rsidRDefault="00794EB9" w:rsidP="00C307FB">
            <w:pPr>
              <w:jc w:val="center"/>
              <w:rPr>
                <w:rFonts w:ascii="Arial" w:hAnsi="Arial" w:cs="Arial"/>
                <w:sz w:val="22"/>
                <w:szCs w:val="22"/>
                <w:lang w:eastAsia="es-MX"/>
              </w:rPr>
            </w:pPr>
          </w:p>
        </w:tc>
        <w:tc>
          <w:tcPr>
            <w:tcW w:w="752" w:type="pct"/>
            <w:tcBorders>
              <w:top w:val="nil"/>
              <w:left w:val="nil"/>
              <w:bottom w:val="nil"/>
              <w:right w:val="nil"/>
            </w:tcBorders>
            <w:shd w:val="clear" w:color="auto" w:fill="auto"/>
            <w:vAlign w:val="center"/>
            <w:hideMark/>
          </w:tcPr>
          <w:p w14:paraId="10A2D3F9" w14:textId="77777777" w:rsidR="00794EB9" w:rsidRPr="00794EB9" w:rsidRDefault="00794EB9" w:rsidP="00C307FB">
            <w:pPr>
              <w:jc w:val="center"/>
              <w:rPr>
                <w:rFonts w:ascii="Arial" w:hAnsi="Arial" w:cs="Arial"/>
                <w:sz w:val="22"/>
                <w:szCs w:val="22"/>
                <w:lang w:eastAsia="es-MX"/>
              </w:rPr>
            </w:pPr>
          </w:p>
        </w:tc>
        <w:tc>
          <w:tcPr>
            <w:tcW w:w="94" w:type="pct"/>
            <w:tcBorders>
              <w:top w:val="nil"/>
              <w:left w:val="nil"/>
              <w:bottom w:val="nil"/>
              <w:right w:val="nil"/>
            </w:tcBorders>
            <w:shd w:val="clear" w:color="auto" w:fill="auto"/>
            <w:noWrap/>
            <w:vAlign w:val="bottom"/>
            <w:hideMark/>
          </w:tcPr>
          <w:p w14:paraId="51AAABC2" w14:textId="77777777" w:rsidR="00794EB9" w:rsidRPr="00794EB9" w:rsidRDefault="00794EB9" w:rsidP="00C307FB">
            <w:pPr>
              <w:jc w:val="center"/>
              <w:rPr>
                <w:rFonts w:ascii="Arial" w:hAnsi="Arial" w:cs="Arial"/>
                <w:sz w:val="22"/>
                <w:szCs w:val="22"/>
                <w:lang w:eastAsia="es-MX"/>
              </w:rPr>
            </w:pPr>
          </w:p>
        </w:tc>
        <w:tc>
          <w:tcPr>
            <w:tcW w:w="624" w:type="pct"/>
            <w:tcBorders>
              <w:top w:val="nil"/>
              <w:left w:val="nil"/>
              <w:bottom w:val="nil"/>
              <w:right w:val="nil"/>
            </w:tcBorders>
            <w:shd w:val="clear" w:color="auto" w:fill="auto"/>
            <w:vAlign w:val="center"/>
            <w:hideMark/>
          </w:tcPr>
          <w:p w14:paraId="1B8C0313" w14:textId="77777777" w:rsidR="00794EB9" w:rsidRPr="00794EB9" w:rsidRDefault="00794EB9" w:rsidP="00C307FB">
            <w:pPr>
              <w:rPr>
                <w:rFonts w:ascii="Arial" w:hAnsi="Arial" w:cs="Arial"/>
                <w:sz w:val="22"/>
                <w:szCs w:val="22"/>
                <w:lang w:eastAsia="es-MX"/>
              </w:rPr>
            </w:pPr>
          </w:p>
        </w:tc>
        <w:tc>
          <w:tcPr>
            <w:tcW w:w="127" w:type="pct"/>
            <w:tcBorders>
              <w:top w:val="nil"/>
              <w:left w:val="nil"/>
              <w:bottom w:val="nil"/>
              <w:right w:val="nil"/>
            </w:tcBorders>
            <w:shd w:val="clear" w:color="auto" w:fill="auto"/>
            <w:vAlign w:val="center"/>
            <w:hideMark/>
          </w:tcPr>
          <w:p w14:paraId="655EC252" w14:textId="77777777" w:rsidR="00794EB9" w:rsidRPr="00794EB9" w:rsidRDefault="00794EB9" w:rsidP="00C307FB">
            <w:pPr>
              <w:jc w:val="center"/>
              <w:rPr>
                <w:rFonts w:ascii="Arial" w:hAnsi="Arial" w:cs="Arial"/>
                <w:sz w:val="22"/>
                <w:szCs w:val="22"/>
                <w:lang w:eastAsia="es-MX"/>
              </w:rPr>
            </w:pPr>
          </w:p>
        </w:tc>
        <w:tc>
          <w:tcPr>
            <w:tcW w:w="648" w:type="pct"/>
            <w:tcBorders>
              <w:top w:val="nil"/>
              <w:left w:val="nil"/>
              <w:bottom w:val="nil"/>
              <w:right w:val="nil"/>
            </w:tcBorders>
            <w:shd w:val="clear" w:color="auto" w:fill="auto"/>
            <w:vAlign w:val="center"/>
            <w:hideMark/>
          </w:tcPr>
          <w:p w14:paraId="7F51BC7F" w14:textId="77777777" w:rsidR="00794EB9" w:rsidRPr="00794EB9" w:rsidRDefault="00794EB9" w:rsidP="00C307FB">
            <w:pPr>
              <w:jc w:val="center"/>
              <w:rPr>
                <w:rFonts w:ascii="Arial" w:hAnsi="Arial" w:cs="Arial"/>
                <w:sz w:val="22"/>
                <w:szCs w:val="22"/>
                <w:lang w:eastAsia="es-MX"/>
              </w:rPr>
            </w:pPr>
          </w:p>
        </w:tc>
        <w:tc>
          <w:tcPr>
            <w:tcW w:w="131" w:type="pct"/>
            <w:tcBorders>
              <w:top w:val="nil"/>
              <w:left w:val="nil"/>
              <w:bottom w:val="nil"/>
              <w:right w:val="nil"/>
            </w:tcBorders>
            <w:shd w:val="clear" w:color="auto" w:fill="auto"/>
            <w:vAlign w:val="center"/>
            <w:hideMark/>
          </w:tcPr>
          <w:p w14:paraId="7DB945E0" w14:textId="77777777" w:rsidR="00794EB9" w:rsidRPr="00794EB9" w:rsidRDefault="00794EB9" w:rsidP="00C307FB">
            <w:pPr>
              <w:jc w:val="center"/>
              <w:rPr>
                <w:rFonts w:ascii="Arial" w:hAnsi="Arial" w:cs="Arial"/>
                <w:sz w:val="22"/>
                <w:szCs w:val="22"/>
                <w:lang w:eastAsia="es-MX"/>
              </w:rPr>
            </w:pPr>
          </w:p>
        </w:tc>
        <w:tc>
          <w:tcPr>
            <w:tcW w:w="852" w:type="pct"/>
            <w:tcBorders>
              <w:top w:val="nil"/>
              <w:left w:val="nil"/>
              <w:bottom w:val="nil"/>
              <w:right w:val="nil"/>
            </w:tcBorders>
            <w:shd w:val="clear" w:color="auto" w:fill="auto"/>
            <w:vAlign w:val="center"/>
            <w:hideMark/>
          </w:tcPr>
          <w:p w14:paraId="47BA9863" w14:textId="77777777" w:rsidR="00794EB9" w:rsidRPr="00794EB9" w:rsidRDefault="00794EB9" w:rsidP="00C307FB">
            <w:pPr>
              <w:jc w:val="center"/>
              <w:rPr>
                <w:rFonts w:ascii="Arial" w:hAnsi="Arial" w:cs="Arial"/>
                <w:sz w:val="22"/>
                <w:szCs w:val="22"/>
                <w:lang w:eastAsia="es-MX"/>
              </w:rPr>
            </w:pPr>
          </w:p>
        </w:tc>
        <w:tc>
          <w:tcPr>
            <w:tcW w:w="158" w:type="pct"/>
            <w:tcBorders>
              <w:top w:val="nil"/>
              <w:left w:val="nil"/>
              <w:bottom w:val="nil"/>
              <w:right w:val="nil"/>
            </w:tcBorders>
            <w:shd w:val="clear" w:color="auto" w:fill="auto"/>
            <w:vAlign w:val="center"/>
            <w:hideMark/>
          </w:tcPr>
          <w:p w14:paraId="5C74EB19" w14:textId="77777777" w:rsidR="00794EB9" w:rsidRPr="00794EB9" w:rsidRDefault="00794EB9" w:rsidP="00C307FB">
            <w:pPr>
              <w:jc w:val="center"/>
              <w:rPr>
                <w:rFonts w:ascii="Arial" w:hAnsi="Arial" w:cs="Arial"/>
                <w:sz w:val="22"/>
                <w:szCs w:val="22"/>
                <w:lang w:eastAsia="es-MX"/>
              </w:rPr>
            </w:pPr>
          </w:p>
        </w:tc>
        <w:tc>
          <w:tcPr>
            <w:tcW w:w="828" w:type="pct"/>
            <w:tcBorders>
              <w:top w:val="nil"/>
              <w:left w:val="nil"/>
              <w:bottom w:val="nil"/>
              <w:right w:val="nil"/>
            </w:tcBorders>
            <w:shd w:val="clear" w:color="auto" w:fill="auto"/>
            <w:vAlign w:val="center"/>
            <w:hideMark/>
          </w:tcPr>
          <w:p w14:paraId="0C6C15D2" w14:textId="77777777" w:rsidR="00794EB9" w:rsidRPr="00794EB9" w:rsidRDefault="00794EB9" w:rsidP="00C307FB">
            <w:pPr>
              <w:jc w:val="center"/>
              <w:rPr>
                <w:rFonts w:ascii="Arial" w:hAnsi="Arial" w:cs="Arial"/>
                <w:sz w:val="22"/>
                <w:szCs w:val="22"/>
                <w:lang w:eastAsia="es-MX"/>
              </w:rPr>
            </w:pPr>
          </w:p>
        </w:tc>
      </w:tr>
      <w:tr w:rsidR="00794EB9" w:rsidRPr="00794EB9" w14:paraId="066D32E3" w14:textId="77777777" w:rsidTr="00C307FB">
        <w:trPr>
          <w:trHeight w:val="756"/>
        </w:trPr>
        <w:tc>
          <w:tcPr>
            <w:tcW w:w="6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767B8C"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Desarticulación y ausencia de información en la toma de decisiones y en la prestación de servicios públicos municipales</w:t>
            </w:r>
          </w:p>
        </w:tc>
        <w:tc>
          <w:tcPr>
            <w:tcW w:w="127" w:type="pct"/>
            <w:tcBorders>
              <w:top w:val="nil"/>
              <w:left w:val="nil"/>
              <w:bottom w:val="nil"/>
              <w:right w:val="nil"/>
            </w:tcBorders>
            <w:shd w:val="clear" w:color="auto" w:fill="auto"/>
            <w:vAlign w:val="center"/>
            <w:hideMark/>
          </w:tcPr>
          <w:p w14:paraId="796E741C" w14:textId="77777777" w:rsidR="00794EB9" w:rsidRPr="00794EB9" w:rsidRDefault="00794EB9" w:rsidP="00C307FB">
            <w:pPr>
              <w:jc w:val="center"/>
              <w:rPr>
                <w:rFonts w:ascii="Arial" w:hAnsi="Arial" w:cs="Arial"/>
                <w:bCs/>
                <w:sz w:val="22"/>
                <w:szCs w:val="22"/>
                <w:lang w:eastAsia="es-MX"/>
              </w:rPr>
            </w:pPr>
          </w:p>
        </w:tc>
        <w:tc>
          <w:tcPr>
            <w:tcW w:w="7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69569A"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Limitada atención de demandas ciudadanas y horarios en la prestación de servicios</w:t>
            </w:r>
          </w:p>
        </w:tc>
        <w:tc>
          <w:tcPr>
            <w:tcW w:w="94" w:type="pct"/>
            <w:tcBorders>
              <w:top w:val="nil"/>
              <w:left w:val="nil"/>
              <w:bottom w:val="nil"/>
              <w:right w:val="nil"/>
            </w:tcBorders>
            <w:shd w:val="clear" w:color="auto" w:fill="auto"/>
            <w:noWrap/>
            <w:vAlign w:val="bottom"/>
            <w:hideMark/>
          </w:tcPr>
          <w:p w14:paraId="6D2C124E" w14:textId="77777777" w:rsidR="00794EB9" w:rsidRPr="00794EB9" w:rsidRDefault="00794EB9" w:rsidP="00C307FB">
            <w:pPr>
              <w:jc w:val="center"/>
              <w:rPr>
                <w:rFonts w:ascii="Arial" w:hAnsi="Arial" w:cs="Arial"/>
                <w:bCs/>
                <w:sz w:val="22"/>
                <w:szCs w:val="22"/>
                <w:lang w:eastAsia="es-MX"/>
              </w:rPr>
            </w:pP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C73BA9"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Urbanismo reactivo con espacios limitados para la participación ciudadana</w:t>
            </w:r>
          </w:p>
        </w:tc>
        <w:tc>
          <w:tcPr>
            <w:tcW w:w="127" w:type="pct"/>
            <w:tcBorders>
              <w:top w:val="nil"/>
              <w:left w:val="nil"/>
              <w:bottom w:val="nil"/>
              <w:right w:val="nil"/>
            </w:tcBorders>
            <w:shd w:val="clear" w:color="auto" w:fill="auto"/>
            <w:vAlign w:val="center"/>
            <w:hideMark/>
          </w:tcPr>
          <w:p w14:paraId="4C48B004" w14:textId="77777777" w:rsidR="00794EB9" w:rsidRPr="00794EB9" w:rsidRDefault="00794EB9" w:rsidP="00C307FB">
            <w:pPr>
              <w:jc w:val="center"/>
              <w:rPr>
                <w:rFonts w:ascii="Arial" w:hAnsi="Arial" w:cs="Arial"/>
                <w:bCs/>
                <w:sz w:val="22"/>
                <w:szCs w:val="22"/>
                <w:lang w:eastAsia="es-MX"/>
              </w:rPr>
            </w:pP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955954"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Operación limitada del SIT</w:t>
            </w:r>
          </w:p>
        </w:tc>
        <w:tc>
          <w:tcPr>
            <w:tcW w:w="131" w:type="pct"/>
            <w:tcBorders>
              <w:top w:val="nil"/>
              <w:left w:val="nil"/>
              <w:bottom w:val="nil"/>
              <w:right w:val="nil"/>
            </w:tcBorders>
            <w:shd w:val="clear" w:color="auto" w:fill="auto"/>
            <w:vAlign w:val="center"/>
            <w:hideMark/>
          </w:tcPr>
          <w:p w14:paraId="4B90B71E" w14:textId="77777777" w:rsidR="00794EB9" w:rsidRPr="00794EB9" w:rsidRDefault="00794EB9" w:rsidP="00C307FB">
            <w:pPr>
              <w:jc w:val="center"/>
              <w:rPr>
                <w:rFonts w:ascii="Arial" w:hAnsi="Arial" w:cs="Arial"/>
                <w:bCs/>
                <w:sz w:val="22"/>
                <w:szCs w:val="22"/>
                <w:lang w:eastAsia="es-MX"/>
              </w:rPr>
            </w:pPr>
          </w:p>
        </w:tc>
        <w:tc>
          <w:tcPr>
            <w:tcW w:w="8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CDDE4E"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Baja percepción de calidad de la corporación y la operatividad de seguridad</w:t>
            </w:r>
            <w:r w:rsidRPr="00794EB9">
              <w:rPr>
                <w:rFonts w:ascii="Arial" w:hAnsi="Arial" w:cs="Arial"/>
                <w:bCs/>
                <w:sz w:val="22"/>
                <w:szCs w:val="22"/>
                <w:lang w:eastAsia="es-MX"/>
              </w:rPr>
              <w:t>; el 79.6% de los habitantes de 18 años y más considera que es inseguro vivir en León</w:t>
            </w:r>
          </w:p>
        </w:tc>
        <w:tc>
          <w:tcPr>
            <w:tcW w:w="158" w:type="pct"/>
            <w:tcBorders>
              <w:top w:val="nil"/>
              <w:left w:val="nil"/>
              <w:bottom w:val="nil"/>
              <w:right w:val="nil"/>
            </w:tcBorders>
            <w:shd w:val="clear" w:color="auto" w:fill="auto"/>
            <w:vAlign w:val="center"/>
            <w:hideMark/>
          </w:tcPr>
          <w:p w14:paraId="39D61919" w14:textId="77777777" w:rsidR="00794EB9" w:rsidRPr="00794EB9" w:rsidRDefault="00794EB9" w:rsidP="00C307FB">
            <w:pPr>
              <w:jc w:val="center"/>
              <w:rPr>
                <w:rFonts w:ascii="Arial" w:hAnsi="Arial" w:cs="Arial"/>
                <w:bCs/>
                <w:sz w:val="22"/>
                <w:szCs w:val="22"/>
                <w:lang w:eastAsia="es-MX"/>
              </w:rPr>
            </w:pP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8DA7DA"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Baja valoración y deterioro del patrimonio cultural</w:t>
            </w:r>
          </w:p>
        </w:tc>
      </w:tr>
    </w:tbl>
    <w:p w14:paraId="2645D607" w14:textId="77777777" w:rsidR="00794EB9" w:rsidRPr="00794EB9" w:rsidRDefault="00794EB9" w:rsidP="00794EB9">
      <w:pPr>
        <w:rPr>
          <w:rFonts w:ascii="Arial" w:hAnsi="Arial" w:cs="Arial"/>
          <w:b/>
          <w:bCs/>
          <w:sz w:val="22"/>
          <w:szCs w:val="22"/>
        </w:rPr>
      </w:pPr>
    </w:p>
    <w:p w14:paraId="6030A0C9" w14:textId="77777777" w:rsidR="00794EB9" w:rsidRPr="00794EB9" w:rsidRDefault="00794EB9" w:rsidP="00794EB9">
      <w:pPr>
        <w:rPr>
          <w:rFonts w:ascii="Arial" w:hAnsi="Arial" w:cs="Arial"/>
          <w:b/>
          <w:bCs/>
          <w:sz w:val="22"/>
          <w:szCs w:val="22"/>
        </w:rPr>
      </w:pPr>
      <w:r w:rsidRPr="00794EB9">
        <w:rPr>
          <w:rFonts w:ascii="Arial" w:hAnsi="Arial" w:cs="Arial"/>
          <w:b/>
          <w:bCs/>
          <w:sz w:val="22"/>
          <w:szCs w:val="22"/>
        </w:rPr>
        <w:br w:type="page"/>
      </w:r>
    </w:p>
    <w:p w14:paraId="44951B7B" w14:textId="77777777" w:rsidR="00794EB9" w:rsidRPr="00794EB9" w:rsidRDefault="00794EB9" w:rsidP="00794EB9">
      <w:pPr>
        <w:rPr>
          <w:rFonts w:ascii="Arial" w:hAnsi="Arial" w:cs="Arial"/>
          <w:sz w:val="22"/>
          <w:szCs w:val="22"/>
        </w:rPr>
      </w:pPr>
    </w:p>
    <w:p w14:paraId="274C1D12" w14:textId="77777777" w:rsidR="00794EB9" w:rsidRPr="00794EB9" w:rsidRDefault="00794EB9" w:rsidP="00794EB9">
      <w:pPr>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381"/>
        <w:gridCol w:w="250"/>
        <w:gridCol w:w="1224"/>
        <w:gridCol w:w="368"/>
        <w:gridCol w:w="1545"/>
        <w:gridCol w:w="368"/>
        <w:gridCol w:w="1647"/>
        <w:gridCol w:w="397"/>
        <w:gridCol w:w="1648"/>
      </w:tblGrid>
      <w:tr w:rsidR="00794EB9" w:rsidRPr="00794EB9" w14:paraId="69458EFE" w14:textId="77777777" w:rsidTr="00C307FB">
        <w:trPr>
          <w:trHeight w:val="65"/>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E03F7C8"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VULNERABILIDAD ANTE LA CRISIS SANITARIA Y EL CONTEXTO AMBIENTAL</w:t>
            </w:r>
          </w:p>
        </w:tc>
      </w:tr>
      <w:tr w:rsidR="00794EB9" w:rsidRPr="00794EB9" w14:paraId="51E58781" w14:textId="77777777" w:rsidTr="00C307FB">
        <w:trPr>
          <w:trHeight w:val="65"/>
        </w:trPr>
        <w:tc>
          <w:tcPr>
            <w:tcW w:w="795" w:type="pct"/>
            <w:tcBorders>
              <w:top w:val="nil"/>
              <w:left w:val="nil"/>
              <w:bottom w:val="nil"/>
              <w:right w:val="nil"/>
            </w:tcBorders>
            <w:shd w:val="clear" w:color="auto" w:fill="auto"/>
            <w:noWrap/>
            <w:vAlign w:val="bottom"/>
            <w:hideMark/>
          </w:tcPr>
          <w:p w14:paraId="2C8B9039" w14:textId="77777777" w:rsidR="00794EB9" w:rsidRPr="00794EB9" w:rsidRDefault="00794EB9" w:rsidP="00C307FB">
            <w:pPr>
              <w:jc w:val="center"/>
              <w:rPr>
                <w:rFonts w:ascii="Arial" w:hAnsi="Arial" w:cs="Arial"/>
                <w:b/>
                <w:bCs/>
                <w:sz w:val="22"/>
                <w:szCs w:val="22"/>
                <w:lang w:eastAsia="es-MX"/>
              </w:rPr>
            </w:pPr>
          </w:p>
        </w:tc>
        <w:tc>
          <w:tcPr>
            <w:tcW w:w="118" w:type="pct"/>
            <w:tcBorders>
              <w:top w:val="nil"/>
              <w:left w:val="nil"/>
              <w:bottom w:val="nil"/>
              <w:right w:val="nil"/>
            </w:tcBorders>
            <w:shd w:val="clear" w:color="auto" w:fill="auto"/>
            <w:noWrap/>
            <w:vAlign w:val="bottom"/>
            <w:hideMark/>
          </w:tcPr>
          <w:p w14:paraId="0128AE68" w14:textId="77777777" w:rsidR="00794EB9" w:rsidRPr="00794EB9" w:rsidRDefault="00794EB9" w:rsidP="00C307FB">
            <w:pPr>
              <w:rPr>
                <w:rFonts w:ascii="Arial" w:hAnsi="Arial" w:cs="Arial"/>
                <w:sz w:val="22"/>
                <w:szCs w:val="22"/>
                <w:lang w:eastAsia="es-MX"/>
              </w:rPr>
            </w:pPr>
          </w:p>
        </w:tc>
        <w:tc>
          <w:tcPr>
            <w:tcW w:w="700" w:type="pct"/>
            <w:tcBorders>
              <w:top w:val="nil"/>
              <w:left w:val="nil"/>
              <w:bottom w:val="nil"/>
              <w:right w:val="nil"/>
            </w:tcBorders>
            <w:shd w:val="clear" w:color="auto" w:fill="auto"/>
            <w:noWrap/>
            <w:vAlign w:val="bottom"/>
            <w:hideMark/>
          </w:tcPr>
          <w:p w14:paraId="10B77B24" w14:textId="77777777" w:rsidR="00794EB9" w:rsidRPr="00794EB9" w:rsidRDefault="00794EB9" w:rsidP="00C307FB">
            <w:pPr>
              <w:rPr>
                <w:rFonts w:ascii="Arial" w:hAnsi="Arial" w:cs="Arial"/>
                <w:sz w:val="22"/>
                <w:szCs w:val="22"/>
                <w:lang w:eastAsia="es-MX"/>
              </w:rPr>
            </w:pPr>
          </w:p>
        </w:tc>
        <w:tc>
          <w:tcPr>
            <w:tcW w:w="189" w:type="pct"/>
            <w:tcBorders>
              <w:top w:val="nil"/>
              <w:left w:val="nil"/>
              <w:bottom w:val="nil"/>
              <w:right w:val="nil"/>
            </w:tcBorders>
            <w:shd w:val="clear" w:color="auto" w:fill="auto"/>
            <w:noWrap/>
            <w:vAlign w:val="bottom"/>
            <w:hideMark/>
          </w:tcPr>
          <w:p w14:paraId="69FBBFC3" w14:textId="77777777" w:rsidR="00794EB9" w:rsidRPr="00794EB9" w:rsidRDefault="00794EB9" w:rsidP="00C307FB">
            <w:pPr>
              <w:rPr>
                <w:rFonts w:ascii="Arial" w:hAnsi="Arial" w:cs="Arial"/>
                <w:sz w:val="22"/>
                <w:szCs w:val="22"/>
                <w:lang w:eastAsia="es-MX"/>
              </w:rPr>
            </w:pPr>
          </w:p>
        </w:tc>
        <w:tc>
          <w:tcPr>
            <w:tcW w:w="893" w:type="pct"/>
            <w:tcBorders>
              <w:top w:val="nil"/>
              <w:left w:val="nil"/>
              <w:bottom w:val="nil"/>
              <w:right w:val="nil"/>
            </w:tcBorders>
            <w:shd w:val="clear" w:color="auto" w:fill="auto"/>
            <w:noWrap/>
            <w:vAlign w:val="bottom"/>
            <w:hideMark/>
          </w:tcPr>
          <w:p w14:paraId="79F87D35" w14:textId="77777777" w:rsidR="00794EB9" w:rsidRPr="00794EB9" w:rsidRDefault="00794EB9" w:rsidP="00C307FB">
            <w:pPr>
              <w:rPr>
                <w:rFonts w:ascii="Arial" w:hAnsi="Arial" w:cs="Arial"/>
                <w:sz w:val="22"/>
                <w:szCs w:val="22"/>
                <w:lang w:eastAsia="es-MX"/>
              </w:rPr>
            </w:pPr>
          </w:p>
        </w:tc>
        <w:tc>
          <w:tcPr>
            <w:tcW w:w="189" w:type="pct"/>
            <w:tcBorders>
              <w:top w:val="nil"/>
              <w:left w:val="nil"/>
              <w:bottom w:val="nil"/>
              <w:right w:val="nil"/>
            </w:tcBorders>
            <w:shd w:val="clear" w:color="auto" w:fill="auto"/>
            <w:noWrap/>
            <w:vAlign w:val="bottom"/>
            <w:hideMark/>
          </w:tcPr>
          <w:p w14:paraId="4CE848D9" w14:textId="77777777" w:rsidR="00794EB9" w:rsidRPr="00794EB9" w:rsidRDefault="00794EB9" w:rsidP="00C307FB">
            <w:pPr>
              <w:rPr>
                <w:rFonts w:ascii="Arial" w:hAnsi="Arial" w:cs="Arial"/>
                <w:sz w:val="22"/>
                <w:szCs w:val="22"/>
                <w:lang w:eastAsia="es-MX"/>
              </w:rPr>
            </w:pPr>
          </w:p>
        </w:tc>
        <w:tc>
          <w:tcPr>
            <w:tcW w:w="954" w:type="pct"/>
            <w:tcBorders>
              <w:top w:val="nil"/>
              <w:left w:val="nil"/>
              <w:bottom w:val="nil"/>
              <w:right w:val="nil"/>
            </w:tcBorders>
            <w:shd w:val="clear" w:color="auto" w:fill="auto"/>
            <w:noWrap/>
            <w:vAlign w:val="bottom"/>
            <w:hideMark/>
          </w:tcPr>
          <w:p w14:paraId="063F8A92" w14:textId="77777777" w:rsidR="00794EB9" w:rsidRPr="00794EB9" w:rsidRDefault="00794EB9" w:rsidP="00C307FB">
            <w:pPr>
              <w:rPr>
                <w:rFonts w:ascii="Arial" w:hAnsi="Arial" w:cs="Arial"/>
                <w:sz w:val="22"/>
                <w:szCs w:val="22"/>
                <w:lang w:eastAsia="es-MX"/>
              </w:rPr>
            </w:pPr>
          </w:p>
        </w:tc>
        <w:tc>
          <w:tcPr>
            <w:tcW w:w="206" w:type="pct"/>
            <w:tcBorders>
              <w:top w:val="nil"/>
              <w:left w:val="nil"/>
              <w:bottom w:val="nil"/>
              <w:right w:val="nil"/>
            </w:tcBorders>
            <w:shd w:val="clear" w:color="auto" w:fill="auto"/>
            <w:noWrap/>
            <w:vAlign w:val="bottom"/>
            <w:hideMark/>
          </w:tcPr>
          <w:p w14:paraId="4EB3BF6E" w14:textId="77777777" w:rsidR="00794EB9" w:rsidRPr="00794EB9" w:rsidRDefault="00794EB9" w:rsidP="00C307FB">
            <w:pPr>
              <w:rPr>
                <w:rFonts w:ascii="Arial" w:hAnsi="Arial" w:cs="Arial"/>
                <w:sz w:val="22"/>
                <w:szCs w:val="22"/>
                <w:lang w:eastAsia="es-MX"/>
              </w:rPr>
            </w:pPr>
          </w:p>
        </w:tc>
        <w:tc>
          <w:tcPr>
            <w:tcW w:w="954" w:type="pct"/>
            <w:tcBorders>
              <w:top w:val="nil"/>
              <w:left w:val="nil"/>
              <w:bottom w:val="nil"/>
              <w:right w:val="nil"/>
            </w:tcBorders>
            <w:shd w:val="clear" w:color="auto" w:fill="auto"/>
            <w:noWrap/>
            <w:vAlign w:val="bottom"/>
            <w:hideMark/>
          </w:tcPr>
          <w:p w14:paraId="60C3C83C" w14:textId="77777777" w:rsidR="00794EB9" w:rsidRPr="00794EB9" w:rsidRDefault="00794EB9" w:rsidP="00C307FB">
            <w:pPr>
              <w:rPr>
                <w:rFonts w:ascii="Arial" w:hAnsi="Arial" w:cs="Arial"/>
                <w:sz w:val="22"/>
                <w:szCs w:val="22"/>
                <w:lang w:eastAsia="es-MX"/>
              </w:rPr>
            </w:pPr>
          </w:p>
        </w:tc>
      </w:tr>
      <w:tr w:rsidR="00794EB9" w:rsidRPr="00794EB9" w14:paraId="4541B8AB" w14:textId="77777777" w:rsidTr="00C307FB">
        <w:trPr>
          <w:trHeight w:val="1673"/>
        </w:trPr>
        <w:tc>
          <w:tcPr>
            <w:tcW w:w="161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D8C344E"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 xml:space="preserve">Déficit de biodiversidad urbana </w:t>
            </w:r>
            <w:r w:rsidRPr="00794EB9">
              <w:rPr>
                <w:rFonts w:ascii="Arial" w:hAnsi="Arial" w:cs="Arial"/>
                <w:sz w:val="22"/>
                <w:szCs w:val="22"/>
                <w:lang w:eastAsia="es-MX"/>
              </w:rPr>
              <w:t>con insuficientes e inaccesibles áreas verdes, espacios públicos y áreas naturales, con situaciones de maltrato animal, en condiciones de escasez de agua y con deficiencias en la recolección de residuos</w:t>
            </w:r>
          </w:p>
        </w:tc>
        <w:tc>
          <w:tcPr>
            <w:tcW w:w="189" w:type="pct"/>
            <w:tcBorders>
              <w:top w:val="nil"/>
              <w:left w:val="nil"/>
              <w:bottom w:val="nil"/>
              <w:right w:val="nil"/>
            </w:tcBorders>
            <w:shd w:val="clear" w:color="auto" w:fill="auto"/>
            <w:noWrap/>
            <w:vAlign w:val="center"/>
            <w:hideMark/>
          </w:tcPr>
          <w:p w14:paraId="36BF8960" w14:textId="77777777" w:rsidR="00794EB9" w:rsidRPr="00794EB9" w:rsidRDefault="00794EB9" w:rsidP="00C307FB">
            <w:pPr>
              <w:jc w:val="center"/>
              <w:rPr>
                <w:rFonts w:ascii="Arial" w:hAnsi="Arial" w:cs="Arial"/>
                <w:sz w:val="22"/>
                <w:szCs w:val="22"/>
                <w:lang w:eastAsia="es-MX"/>
              </w:rPr>
            </w:pP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05F739"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Aumento de la pobreza alimentaria en la población</w:t>
            </w:r>
            <w:r w:rsidRPr="00794EB9">
              <w:rPr>
                <w:rFonts w:ascii="Arial" w:hAnsi="Arial" w:cs="Arial"/>
                <w:sz w:val="22"/>
                <w:szCs w:val="22"/>
              </w:rPr>
              <w:t xml:space="preserve"> </w:t>
            </w:r>
            <w:r w:rsidRPr="00794EB9">
              <w:rPr>
                <w:rFonts w:ascii="Arial" w:hAnsi="Arial" w:cs="Arial"/>
                <w:b/>
                <w:bCs/>
                <w:sz w:val="22"/>
                <w:szCs w:val="22"/>
                <w:lang w:eastAsia="es-MX"/>
              </w:rPr>
              <w:t>en situación de vulnerabilidad</w:t>
            </w:r>
            <w:r w:rsidRPr="00794EB9">
              <w:rPr>
                <w:rFonts w:ascii="Arial" w:hAnsi="Arial" w:cs="Arial"/>
                <w:sz w:val="22"/>
                <w:szCs w:val="22"/>
                <w:lang w:eastAsia="es-MX"/>
              </w:rPr>
              <w:t>, con altos niveles de marginación</w:t>
            </w:r>
          </w:p>
        </w:tc>
        <w:tc>
          <w:tcPr>
            <w:tcW w:w="189" w:type="pct"/>
            <w:tcBorders>
              <w:top w:val="nil"/>
              <w:left w:val="nil"/>
              <w:bottom w:val="nil"/>
              <w:right w:val="nil"/>
            </w:tcBorders>
            <w:shd w:val="clear" w:color="auto" w:fill="auto"/>
            <w:noWrap/>
            <w:vAlign w:val="center"/>
            <w:hideMark/>
          </w:tcPr>
          <w:p w14:paraId="18EA2D43" w14:textId="77777777" w:rsidR="00794EB9" w:rsidRPr="00794EB9" w:rsidRDefault="00794EB9" w:rsidP="00C307FB">
            <w:pPr>
              <w:jc w:val="center"/>
              <w:rPr>
                <w:rFonts w:ascii="Arial" w:hAnsi="Arial" w:cs="Arial"/>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D71803"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Presencia de personas en condición de vulnerabilidad, en especial adultos mayores, personas con discapacidad o con movilidad comprometida</w:t>
            </w:r>
            <w:r w:rsidRPr="00794EB9">
              <w:rPr>
                <w:rFonts w:ascii="Arial" w:hAnsi="Arial" w:cs="Arial"/>
                <w:sz w:val="22"/>
                <w:szCs w:val="22"/>
                <w:lang w:eastAsia="es-MX"/>
              </w:rPr>
              <w:t>, sin condiciones de salud e inclusión social</w:t>
            </w:r>
          </w:p>
        </w:tc>
        <w:tc>
          <w:tcPr>
            <w:tcW w:w="206" w:type="pct"/>
            <w:tcBorders>
              <w:top w:val="nil"/>
              <w:left w:val="nil"/>
              <w:bottom w:val="nil"/>
              <w:right w:val="nil"/>
            </w:tcBorders>
            <w:shd w:val="clear" w:color="auto" w:fill="auto"/>
            <w:vAlign w:val="center"/>
            <w:hideMark/>
          </w:tcPr>
          <w:p w14:paraId="58C11F87" w14:textId="77777777" w:rsidR="00794EB9" w:rsidRPr="00794EB9" w:rsidRDefault="00794EB9" w:rsidP="00C307FB">
            <w:pPr>
              <w:jc w:val="center"/>
              <w:rPr>
                <w:rFonts w:ascii="Arial" w:hAnsi="Arial" w:cs="Arial"/>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E36260"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Vulnerabilidad de las mujeres en situación de riesgo, así como de jóvenes y otros grupos</w:t>
            </w:r>
            <w:r w:rsidRPr="00794EB9">
              <w:rPr>
                <w:rFonts w:ascii="Arial" w:hAnsi="Arial" w:cs="Arial"/>
                <w:sz w:val="22"/>
                <w:szCs w:val="22"/>
              </w:rPr>
              <w:t xml:space="preserve"> </w:t>
            </w:r>
            <w:r w:rsidRPr="00794EB9">
              <w:rPr>
                <w:rFonts w:ascii="Arial" w:hAnsi="Arial" w:cs="Arial"/>
                <w:b/>
                <w:bCs/>
                <w:sz w:val="22"/>
                <w:szCs w:val="22"/>
                <w:lang w:eastAsia="es-MX"/>
              </w:rPr>
              <w:t xml:space="preserve">en situación de vulnerabilidad, </w:t>
            </w:r>
            <w:r w:rsidRPr="00794EB9">
              <w:rPr>
                <w:rFonts w:ascii="Arial" w:hAnsi="Arial" w:cs="Arial"/>
                <w:sz w:val="22"/>
                <w:szCs w:val="22"/>
                <w:lang w:eastAsia="es-MX"/>
              </w:rPr>
              <w:t>excluidos de las oportunidades de desarrollo social</w:t>
            </w:r>
          </w:p>
        </w:tc>
      </w:tr>
      <w:tr w:rsidR="00794EB9" w:rsidRPr="00794EB9" w14:paraId="20026417" w14:textId="77777777" w:rsidTr="00C307FB">
        <w:trPr>
          <w:trHeight w:val="65"/>
        </w:trPr>
        <w:tc>
          <w:tcPr>
            <w:tcW w:w="795" w:type="pct"/>
            <w:tcBorders>
              <w:top w:val="nil"/>
              <w:left w:val="nil"/>
              <w:bottom w:val="nil"/>
              <w:right w:val="nil"/>
            </w:tcBorders>
            <w:shd w:val="clear" w:color="auto" w:fill="auto"/>
            <w:noWrap/>
            <w:vAlign w:val="bottom"/>
            <w:hideMark/>
          </w:tcPr>
          <w:p w14:paraId="05565004" w14:textId="77777777" w:rsidR="00794EB9" w:rsidRPr="00794EB9" w:rsidRDefault="00794EB9" w:rsidP="00C307FB">
            <w:pPr>
              <w:jc w:val="center"/>
              <w:rPr>
                <w:rFonts w:ascii="Arial" w:hAnsi="Arial" w:cs="Arial"/>
                <w:b/>
                <w:bCs/>
                <w:sz w:val="22"/>
                <w:szCs w:val="22"/>
                <w:lang w:eastAsia="es-MX"/>
              </w:rPr>
            </w:pPr>
          </w:p>
        </w:tc>
        <w:tc>
          <w:tcPr>
            <w:tcW w:w="118" w:type="pct"/>
            <w:tcBorders>
              <w:top w:val="nil"/>
              <w:left w:val="nil"/>
              <w:bottom w:val="nil"/>
              <w:right w:val="nil"/>
            </w:tcBorders>
            <w:shd w:val="clear" w:color="auto" w:fill="auto"/>
            <w:noWrap/>
            <w:vAlign w:val="bottom"/>
            <w:hideMark/>
          </w:tcPr>
          <w:p w14:paraId="5B485F66" w14:textId="77777777" w:rsidR="00794EB9" w:rsidRPr="00794EB9" w:rsidRDefault="00794EB9" w:rsidP="00C307FB">
            <w:pPr>
              <w:rPr>
                <w:rFonts w:ascii="Arial" w:hAnsi="Arial" w:cs="Arial"/>
                <w:sz w:val="22"/>
                <w:szCs w:val="22"/>
                <w:lang w:eastAsia="es-MX"/>
              </w:rPr>
            </w:pPr>
          </w:p>
        </w:tc>
        <w:tc>
          <w:tcPr>
            <w:tcW w:w="700" w:type="pct"/>
            <w:tcBorders>
              <w:top w:val="nil"/>
              <w:left w:val="nil"/>
              <w:bottom w:val="nil"/>
              <w:right w:val="nil"/>
            </w:tcBorders>
            <w:shd w:val="clear" w:color="auto" w:fill="auto"/>
            <w:noWrap/>
            <w:vAlign w:val="bottom"/>
            <w:hideMark/>
          </w:tcPr>
          <w:p w14:paraId="0280C3DE" w14:textId="77777777" w:rsidR="00794EB9" w:rsidRPr="00794EB9" w:rsidRDefault="00794EB9" w:rsidP="00C307FB">
            <w:pPr>
              <w:rPr>
                <w:rFonts w:ascii="Arial" w:hAnsi="Arial" w:cs="Arial"/>
                <w:sz w:val="22"/>
                <w:szCs w:val="22"/>
                <w:lang w:eastAsia="es-MX"/>
              </w:rPr>
            </w:pPr>
          </w:p>
        </w:tc>
        <w:tc>
          <w:tcPr>
            <w:tcW w:w="189" w:type="pct"/>
            <w:tcBorders>
              <w:top w:val="nil"/>
              <w:left w:val="nil"/>
              <w:bottom w:val="nil"/>
              <w:right w:val="nil"/>
            </w:tcBorders>
            <w:shd w:val="clear" w:color="auto" w:fill="auto"/>
            <w:noWrap/>
            <w:vAlign w:val="bottom"/>
            <w:hideMark/>
          </w:tcPr>
          <w:p w14:paraId="20E6E023" w14:textId="77777777" w:rsidR="00794EB9" w:rsidRPr="00794EB9" w:rsidRDefault="00794EB9" w:rsidP="00C307FB">
            <w:pPr>
              <w:rPr>
                <w:rFonts w:ascii="Arial" w:hAnsi="Arial" w:cs="Arial"/>
                <w:sz w:val="22"/>
                <w:szCs w:val="22"/>
                <w:lang w:eastAsia="es-MX"/>
              </w:rPr>
            </w:pPr>
          </w:p>
        </w:tc>
        <w:tc>
          <w:tcPr>
            <w:tcW w:w="893" w:type="pct"/>
            <w:tcBorders>
              <w:top w:val="nil"/>
              <w:left w:val="nil"/>
              <w:bottom w:val="nil"/>
              <w:right w:val="nil"/>
            </w:tcBorders>
            <w:shd w:val="clear" w:color="auto" w:fill="auto"/>
            <w:noWrap/>
            <w:vAlign w:val="bottom"/>
            <w:hideMark/>
          </w:tcPr>
          <w:p w14:paraId="543152F1" w14:textId="77777777" w:rsidR="00794EB9" w:rsidRPr="00794EB9" w:rsidRDefault="00794EB9" w:rsidP="00C307FB">
            <w:pPr>
              <w:rPr>
                <w:rFonts w:ascii="Arial" w:hAnsi="Arial" w:cs="Arial"/>
                <w:sz w:val="22"/>
                <w:szCs w:val="22"/>
                <w:lang w:eastAsia="es-MX"/>
              </w:rPr>
            </w:pPr>
          </w:p>
        </w:tc>
        <w:tc>
          <w:tcPr>
            <w:tcW w:w="189" w:type="pct"/>
            <w:tcBorders>
              <w:top w:val="nil"/>
              <w:left w:val="nil"/>
              <w:bottom w:val="nil"/>
              <w:right w:val="nil"/>
            </w:tcBorders>
            <w:shd w:val="clear" w:color="auto" w:fill="auto"/>
            <w:noWrap/>
            <w:vAlign w:val="bottom"/>
            <w:hideMark/>
          </w:tcPr>
          <w:p w14:paraId="0347C930" w14:textId="77777777" w:rsidR="00794EB9" w:rsidRPr="00794EB9" w:rsidRDefault="00794EB9" w:rsidP="00C307FB">
            <w:pPr>
              <w:rPr>
                <w:rFonts w:ascii="Arial" w:hAnsi="Arial" w:cs="Arial"/>
                <w:sz w:val="22"/>
                <w:szCs w:val="22"/>
                <w:lang w:eastAsia="es-MX"/>
              </w:rPr>
            </w:pPr>
          </w:p>
        </w:tc>
        <w:tc>
          <w:tcPr>
            <w:tcW w:w="954" w:type="pct"/>
            <w:tcBorders>
              <w:top w:val="nil"/>
              <w:left w:val="nil"/>
              <w:bottom w:val="nil"/>
              <w:right w:val="nil"/>
            </w:tcBorders>
            <w:shd w:val="clear" w:color="auto" w:fill="auto"/>
            <w:noWrap/>
            <w:vAlign w:val="bottom"/>
            <w:hideMark/>
          </w:tcPr>
          <w:p w14:paraId="73FDDD8C" w14:textId="77777777" w:rsidR="00794EB9" w:rsidRPr="00794EB9" w:rsidRDefault="00794EB9" w:rsidP="00C307FB">
            <w:pPr>
              <w:rPr>
                <w:rFonts w:ascii="Arial" w:hAnsi="Arial" w:cs="Arial"/>
                <w:sz w:val="22"/>
                <w:szCs w:val="22"/>
                <w:lang w:eastAsia="es-MX"/>
              </w:rPr>
            </w:pPr>
          </w:p>
        </w:tc>
        <w:tc>
          <w:tcPr>
            <w:tcW w:w="206" w:type="pct"/>
            <w:tcBorders>
              <w:top w:val="nil"/>
              <w:left w:val="nil"/>
              <w:bottom w:val="nil"/>
              <w:right w:val="nil"/>
            </w:tcBorders>
            <w:shd w:val="clear" w:color="auto" w:fill="auto"/>
            <w:noWrap/>
            <w:vAlign w:val="bottom"/>
            <w:hideMark/>
          </w:tcPr>
          <w:p w14:paraId="6D293D05" w14:textId="77777777" w:rsidR="00794EB9" w:rsidRPr="00794EB9" w:rsidRDefault="00794EB9" w:rsidP="00C307FB">
            <w:pPr>
              <w:rPr>
                <w:rFonts w:ascii="Arial" w:hAnsi="Arial" w:cs="Arial"/>
                <w:sz w:val="22"/>
                <w:szCs w:val="22"/>
                <w:lang w:eastAsia="es-MX"/>
              </w:rPr>
            </w:pPr>
          </w:p>
        </w:tc>
        <w:tc>
          <w:tcPr>
            <w:tcW w:w="954" w:type="pct"/>
            <w:tcBorders>
              <w:top w:val="nil"/>
              <w:left w:val="nil"/>
              <w:bottom w:val="nil"/>
              <w:right w:val="nil"/>
            </w:tcBorders>
            <w:shd w:val="clear" w:color="auto" w:fill="auto"/>
            <w:noWrap/>
            <w:vAlign w:val="bottom"/>
            <w:hideMark/>
          </w:tcPr>
          <w:p w14:paraId="6216CEA4" w14:textId="77777777" w:rsidR="00794EB9" w:rsidRPr="00794EB9" w:rsidRDefault="00794EB9" w:rsidP="00C307FB">
            <w:pPr>
              <w:rPr>
                <w:rFonts w:ascii="Arial" w:hAnsi="Arial" w:cs="Arial"/>
                <w:sz w:val="22"/>
                <w:szCs w:val="22"/>
                <w:lang w:eastAsia="es-MX"/>
              </w:rPr>
            </w:pPr>
          </w:p>
        </w:tc>
      </w:tr>
      <w:tr w:rsidR="00794EB9" w:rsidRPr="00794EB9" w14:paraId="5722D337" w14:textId="77777777" w:rsidTr="00C307FB">
        <w:trPr>
          <w:trHeight w:val="65"/>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67929"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Persistencia de estilos de vida sedentarios y de servicios que impiden a los leoneses contar con mejores condiciones de salud</w:t>
            </w:r>
          </w:p>
        </w:tc>
      </w:tr>
      <w:tr w:rsidR="00794EB9" w:rsidRPr="00794EB9" w14:paraId="49C40504" w14:textId="77777777" w:rsidTr="00C307FB">
        <w:trPr>
          <w:trHeight w:val="65"/>
        </w:trPr>
        <w:tc>
          <w:tcPr>
            <w:tcW w:w="795" w:type="pct"/>
            <w:tcBorders>
              <w:top w:val="nil"/>
              <w:left w:val="nil"/>
              <w:bottom w:val="nil"/>
              <w:right w:val="nil"/>
            </w:tcBorders>
            <w:shd w:val="clear" w:color="auto" w:fill="auto"/>
            <w:noWrap/>
            <w:vAlign w:val="bottom"/>
            <w:hideMark/>
          </w:tcPr>
          <w:p w14:paraId="6E0DBD18" w14:textId="77777777" w:rsidR="00794EB9" w:rsidRPr="00794EB9" w:rsidRDefault="00794EB9" w:rsidP="00C307FB">
            <w:pPr>
              <w:jc w:val="center"/>
              <w:rPr>
                <w:rFonts w:ascii="Arial" w:hAnsi="Arial" w:cs="Arial"/>
                <w:b/>
                <w:bCs/>
                <w:sz w:val="22"/>
                <w:szCs w:val="22"/>
                <w:lang w:eastAsia="es-MX"/>
              </w:rPr>
            </w:pPr>
          </w:p>
        </w:tc>
        <w:tc>
          <w:tcPr>
            <w:tcW w:w="118" w:type="pct"/>
            <w:tcBorders>
              <w:top w:val="nil"/>
              <w:left w:val="nil"/>
              <w:bottom w:val="nil"/>
              <w:right w:val="nil"/>
            </w:tcBorders>
            <w:shd w:val="clear" w:color="auto" w:fill="auto"/>
            <w:noWrap/>
            <w:vAlign w:val="bottom"/>
            <w:hideMark/>
          </w:tcPr>
          <w:p w14:paraId="201C32F0" w14:textId="77777777" w:rsidR="00794EB9" w:rsidRPr="00794EB9" w:rsidRDefault="00794EB9" w:rsidP="00C307FB">
            <w:pPr>
              <w:rPr>
                <w:rFonts w:ascii="Arial" w:hAnsi="Arial" w:cs="Arial"/>
                <w:sz w:val="22"/>
                <w:szCs w:val="22"/>
                <w:lang w:eastAsia="es-MX"/>
              </w:rPr>
            </w:pPr>
          </w:p>
        </w:tc>
        <w:tc>
          <w:tcPr>
            <w:tcW w:w="700" w:type="pct"/>
            <w:tcBorders>
              <w:top w:val="nil"/>
              <w:left w:val="nil"/>
              <w:bottom w:val="nil"/>
              <w:right w:val="nil"/>
            </w:tcBorders>
            <w:shd w:val="clear" w:color="auto" w:fill="auto"/>
            <w:noWrap/>
            <w:vAlign w:val="bottom"/>
            <w:hideMark/>
          </w:tcPr>
          <w:p w14:paraId="74DAE658" w14:textId="77777777" w:rsidR="00794EB9" w:rsidRPr="00794EB9" w:rsidRDefault="00794EB9" w:rsidP="00C307FB">
            <w:pPr>
              <w:rPr>
                <w:rFonts w:ascii="Arial" w:hAnsi="Arial" w:cs="Arial"/>
                <w:sz w:val="22"/>
                <w:szCs w:val="22"/>
                <w:lang w:eastAsia="es-MX"/>
              </w:rPr>
            </w:pPr>
          </w:p>
        </w:tc>
        <w:tc>
          <w:tcPr>
            <w:tcW w:w="189" w:type="pct"/>
            <w:tcBorders>
              <w:top w:val="nil"/>
              <w:left w:val="nil"/>
              <w:bottom w:val="nil"/>
              <w:right w:val="nil"/>
            </w:tcBorders>
            <w:shd w:val="clear" w:color="auto" w:fill="auto"/>
            <w:noWrap/>
            <w:vAlign w:val="bottom"/>
            <w:hideMark/>
          </w:tcPr>
          <w:p w14:paraId="0CC3B0EA" w14:textId="77777777" w:rsidR="00794EB9" w:rsidRPr="00794EB9" w:rsidRDefault="00794EB9" w:rsidP="00C307FB">
            <w:pPr>
              <w:rPr>
                <w:rFonts w:ascii="Arial" w:hAnsi="Arial" w:cs="Arial"/>
                <w:sz w:val="22"/>
                <w:szCs w:val="22"/>
                <w:lang w:eastAsia="es-MX"/>
              </w:rPr>
            </w:pPr>
          </w:p>
        </w:tc>
        <w:tc>
          <w:tcPr>
            <w:tcW w:w="893" w:type="pct"/>
            <w:tcBorders>
              <w:top w:val="nil"/>
              <w:left w:val="nil"/>
              <w:bottom w:val="nil"/>
              <w:right w:val="nil"/>
            </w:tcBorders>
            <w:shd w:val="clear" w:color="auto" w:fill="auto"/>
            <w:noWrap/>
            <w:vAlign w:val="bottom"/>
            <w:hideMark/>
          </w:tcPr>
          <w:p w14:paraId="4A66A6B2" w14:textId="77777777" w:rsidR="00794EB9" w:rsidRPr="00794EB9" w:rsidRDefault="00794EB9" w:rsidP="00C307FB">
            <w:pPr>
              <w:rPr>
                <w:rFonts w:ascii="Arial" w:hAnsi="Arial" w:cs="Arial"/>
                <w:sz w:val="22"/>
                <w:szCs w:val="22"/>
                <w:lang w:eastAsia="es-MX"/>
              </w:rPr>
            </w:pPr>
          </w:p>
        </w:tc>
        <w:tc>
          <w:tcPr>
            <w:tcW w:w="189" w:type="pct"/>
            <w:tcBorders>
              <w:top w:val="nil"/>
              <w:left w:val="nil"/>
              <w:bottom w:val="nil"/>
              <w:right w:val="nil"/>
            </w:tcBorders>
            <w:shd w:val="clear" w:color="auto" w:fill="auto"/>
            <w:noWrap/>
            <w:vAlign w:val="bottom"/>
            <w:hideMark/>
          </w:tcPr>
          <w:p w14:paraId="5F15E283" w14:textId="77777777" w:rsidR="00794EB9" w:rsidRPr="00794EB9" w:rsidRDefault="00794EB9" w:rsidP="00C307FB">
            <w:pPr>
              <w:rPr>
                <w:rFonts w:ascii="Arial" w:hAnsi="Arial" w:cs="Arial"/>
                <w:sz w:val="22"/>
                <w:szCs w:val="22"/>
                <w:lang w:eastAsia="es-MX"/>
              </w:rPr>
            </w:pPr>
          </w:p>
        </w:tc>
        <w:tc>
          <w:tcPr>
            <w:tcW w:w="954" w:type="pct"/>
            <w:tcBorders>
              <w:top w:val="nil"/>
              <w:left w:val="nil"/>
              <w:bottom w:val="nil"/>
              <w:right w:val="nil"/>
            </w:tcBorders>
            <w:shd w:val="clear" w:color="auto" w:fill="auto"/>
            <w:noWrap/>
            <w:vAlign w:val="bottom"/>
            <w:hideMark/>
          </w:tcPr>
          <w:p w14:paraId="659FB259" w14:textId="77777777" w:rsidR="00794EB9" w:rsidRPr="00794EB9" w:rsidRDefault="00794EB9" w:rsidP="00C307FB">
            <w:pPr>
              <w:rPr>
                <w:rFonts w:ascii="Arial" w:hAnsi="Arial" w:cs="Arial"/>
                <w:sz w:val="22"/>
                <w:szCs w:val="22"/>
                <w:lang w:eastAsia="es-MX"/>
              </w:rPr>
            </w:pPr>
          </w:p>
        </w:tc>
        <w:tc>
          <w:tcPr>
            <w:tcW w:w="206" w:type="pct"/>
            <w:tcBorders>
              <w:top w:val="nil"/>
              <w:left w:val="nil"/>
              <w:bottom w:val="nil"/>
              <w:right w:val="nil"/>
            </w:tcBorders>
            <w:shd w:val="clear" w:color="auto" w:fill="auto"/>
            <w:noWrap/>
            <w:vAlign w:val="bottom"/>
            <w:hideMark/>
          </w:tcPr>
          <w:p w14:paraId="3A89FCB7" w14:textId="77777777" w:rsidR="00794EB9" w:rsidRPr="00794EB9" w:rsidRDefault="00794EB9" w:rsidP="00C307FB">
            <w:pPr>
              <w:rPr>
                <w:rFonts w:ascii="Arial" w:hAnsi="Arial" w:cs="Arial"/>
                <w:sz w:val="22"/>
                <w:szCs w:val="22"/>
                <w:lang w:eastAsia="es-MX"/>
              </w:rPr>
            </w:pPr>
          </w:p>
        </w:tc>
        <w:tc>
          <w:tcPr>
            <w:tcW w:w="954" w:type="pct"/>
            <w:tcBorders>
              <w:top w:val="nil"/>
              <w:left w:val="nil"/>
              <w:bottom w:val="nil"/>
              <w:right w:val="nil"/>
            </w:tcBorders>
            <w:shd w:val="clear" w:color="auto" w:fill="auto"/>
            <w:noWrap/>
            <w:vAlign w:val="bottom"/>
            <w:hideMark/>
          </w:tcPr>
          <w:p w14:paraId="5AB0C009" w14:textId="77777777" w:rsidR="00794EB9" w:rsidRPr="00794EB9" w:rsidRDefault="00794EB9" w:rsidP="00C307FB">
            <w:pPr>
              <w:rPr>
                <w:rFonts w:ascii="Arial" w:hAnsi="Arial" w:cs="Arial"/>
                <w:sz w:val="22"/>
                <w:szCs w:val="22"/>
                <w:lang w:eastAsia="es-MX"/>
              </w:rPr>
            </w:pPr>
          </w:p>
        </w:tc>
      </w:tr>
      <w:tr w:rsidR="00794EB9" w:rsidRPr="00794EB9" w14:paraId="75A55539" w14:textId="77777777" w:rsidTr="00C307FB">
        <w:trPr>
          <w:trHeight w:val="65"/>
        </w:trPr>
        <w:tc>
          <w:tcPr>
            <w:tcW w:w="161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0014BF0"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Zona urbana con insuficiente vegetación</w:t>
            </w:r>
          </w:p>
        </w:tc>
        <w:tc>
          <w:tcPr>
            <w:tcW w:w="189" w:type="pct"/>
            <w:tcBorders>
              <w:top w:val="nil"/>
              <w:left w:val="nil"/>
              <w:bottom w:val="nil"/>
              <w:right w:val="nil"/>
            </w:tcBorders>
            <w:shd w:val="clear" w:color="auto" w:fill="auto"/>
            <w:noWrap/>
            <w:vAlign w:val="center"/>
            <w:hideMark/>
          </w:tcPr>
          <w:p w14:paraId="4CCAF5BA" w14:textId="77777777" w:rsidR="00794EB9" w:rsidRPr="00794EB9" w:rsidRDefault="00794EB9" w:rsidP="00C307FB">
            <w:pPr>
              <w:jc w:val="center"/>
              <w:rPr>
                <w:rFonts w:ascii="Arial" w:hAnsi="Arial" w:cs="Arial"/>
                <w:b/>
                <w:bCs/>
                <w:sz w:val="22"/>
                <w:szCs w:val="22"/>
                <w:lang w:eastAsia="es-MX"/>
              </w:rPr>
            </w:pP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41BB9D"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Familias sin posibilidad de adquirir la canasta alimentaria</w:t>
            </w:r>
          </w:p>
        </w:tc>
        <w:tc>
          <w:tcPr>
            <w:tcW w:w="189" w:type="pct"/>
            <w:tcBorders>
              <w:top w:val="nil"/>
              <w:left w:val="nil"/>
              <w:bottom w:val="nil"/>
              <w:right w:val="nil"/>
            </w:tcBorders>
            <w:shd w:val="clear" w:color="auto" w:fill="auto"/>
            <w:noWrap/>
            <w:vAlign w:val="center"/>
            <w:hideMark/>
          </w:tcPr>
          <w:p w14:paraId="71C72B9B" w14:textId="77777777" w:rsidR="00794EB9" w:rsidRPr="00794EB9" w:rsidRDefault="00794EB9" w:rsidP="00C307FB">
            <w:pPr>
              <w:jc w:val="center"/>
              <w:rPr>
                <w:rFonts w:ascii="Arial" w:hAnsi="Arial" w:cs="Arial"/>
                <w:b/>
                <w:bCs/>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E0D4A5"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Aumento de personas con enfermedades crónico-degenerativas y deterioro de la salud mental</w:t>
            </w:r>
          </w:p>
        </w:tc>
        <w:tc>
          <w:tcPr>
            <w:tcW w:w="206" w:type="pct"/>
            <w:tcBorders>
              <w:top w:val="nil"/>
              <w:left w:val="nil"/>
              <w:bottom w:val="nil"/>
              <w:right w:val="nil"/>
            </w:tcBorders>
            <w:shd w:val="clear" w:color="auto" w:fill="auto"/>
            <w:vAlign w:val="center"/>
            <w:hideMark/>
          </w:tcPr>
          <w:p w14:paraId="4C4A70D1" w14:textId="77777777" w:rsidR="00794EB9" w:rsidRPr="00794EB9" w:rsidRDefault="00794EB9" w:rsidP="00C307FB">
            <w:pPr>
              <w:jc w:val="center"/>
              <w:rPr>
                <w:rFonts w:ascii="Arial" w:hAnsi="Arial" w:cs="Arial"/>
                <w:b/>
                <w:bCs/>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D6E894"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Inequidad social</w:t>
            </w:r>
          </w:p>
        </w:tc>
      </w:tr>
      <w:tr w:rsidR="00794EB9" w:rsidRPr="00794EB9" w14:paraId="2D710BD2" w14:textId="77777777" w:rsidTr="00C307FB">
        <w:trPr>
          <w:trHeight w:val="65"/>
        </w:trPr>
        <w:tc>
          <w:tcPr>
            <w:tcW w:w="795" w:type="pct"/>
            <w:tcBorders>
              <w:top w:val="nil"/>
              <w:left w:val="nil"/>
              <w:bottom w:val="nil"/>
              <w:right w:val="nil"/>
            </w:tcBorders>
            <w:shd w:val="clear" w:color="auto" w:fill="auto"/>
            <w:vAlign w:val="center"/>
            <w:hideMark/>
          </w:tcPr>
          <w:p w14:paraId="62C35547" w14:textId="77777777" w:rsidR="00794EB9" w:rsidRPr="00794EB9" w:rsidRDefault="00794EB9" w:rsidP="00C307FB">
            <w:pPr>
              <w:jc w:val="center"/>
              <w:rPr>
                <w:rFonts w:ascii="Arial" w:hAnsi="Arial" w:cs="Arial"/>
                <w:b/>
                <w:bCs/>
                <w:sz w:val="22"/>
                <w:szCs w:val="22"/>
                <w:lang w:eastAsia="es-MX"/>
              </w:rPr>
            </w:pPr>
          </w:p>
        </w:tc>
        <w:tc>
          <w:tcPr>
            <w:tcW w:w="118" w:type="pct"/>
            <w:tcBorders>
              <w:top w:val="nil"/>
              <w:left w:val="nil"/>
              <w:bottom w:val="nil"/>
              <w:right w:val="nil"/>
            </w:tcBorders>
            <w:shd w:val="clear" w:color="auto" w:fill="auto"/>
            <w:vAlign w:val="center"/>
            <w:hideMark/>
          </w:tcPr>
          <w:p w14:paraId="7AAB8272" w14:textId="77777777" w:rsidR="00794EB9" w:rsidRPr="00794EB9" w:rsidRDefault="00794EB9" w:rsidP="00C307FB">
            <w:pPr>
              <w:jc w:val="center"/>
              <w:rPr>
                <w:rFonts w:ascii="Arial" w:hAnsi="Arial" w:cs="Arial"/>
                <w:sz w:val="22"/>
                <w:szCs w:val="22"/>
                <w:lang w:eastAsia="es-MX"/>
              </w:rPr>
            </w:pPr>
          </w:p>
        </w:tc>
        <w:tc>
          <w:tcPr>
            <w:tcW w:w="700" w:type="pct"/>
            <w:tcBorders>
              <w:top w:val="nil"/>
              <w:left w:val="nil"/>
              <w:bottom w:val="nil"/>
              <w:right w:val="nil"/>
            </w:tcBorders>
            <w:shd w:val="clear" w:color="auto" w:fill="auto"/>
            <w:vAlign w:val="center"/>
            <w:hideMark/>
          </w:tcPr>
          <w:p w14:paraId="20B840B5" w14:textId="77777777" w:rsidR="00794EB9" w:rsidRPr="00794EB9" w:rsidRDefault="00794EB9" w:rsidP="00C307FB">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57972BCE" w14:textId="77777777" w:rsidR="00794EB9" w:rsidRPr="00794EB9" w:rsidRDefault="00794EB9" w:rsidP="00C307FB">
            <w:pPr>
              <w:jc w:val="center"/>
              <w:rPr>
                <w:rFonts w:ascii="Arial" w:hAnsi="Arial" w:cs="Arial"/>
                <w:sz w:val="22"/>
                <w:szCs w:val="22"/>
                <w:lang w:eastAsia="es-MX"/>
              </w:rPr>
            </w:pPr>
          </w:p>
        </w:tc>
        <w:tc>
          <w:tcPr>
            <w:tcW w:w="893" w:type="pct"/>
            <w:tcBorders>
              <w:top w:val="nil"/>
              <w:left w:val="nil"/>
              <w:bottom w:val="nil"/>
              <w:right w:val="nil"/>
            </w:tcBorders>
            <w:shd w:val="clear" w:color="auto" w:fill="auto"/>
            <w:vAlign w:val="center"/>
            <w:hideMark/>
          </w:tcPr>
          <w:p w14:paraId="5D7865AF" w14:textId="77777777" w:rsidR="00794EB9" w:rsidRPr="00794EB9" w:rsidRDefault="00794EB9" w:rsidP="00C307FB">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6EE1E155" w14:textId="77777777" w:rsidR="00794EB9" w:rsidRPr="00794EB9" w:rsidRDefault="00794EB9" w:rsidP="00C307FB">
            <w:pPr>
              <w:jc w:val="center"/>
              <w:rPr>
                <w:rFonts w:ascii="Arial" w:hAnsi="Arial" w:cs="Arial"/>
                <w:sz w:val="22"/>
                <w:szCs w:val="22"/>
                <w:lang w:eastAsia="es-MX"/>
              </w:rPr>
            </w:pPr>
          </w:p>
        </w:tc>
        <w:tc>
          <w:tcPr>
            <w:tcW w:w="954" w:type="pct"/>
            <w:tcBorders>
              <w:top w:val="nil"/>
              <w:left w:val="nil"/>
              <w:bottom w:val="nil"/>
              <w:right w:val="nil"/>
            </w:tcBorders>
            <w:shd w:val="clear" w:color="auto" w:fill="auto"/>
            <w:vAlign w:val="center"/>
            <w:hideMark/>
          </w:tcPr>
          <w:p w14:paraId="6A8E7642" w14:textId="77777777" w:rsidR="00794EB9" w:rsidRPr="00794EB9" w:rsidRDefault="00794EB9" w:rsidP="00C307FB">
            <w:pPr>
              <w:jc w:val="center"/>
              <w:rPr>
                <w:rFonts w:ascii="Arial" w:hAnsi="Arial" w:cs="Arial"/>
                <w:sz w:val="22"/>
                <w:szCs w:val="22"/>
                <w:lang w:eastAsia="es-MX"/>
              </w:rPr>
            </w:pPr>
          </w:p>
        </w:tc>
        <w:tc>
          <w:tcPr>
            <w:tcW w:w="206" w:type="pct"/>
            <w:tcBorders>
              <w:top w:val="nil"/>
              <w:left w:val="nil"/>
              <w:bottom w:val="nil"/>
              <w:right w:val="nil"/>
            </w:tcBorders>
            <w:shd w:val="clear" w:color="auto" w:fill="auto"/>
            <w:vAlign w:val="center"/>
            <w:hideMark/>
          </w:tcPr>
          <w:p w14:paraId="765BAFE5" w14:textId="77777777" w:rsidR="00794EB9" w:rsidRPr="00794EB9" w:rsidRDefault="00794EB9" w:rsidP="00C307FB">
            <w:pPr>
              <w:jc w:val="center"/>
              <w:rPr>
                <w:rFonts w:ascii="Arial" w:hAnsi="Arial" w:cs="Arial"/>
                <w:sz w:val="22"/>
                <w:szCs w:val="22"/>
                <w:lang w:eastAsia="es-MX"/>
              </w:rPr>
            </w:pPr>
          </w:p>
        </w:tc>
        <w:tc>
          <w:tcPr>
            <w:tcW w:w="954" w:type="pct"/>
            <w:tcBorders>
              <w:top w:val="nil"/>
              <w:left w:val="nil"/>
              <w:bottom w:val="nil"/>
              <w:right w:val="nil"/>
            </w:tcBorders>
            <w:shd w:val="clear" w:color="auto" w:fill="auto"/>
            <w:vAlign w:val="center"/>
            <w:hideMark/>
          </w:tcPr>
          <w:p w14:paraId="3677CFF0" w14:textId="77777777" w:rsidR="00794EB9" w:rsidRPr="00794EB9" w:rsidRDefault="00794EB9" w:rsidP="00C307FB">
            <w:pPr>
              <w:jc w:val="center"/>
              <w:rPr>
                <w:rFonts w:ascii="Arial" w:hAnsi="Arial" w:cs="Arial"/>
                <w:sz w:val="22"/>
                <w:szCs w:val="22"/>
                <w:lang w:eastAsia="es-MX"/>
              </w:rPr>
            </w:pPr>
          </w:p>
        </w:tc>
      </w:tr>
      <w:tr w:rsidR="00794EB9" w:rsidRPr="00794EB9" w14:paraId="23618937" w14:textId="77777777" w:rsidTr="00C307FB">
        <w:trPr>
          <w:trHeight w:val="790"/>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DF44C3"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Desconocimiento y baja valoración de las acciones a favor del medio ambiente</w:t>
            </w:r>
          </w:p>
        </w:tc>
        <w:tc>
          <w:tcPr>
            <w:tcW w:w="118" w:type="pct"/>
            <w:tcBorders>
              <w:top w:val="nil"/>
              <w:left w:val="nil"/>
              <w:bottom w:val="nil"/>
              <w:right w:val="nil"/>
            </w:tcBorders>
            <w:shd w:val="clear" w:color="auto" w:fill="auto"/>
            <w:vAlign w:val="center"/>
            <w:hideMark/>
          </w:tcPr>
          <w:p w14:paraId="645DE5FF" w14:textId="77777777" w:rsidR="00794EB9" w:rsidRPr="00794EB9" w:rsidRDefault="00794EB9" w:rsidP="00C307FB">
            <w:pPr>
              <w:jc w:val="center"/>
              <w:rPr>
                <w:rFonts w:ascii="Arial" w:hAnsi="Arial" w:cs="Arial"/>
                <w:bCs/>
                <w:sz w:val="22"/>
                <w:szCs w:val="22"/>
                <w:lang w:eastAsia="es-MX"/>
              </w:rPr>
            </w:pP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4D5CD4"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Abandono y maltrato a mascotas y animales en riesgo</w:t>
            </w:r>
          </w:p>
        </w:tc>
        <w:tc>
          <w:tcPr>
            <w:tcW w:w="189" w:type="pct"/>
            <w:tcBorders>
              <w:top w:val="nil"/>
              <w:left w:val="nil"/>
              <w:bottom w:val="nil"/>
              <w:right w:val="nil"/>
            </w:tcBorders>
            <w:shd w:val="clear" w:color="auto" w:fill="auto"/>
            <w:vAlign w:val="center"/>
            <w:hideMark/>
          </w:tcPr>
          <w:p w14:paraId="0FEEE7CB" w14:textId="77777777" w:rsidR="00794EB9" w:rsidRPr="00794EB9" w:rsidRDefault="00794EB9" w:rsidP="00C307FB">
            <w:pPr>
              <w:jc w:val="center"/>
              <w:rPr>
                <w:rFonts w:ascii="Arial" w:hAnsi="Arial" w:cs="Arial"/>
                <w:bCs/>
                <w:sz w:val="22"/>
                <w:szCs w:val="22"/>
                <w:lang w:eastAsia="es-MX"/>
              </w:rPr>
            </w:pP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3F01C1"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Inseguridad alimentaria</w:t>
            </w:r>
            <w:r w:rsidRPr="00794EB9">
              <w:rPr>
                <w:rFonts w:ascii="Arial" w:hAnsi="Arial" w:cs="Arial"/>
                <w:bCs/>
                <w:sz w:val="22"/>
                <w:szCs w:val="22"/>
                <w:lang w:eastAsia="es-MX"/>
              </w:rPr>
              <w:t>;</w:t>
            </w:r>
          </w:p>
          <w:p w14:paraId="1B33387F"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Cs/>
                <w:sz w:val="22"/>
                <w:szCs w:val="22"/>
                <w:lang w:eastAsia="es-MX"/>
              </w:rPr>
              <w:t>31% de la población ocupada no puede comprar la canasta básica alimentaria con el ingreso de su trabajo</w:t>
            </w:r>
          </w:p>
        </w:tc>
        <w:tc>
          <w:tcPr>
            <w:tcW w:w="189" w:type="pct"/>
            <w:tcBorders>
              <w:top w:val="nil"/>
              <w:left w:val="nil"/>
              <w:bottom w:val="nil"/>
              <w:right w:val="nil"/>
            </w:tcBorders>
            <w:shd w:val="clear" w:color="auto" w:fill="auto"/>
            <w:vAlign w:val="center"/>
            <w:hideMark/>
          </w:tcPr>
          <w:p w14:paraId="170B272C" w14:textId="77777777" w:rsidR="00794EB9" w:rsidRPr="00794EB9" w:rsidRDefault="00794EB9" w:rsidP="00C307FB">
            <w:pPr>
              <w:jc w:val="center"/>
              <w:rPr>
                <w:rFonts w:ascii="Arial" w:hAnsi="Arial" w:cs="Arial"/>
                <w:bCs/>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EA7DF5"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Escasa atención de salud preventiva a grupos en situación de vulnerabilidad.</w:t>
            </w:r>
          </w:p>
          <w:p w14:paraId="3BEED19B"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Cs/>
                <w:sz w:val="22"/>
                <w:szCs w:val="22"/>
                <w:lang w:eastAsia="es-MX"/>
              </w:rPr>
              <w:t xml:space="preserve">Tan solo 22 mil 272 adultos mayores carecen de acceso a servicios de salud y una pensión </w:t>
            </w:r>
          </w:p>
          <w:p w14:paraId="53EC0A96"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w:t>
            </w:r>
          </w:p>
        </w:tc>
        <w:tc>
          <w:tcPr>
            <w:tcW w:w="206" w:type="pct"/>
            <w:tcBorders>
              <w:top w:val="nil"/>
              <w:left w:val="nil"/>
              <w:bottom w:val="nil"/>
              <w:right w:val="nil"/>
            </w:tcBorders>
            <w:shd w:val="clear" w:color="auto" w:fill="auto"/>
            <w:vAlign w:val="center"/>
            <w:hideMark/>
          </w:tcPr>
          <w:p w14:paraId="215F102F" w14:textId="77777777" w:rsidR="00794EB9" w:rsidRPr="00794EB9" w:rsidRDefault="00794EB9" w:rsidP="00C307FB">
            <w:pPr>
              <w:jc w:val="center"/>
              <w:rPr>
                <w:rFonts w:ascii="Arial" w:hAnsi="Arial" w:cs="Arial"/>
                <w:bCs/>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FC9FEF"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Violencia de género</w:t>
            </w:r>
            <w:r w:rsidRPr="00794EB9">
              <w:rPr>
                <w:rFonts w:ascii="Arial" w:hAnsi="Arial" w:cs="Arial"/>
                <w:bCs/>
                <w:sz w:val="22"/>
                <w:szCs w:val="22"/>
                <w:lang w:eastAsia="es-MX"/>
              </w:rPr>
              <w:t>;</w:t>
            </w:r>
          </w:p>
          <w:p w14:paraId="34906AE4"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Cs/>
                <w:sz w:val="22"/>
                <w:szCs w:val="22"/>
                <w:lang w:eastAsia="es-MX"/>
              </w:rPr>
              <w:t xml:space="preserve">en 2020 se registraron 2 mil 335 delitos denunciados como violencia familiar </w:t>
            </w:r>
          </w:p>
        </w:tc>
      </w:tr>
      <w:tr w:rsidR="00794EB9" w:rsidRPr="00794EB9" w14:paraId="1327C100" w14:textId="77777777" w:rsidTr="00C307FB">
        <w:trPr>
          <w:trHeight w:val="65"/>
        </w:trPr>
        <w:tc>
          <w:tcPr>
            <w:tcW w:w="795" w:type="pct"/>
            <w:tcBorders>
              <w:top w:val="nil"/>
              <w:left w:val="nil"/>
              <w:bottom w:val="nil"/>
              <w:right w:val="nil"/>
            </w:tcBorders>
            <w:shd w:val="clear" w:color="auto" w:fill="auto"/>
            <w:vAlign w:val="center"/>
            <w:hideMark/>
          </w:tcPr>
          <w:p w14:paraId="6FD9DB65" w14:textId="77777777" w:rsidR="00794EB9" w:rsidRPr="00794EB9" w:rsidRDefault="00794EB9" w:rsidP="00C307FB">
            <w:pPr>
              <w:jc w:val="center"/>
              <w:rPr>
                <w:rFonts w:ascii="Arial" w:hAnsi="Arial" w:cs="Arial"/>
                <w:bCs/>
                <w:sz w:val="22"/>
                <w:szCs w:val="22"/>
                <w:lang w:eastAsia="es-MX"/>
              </w:rPr>
            </w:pPr>
          </w:p>
        </w:tc>
        <w:tc>
          <w:tcPr>
            <w:tcW w:w="118" w:type="pct"/>
            <w:tcBorders>
              <w:top w:val="nil"/>
              <w:left w:val="nil"/>
              <w:bottom w:val="nil"/>
              <w:right w:val="nil"/>
            </w:tcBorders>
            <w:shd w:val="clear" w:color="auto" w:fill="auto"/>
            <w:vAlign w:val="center"/>
            <w:hideMark/>
          </w:tcPr>
          <w:p w14:paraId="13C2986C" w14:textId="77777777" w:rsidR="00794EB9" w:rsidRPr="00794EB9" w:rsidRDefault="00794EB9" w:rsidP="00C307FB">
            <w:pPr>
              <w:jc w:val="center"/>
              <w:rPr>
                <w:rFonts w:ascii="Arial" w:hAnsi="Arial" w:cs="Arial"/>
                <w:sz w:val="22"/>
                <w:szCs w:val="22"/>
                <w:lang w:eastAsia="es-MX"/>
              </w:rPr>
            </w:pPr>
          </w:p>
        </w:tc>
        <w:tc>
          <w:tcPr>
            <w:tcW w:w="700" w:type="pct"/>
            <w:tcBorders>
              <w:top w:val="nil"/>
              <w:left w:val="nil"/>
              <w:bottom w:val="nil"/>
              <w:right w:val="nil"/>
            </w:tcBorders>
            <w:shd w:val="clear" w:color="auto" w:fill="auto"/>
            <w:vAlign w:val="center"/>
            <w:hideMark/>
          </w:tcPr>
          <w:p w14:paraId="2B5E1BE9" w14:textId="77777777" w:rsidR="00794EB9" w:rsidRPr="00794EB9" w:rsidRDefault="00794EB9" w:rsidP="00C307FB">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546187B8" w14:textId="77777777" w:rsidR="00794EB9" w:rsidRPr="00794EB9" w:rsidRDefault="00794EB9" w:rsidP="00C307FB">
            <w:pPr>
              <w:jc w:val="center"/>
              <w:rPr>
                <w:rFonts w:ascii="Arial" w:hAnsi="Arial" w:cs="Arial"/>
                <w:sz w:val="22"/>
                <w:szCs w:val="22"/>
                <w:lang w:eastAsia="es-MX"/>
              </w:rPr>
            </w:pPr>
          </w:p>
        </w:tc>
        <w:tc>
          <w:tcPr>
            <w:tcW w:w="893" w:type="pct"/>
            <w:tcBorders>
              <w:top w:val="nil"/>
              <w:left w:val="nil"/>
              <w:bottom w:val="nil"/>
              <w:right w:val="nil"/>
            </w:tcBorders>
            <w:shd w:val="clear" w:color="auto" w:fill="auto"/>
            <w:vAlign w:val="center"/>
            <w:hideMark/>
          </w:tcPr>
          <w:p w14:paraId="3CA08206" w14:textId="77777777" w:rsidR="00794EB9" w:rsidRPr="00794EB9" w:rsidRDefault="00794EB9" w:rsidP="00C307FB">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74A8F465" w14:textId="77777777" w:rsidR="00794EB9" w:rsidRPr="00794EB9" w:rsidRDefault="00794EB9" w:rsidP="00C307FB">
            <w:pPr>
              <w:jc w:val="center"/>
              <w:rPr>
                <w:rFonts w:ascii="Arial" w:hAnsi="Arial" w:cs="Arial"/>
                <w:sz w:val="22"/>
                <w:szCs w:val="22"/>
                <w:lang w:eastAsia="es-MX"/>
              </w:rPr>
            </w:pPr>
          </w:p>
        </w:tc>
        <w:tc>
          <w:tcPr>
            <w:tcW w:w="954" w:type="pct"/>
            <w:tcBorders>
              <w:top w:val="nil"/>
              <w:left w:val="nil"/>
              <w:bottom w:val="nil"/>
              <w:right w:val="nil"/>
            </w:tcBorders>
            <w:shd w:val="clear" w:color="auto" w:fill="auto"/>
            <w:vAlign w:val="center"/>
            <w:hideMark/>
          </w:tcPr>
          <w:p w14:paraId="10B4CD31" w14:textId="77777777" w:rsidR="00794EB9" w:rsidRPr="00794EB9" w:rsidRDefault="00794EB9" w:rsidP="00C307FB">
            <w:pPr>
              <w:jc w:val="center"/>
              <w:rPr>
                <w:rFonts w:ascii="Arial" w:hAnsi="Arial" w:cs="Arial"/>
                <w:sz w:val="22"/>
                <w:szCs w:val="22"/>
                <w:lang w:eastAsia="es-MX"/>
              </w:rPr>
            </w:pPr>
          </w:p>
        </w:tc>
        <w:tc>
          <w:tcPr>
            <w:tcW w:w="206" w:type="pct"/>
            <w:tcBorders>
              <w:top w:val="nil"/>
              <w:left w:val="nil"/>
              <w:bottom w:val="nil"/>
              <w:right w:val="nil"/>
            </w:tcBorders>
            <w:shd w:val="clear" w:color="auto" w:fill="auto"/>
            <w:vAlign w:val="center"/>
            <w:hideMark/>
          </w:tcPr>
          <w:p w14:paraId="03308614" w14:textId="77777777" w:rsidR="00794EB9" w:rsidRPr="00794EB9" w:rsidRDefault="00794EB9" w:rsidP="00C307FB">
            <w:pPr>
              <w:jc w:val="center"/>
              <w:rPr>
                <w:rFonts w:ascii="Arial" w:hAnsi="Arial" w:cs="Arial"/>
                <w:sz w:val="22"/>
                <w:szCs w:val="22"/>
                <w:lang w:eastAsia="es-MX"/>
              </w:rPr>
            </w:pPr>
          </w:p>
        </w:tc>
        <w:tc>
          <w:tcPr>
            <w:tcW w:w="954" w:type="pct"/>
            <w:tcBorders>
              <w:top w:val="nil"/>
              <w:left w:val="nil"/>
              <w:bottom w:val="nil"/>
              <w:right w:val="nil"/>
            </w:tcBorders>
            <w:shd w:val="clear" w:color="auto" w:fill="auto"/>
            <w:vAlign w:val="center"/>
            <w:hideMark/>
          </w:tcPr>
          <w:p w14:paraId="7794665C" w14:textId="77777777" w:rsidR="00794EB9" w:rsidRPr="00794EB9" w:rsidRDefault="00794EB9" w:rsidP="00C307FB">
            <w:pPr>
              <w:jc w:val="center"/>
              <w:rPr>
                <w:rFonts w:ascii="Arial" w:hAnsi="Arial" w:cs="Arial"/>
                <w:sz w:val="22"/>
                <w:szCs w:val="22"/>
                <w:lang w:eastAsia="es-MX"/>
              </w:rPr>
            </w:pPr>
          </w:p>
        </w:tc>
      </w:tr>
      <w:tr w:rsidR="00794EB9" w:rsidRPr="00794EB9" w14:paraId="0EEFF825" w14:textId="77777777" w:rsidTr="00C307FB">
        <w:trPr>
          <w:trHeight w:val="778"/>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23E4DA"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 xml:space="preserve">Parques y áreas naturales </w:t>
            </w:r>
            <w:r w:rsidRPr="00794EB9">
              <w:rPr>
                <w:rFonts w:ascii="Arial" w:hAnsi="Arial" w:cs="Arial"/>
                <w:b/>
                <w:bCs/>
                <w:sz w:val="22"/>
                <w:szCs w:val="22"/>
                <w:lang w:eastAsia="es-MX"/>
              </w:rPr>
              <w:lastRenderedPageBreak/>
              <w:t>insuficientes y deterioradas</w:t>
            </w:r>
            <w:r w:rsidRPr="00794EB9">
              <w:rPr>
                <w:rFonts w:ascii="Arial" w:hAnsi="Arial" w:cs="Arial"/>
                <w:bCs/>
                <w:sz w:val="22"/>
                <w:szCs w:val="22"/>
                <w:lang w:eastAsia="es-MX"/>
              </w:rPr>
              <w:t>; 12% de la ciudad presenta una cobertura arbórea para regular el microclima</w:t>
            </w:r>
          </w:p>
        </w:tc>
        <w:tc>
          <w:tcPr>
            <w:tcW w:w="118" w:type="pct"/>
            <w:tcBorders>
              <w:top w:val="nil"/>
              <w:left w:val="nil"/>
              <w:bottom w:val="nil"/>
              <w:right w:val="nil"/>
            </w:tcBorders>
            <w:shd w:val="clear" w:color="auto" w:fill="auto"/>
            <w:vAlign w:val="center"/>
            <w:hideMark/>
          </w:tcPr>
          <w:p w14:paraId="370F86D1" w14:textId="77777777" w:rsidR="00794EB9" w:rsidRPr="00794EB9" w:rsidRDefault="00794EB9" w:rsidP="00C307FB">
            <w:pPr>
              <w:jc w:val="center"/>
              <w:rPr>
                <w:rFonts w:ascii="Arial" w:hAnsi="Arial" w:cs="Arial"/>
                <w:bCs/>
                <w:sz w:val="22"/>
                <w:szCs w:val="22"/>
                <w:lang w:eastAsia="es-MX"/>
              </w:rPr>
            </w:pP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B3D112"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Insuficiente recuperac</w:t>
            </w:r>
            <w:r w:rsidRPr="00794EB9">
              <w:rPr>
                <w:rFonts w:ascii="Arial" w:hAnsi="Arial" w:cs="Arial"/>
                <w:b/>
                <w:bCs/>
                <w:sz w:val="22"/>
                <w:szCs w:val="22"/>
                <w:lang w:eastAsia="es-MX"/>
              </w:rPr>
              <w:lastRenderedPageBreak/>
              <w:t>ión y reutilización de residuos</w:t>
            </w:r>
            <w:r w:rsidRPr="00794EB9">
              <w:rPr>
                <w:rFonts w:ascii="Arial" w:hAnsi="Arial" w:cs="Arial"/>
                <w:bCs/>
                <w:sz w:val="22"/>
                <w:szCs w:val="22"/>
                <w:lang w:eastAsia="es-MX"/>
              </w:rPr>
              <w:t xml:space="preserve">; 155 toneladas de residuos valorizables en el 1er semestre 2021 </w:t>
            </w:r>
          </w:p>
        </w:tc>
        <w:tc>
          <w:tcPr>
            <w:tcW w:w="189" w:type="pct"/>
            <w:tcBorders>
              <w:top w:val="nil"/>
              <w:left w:val="nil"/>
              <w:bottom w:val="nil"/>
              <w:right w:val="nil"/>
            </w:tcBorders>
            <w:shd w:val="clear" w:color="auto" w:fill="auto"/>
            <w:vAlign w:val="center"/>
            <w:hideMark/>
          </w:tcPr>
          <w:p w14:paraId="326894E1" w14:textId="77777777" w:rsidR="00794EB9" w:rsidRPr="00794EB9" w:rsidRDefault="00794EB9" w:rsidP="00C307FB">
            <w:pPr>
              <w:jc w:val="center"/>
              <w:rPr>
                <w:rFonts w:ascii="Arial" w:hAnsi="Arial" w:cs="Arial"/>
                <w:bCs/>
                <w:sz w:val="22"/>
                <w:szCs w:val="22"/>
                <w:lang w:eastAsia="es-MX"/>
              </w:rPr>
            </w:pP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244072"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Pobreza alimentaria</w:t>
            </w:r>
            <w:r w:rsidRPr="00794EB9">
              <w:rPr>
                <w:rFonts w:ascii="Arial" w:hAnsi="Arial" w:cs="Arial"/>
                <w:bCs/>
                <w:sz w:val="22"/>
                <w:szCs w:val="22"/>
                <w:lang w:eastAsia="es-MX"/>
              </w:rPr>
              <w:t xml:space="preserve">; crecimiento </w:t>
            </w:r>
            <w:r w:rsidRPr="00794EB9">
              <w:rPr>
                <w:rFonts w:ascii="Arial" w:hAnsi="Arial" w:cs="Arial"/>
                <w:bCs/>
                <w:sz w:val="22"/>
                <w:szCs w:val="22"/>
                <w:lang w:eastAsia="es-MX"/>
              </w:rPr>
              <w:lastRenderedPageBreak/>
              <w:t>del 10.8% anual la población con carencia alimentaria</w:t>
            </w:r>
          </w:p>
        </w:tc>
        <w:tc>
          <w:tcPr>
            <w:tcW w:w="189" w:type="pct"/>
            <w:tcBorders>
              <w:top w:val="nil"/>
              <w:left w:val="nil"/>
              <w:bottom w:val="nil"/>
              <w:right w:val="nil"/>
            </w:tcBorders>
            <w:shd w:val="clear" w:color="auto" w:fill="auto"/>
            <w:vAlign w:val="center"/>
            <w:hideMark/>
          </w:tcPr>
          <w:p w14:paraId="16C944E9" w14:textId="77777777" w:rsidR="00794EB9" w:rsidRPr="00794EB9" w:rsidRDefault="00794EB9" w:rsidP="00C307FB">
            <w:pPr>
              <w:jc w:val="center"/>
              <w:rPr>
                <w:rFonts w:ascii="Arial" w:hAnsi="Arial" w:cs="Arial"/>
                <w:bCs/>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655CE9"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Baja cobertura de servicios</w:t>
            </w:r>
            <w:r w:rsidRPr="00794EB9">
              <w:rPr>
                <w:rFonts w:ascii="Arial" w:hAnsi="Arial" w:cs="Arial"/>
                <w:bCs/>
                <w:sz w:val="22"/>
                <w:szCs w:val="22"/>
                <w:lang w:eastAsia="es-MX"/>
              </w:rPr>
              <w:t xml:space="preserve">; </w:t>
            </w:r>
            <w:r w:rsidRPr="00794EB9">
              <w:rPr>
                <w:rFonts w:ascii="Arial" w:hAnsi="Arial" w:cs="Arial"/>
                <w:bCs/>
                <w:sz w:val="22"/>
                <w:szCs w:val="22"/>
                <w:lang w:eastAsia="es-MX"/>
              </w:rPr>
              <w:lastRenderedPageBreak/>
              <w:t>22.5% de la población no cuenta con afiliación a servicios de salud pública</w:t>
            </w:r>
          </w:p>
        </w:tc>
        <w:tc>
          <w:tcPr>
            <w:tcW w:w="206" w:type="pct"/>
            <w:tcBorders>
              <w:top w:val="nil"/>
              <w:left w:val="nil"/>
              <w:bottom w:val="nil"/>
              <w:right w:val="nil"/>
            </w:tcBorders>
            <w:shd w:val="clear" w:color="auto" w:fill="auto"/>
            <w:vAlign w:val="center"/>
            <w:hideMark/>
          </w:tcPr>
          <w:p w14:paraId="45AA2E50" w14:textId="77777777" w:rsidR="00794EB9" w:rsidRPr="00794EB9" w:rsidRDefault="00794EB9" w:rsidP="00C307FB">
            <w:pPr>
              <w:jc w:val="center"/>
              <w:rPr>
                <w:rFonts w:ascii="Arial" w:hAnsi="Arial" w:cs="Arial"/>
                <w:bCs/>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BF7A78"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Inequidad de género</w:t>
            </w:r>
            <w:r w:rsidRPr="00794EB9">
              <w:rPr>
                <w:rFonts w:ascii="Arial" w:hAnsi="Arial" w:cs="Arial"/>
                <w:bCs/>
                <w:sz w:val="22"/>
                <w:szCs w:val="22"/>
                <w:lang w:eastAsia="es-MX"/>
              </w:rPr>
              <w:t>;</w:t>
            </w:r>
          </w:p>
          <w:p w14:paraId="48CA2B67"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Cs/>
                <w:sz w:val="22"/>
                <w:szCs w:val="22"/>
                <w:lang w:eastAsia="es-MX"/>
              </w:rPr>
              <w:lastRenderedPageBreak/>
              <w:t>67 mujeres por cada 100 hombres ganan más de 3 salarios mínimos</w:t>
            </w:r>
          </w:p>
        </w:tc>
      </w:tr>
      <w:tr w:rsidR="00794EB9" w:rsidRPr="00794EB9" w14:paraId="45823969" w14:textId="77777777" w:rsidTr="00C307FB">
        <w:trPr>
          <w:trHeight w:val="65"/>
        </w:trPr>
        <w:tc>
          <w:tcPr>
            <w:tcW w:w="795" w:type="pct"/>
            <w:tcBorders>
              <w:top w:val="nil"/>
              <w:left w:val="nil"/>
              <w:bottom w:val="nil"/>
              <w:right w:val="nil"/>
            </w:tcBorders>
            <w:shd w:val="clear" w:color="auto" w:fill="auto"/>
            <w:vAlign w:val="center"/>
            <w:hideMark/>
          </w:tcPr>
          <w:p w14:paraId="270F623C" w14:textId="77777777" w:rsidR="00794EB9" w:rsidRPr="00794EB9" w:rsidRDefault="00794EB9" w:rsidP="00C307FB">
            <w:pPr>
              <w:jc w:val="center"/>
              <w:rPr>
                <w:rFonts w:ascii="Arial" w:hAnsi="Arial" w:cs="Arial"/>
                <w:bCs/>
                <w:sz w:val="22"/>
                <w:szCs w:val="22"/>
                <w:lang w:eastAsia="es-MX"/>
              </w:rPr>
            </w:pPr>
          </w:p>
        </w:tc>
        <w:tc>
          <w:tcPr>
            <w:tcW w:w="118" w:type="pct"/>
            <w:tcBorders>
              <w:top w:val="nil"/>
              <w:left w:val="nil"/>
              <w:bottom w:val="nil"/>
              <w:right w:val="nil"/>
            </w:tcBorders>
            <w:shd w:val="clear" w:color="auto" w:fill="auto"/>
            <w:vAlign w:val="center"/>
            <w:hideMark/>
          </w:tcPr>
          <w:p w14:paraId="14385385" w14:textId="77777777" w:rsidR="00794EB9" w:rsidRPr="00794EB9" w:rsidRDefault="00794EB9" w:rsidP="00C307FB">
            <w:pPr>
              <w:jc w:val="center"/>
              <w:rPr>
                <w:rFonts w:ascii="Arial" w:hAnsi="Arial" w:cs="Arial"/>
                <w:sz w:val="22"/>
                <w:szCs w:val="22"/>
                <w:lang w:eastAsia="es-MX"/>
              </w:rPr>
            </w:pPr>
          </w:p>
        </w:tc>
        <w:tc>
          <w:tcPr>
            <w:tcW w:w="700" w:type="pct"/>
            <w:tcBorders>
              <w:top w:val="nil"/>
              <w:left w:val="nil"/>
              <w:bottom w:val="nil"/>
              <w:right w:val="nil"/>
            </w:tcBorders>
            <w:shd w:val="clear" w:color="auto" w:fill="auto"/>
            <w:vAlign w:val="center"/>
            <w:hideMark/>
          </w:tcPr>
          <w:p w14:paraId="4FE8BFE0" w14:textId="77777777" w:rsidR="00794EB9" w:rsidRPr="00794EB9" w:rsidRDefault="00794EB9" w:rsidP="00C307FB">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2F15D4CF" w14:textId="77777777" w:rsidR="00794EB9" w:rsidRPr="00794EB9" w:rsidRDefault="00794EB9" w:rsidP="00C307FB">
            <w:pPr>
              <w:jc w:val="center"/>
              <w:rPr>
                <w:rFonts w:ascii="Arial" w:hAnsi="Arial" w:cs="Arial"/>
                <w:sz w:val="22"/>
                <w:szCs w:val="22"/>
                <w:lang w:eastAsia="es-MX"/>
              </w:rPr>
            </w:pPr>
          </w:p>
        </w:tc>
        <w:tc>
          <w:tcPr>
            <w:tcW w:w="893" w:type="pct"/>
            <w:tcBorders>
              <w:top w:val="nil"/>
              <w:left w:val="nil"/>
              <w:bottom w:val="nil"/>
              <w:right w:val="nil"/>
            </w:tcBorders>
            <w:shd w:val="clear" w:color="auto" w:fill="auto"/>
            <w:vAlign w:val="center"/>
            <w:hideMark/>
          </w:tcPr>
          <w:p w14:paraId="7391DA45" w14:textId="77777777" w:rsidR="00794EB9" w:rsidRPr="00794EB9" w:rsidRDefault="00794EB9" w:rsidP="00C307FB">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3D6F7770" w14:textId="77777777" w:rsidR="00794EB9" w:rsidRPr="00794EB9" w:rsidRDefault="00794EB9" w:rsidP="00C307FB">
            <w:pPr>
              <w:jc w:val="center"/>
              <w:rPr>
                <w:rFonts w:ascii="Arial" w:hAnsi="Arial" w:cs="Arial"/>
                <w:sz w:val="22"/>
                <w:szCs w:val="22"/>
                <w:lang w:eastAsia="es-MX"/>
              </w:rPr>
            </w:pPr>
          </w:p>
        </w:tc>
        <w:tc>
          <w:tcPr>
            <w:tcW w:w="954" w:type="pct"/>
            <w:tcBorders>
              <w:top w:val="nil"/>
              <w:left w:val="nil"/>
              <w:bottom w:val="nil"/>
              <w:right w:val="nil"/>
            </w:tcBorders>
            <w:shd w:val="clear" w:color="auto" w:fill="auto"/>
            <w:vAlign w:val="center"/>
            <w:hideMark/>
          </w:tcPr>
          <w:p w14:paraId="7845CC97" w14:textId="77777777" w:rsidR="00794EB9" w:rsidRPr="00794EB9" w:rsidRDefault="00794EB9" w:rsidP="00C307FB">
            <w:pPr>
              <w:jc w:val="center"/>
              <w:rPr>
                <w:rFonts w:ascii="Arial" w:hAnsi="Arial" w:cs="Arial"/>
                <w:bCs/>
                <w:sz w:val="22"/>
                <w:szCs w:val="22"/>
                <w:lang w:eastAsia="es-MX"/>
              </w:rPr>
            </w:pPr>
          </w:p>
        </w:tc>
        <w:tc>
          <w:tcPr>
            <w:tcW w:w="206" w:type="pct"/>
            <w:tcBorders>
              <w:top w:val="nil"/>
              <w:left w:val="nil"/>
              <w:bottom w:val="nil"/>
              <w:right w:val="nil"/>
            </w:tcBorders>
            <w:shd w:val="clear" w:color="auto" w:fill="auto"/>
            <w:vAlign w:val="center"/>
            <w:hideMark/>
          </w:tcPr>
          <w:p w14:paraId="28C6B2F2" w14:textId="77777777" w:rsidR="00794EB9" w:rsidRPr="00794EB9" w:rsidRDefault="00794EB9" w:rsidP="00C307FB">
            <w:pPr>
              <w:jc w:val="center"/>
              <w:rPr>
                <w:rFonts w:ascii="Arial" w:hAnsi="Arial" w:cs="Arial"/>
                <w:sz w:val="22"/>
                <w:szCs w:val="22"/>
                <w:lang w:eastAsia="es-MX"/>
              </w:rPr>
            </w:pPr>
          </w:p>
        </w:tc>
        <w:tc>
          <w:tcPr>
            <w:tcW w:w="954" w:type="pct"/>
            <w:tcBorders>
              <w:top w:val="nil"/>
              <w:left w:val="nil"/>
              <w:bottom w:val="nil"/>
              <w:right w:val="nil"/>
            </w:tcBorders>
            <w:shd w:val="clear" w:color="auto" w:fill="auto"/>
            <w:vAlign w:val="center"/>
            <w:hideMark/>
          </w:tcPr>
          <w:p w14:paraId="69CBAB94" w14:textId="77777777" w:rsidR="00794EB9" w:rsidRPr="00794EB9" w:rsidRDefault="00794EB9" w:rsidP="00C307FB">
            <w:pPr>
              <w:jc w:val="center"/>
              <w:rPr>
                <w:rFonts w:ascii="Arial" w:hAnsi="Arial" w:cs="Arial"/>
                <w:sz w:val="22"/>
                <w:szCs w:val="22"/>
                <w:lang w:eastAsia="es-MX"/>
              </w:rPr>
            </w:pPr>
          </w:p>
        </w:tc>
      </w:tr>
      <w:tr w:rsidR="00794EB9" w:rsidRPr="00794EB9" w14:paraId="28D5232A" w14:textId="77777777" w:rsidTr="00C307FB">
        <w:trPr>
          <w:trHeight w:val="1064"/>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E15985"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Inaccesibilidad a áreas verdes</w:t>
            </w:r>
            <w:r w:rsidRPr="00794EB9">
              <w:rPr>
                <w:rFonts w:ascii="Arial" w:hAnsi="Arial" w:cs="Arial"/>
                <w:bCs/>
                <w:sz w:val="22"/>
                <w:szCs w:val="22"/>
                <w:lang w:eastAsia="es-MX"/>
              </w:rPr>
              <w:t xml:space="preserve"> </w:t>
            </w:r>
          </w:p>
        </w:tc>
        <w:tc>
          <w:tcPr>
            <w:tcW w:w="118" w:type="pct"/>
            <w:tcBorders>
              <w:top w:val="nil"/>
              <w:left w:val="nil"/>
              <w:bottom w:val="nil"/>
              <w:right w:val="nil"/>
            </w:tcBorders>
            <w:shd w:val="clear" w:color="auto" w:fill="auto"/>
            <w:vAlign w:val="center"/>
            <w:hideMark/>
          </w:tcPr>
          <w:p w14:paraId="73341E20" w14:textId="77777777" w:rsidR="00794EB9" w:rsidRPr="00794EB9" w:rsidRDefault="00794EB9" w:rsidP="00C307FB">
            <w:pPr>
              <w:jc w:val="center"/>
              <w:rPr>
                <w:rFonts w:ascii="Arial" w:hAnsi="Arial" w:cs="Arial"/>
                <w:bCs/>
                <w:sz w:val="22"/>
                <w:szCs w:val="22"/>
                <w:lang w:eastAsia="es-MX"/>
              </w:rPr>
            </w:pP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74B786"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Escasez de agua</w:t>
            </w:r>
            <w:r w:rsidRPr="00794EB9">
              <w:rPr>
                <w:rFonts w:ascii="Arial" w:hAnsi="Arial" w:cs="Arial"/>
                <w:bCs/>
                <w:sz w:val="22"/>
                <w:szCs w:val="22"/>
                <w:lang w:eastAsia="es-MX"/>
              </w:rPr>
              <w:t xml:space="preserve"> y sobreexplotación de mantos acuíferos, anualmente presentan un abatimiento de 1.5 metros</w:t>
            </w:r>
            <w:r w:rsidRPr="00794EB9">
              <w:rPr>
                <w:rFonts w:ascii="Arial" w:hAnsi="Arial" w:cs="Arial"/>
                <w:bCs/>
                <w:sz w:val="22"/>
                <w:szCs w:val="22"/>
                <w:vertAlign w:val="superscript"/>
                <w:lang w:eastAsia="es-MX"/>
              </w:rPr>
              <w:t>3</w:t>
            </w:r>
          </w:p>
        </w:tc>
        <w:tc>
          <w:tcPr>
            <w:tcW w:w="189" w:type="pct"/>
            <w:tcBorders>
              <w:top w:val="nil"/>
              <w:left w:val="nil"/>
              <w:bottom w:val="nil"/>
              <w:right w:val="nil"/>
            </w:tcBorders>
            <w:shd w:val="clear" w:color="auto" w:fill="auto"/>
            <w:noWrap/>
            <w:vAlign w:val="bottom"/>
            <w:hideMark/>
          </w:tcPr>
          <w:p w14:paraId="65B159EF" w14:textId="77777777" w:rsidR="00794EB9" w:rsidRPr="00794EB9" w:rsidRDefault="00794EB9" w:rsidP="00C307FB">
            <w:pPr>
              <w:jc w:val="center"/>
              <w:rPr>
                <w:rFonts w:ascii="Arial" w:hAnsi="Arial" w:cs="Arial"/>
                <w:bCs/>
                <w:sz w:val="22"/>
                <w:szCs w:val="22"/>
                <w:lang w:eastAsia="es-MX"/>
              </w:rPr>
            </w:pP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D3FFE3"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Marginación social</w:t>
            </w:r>
            <w:r w:rsidRPr="00794EB9">
              <w:rPr>
                <w:rFonts w:ascii="Arial" w:hAnsi="Arial" w:cs="Arial"/>
                <w:bCs/>
                <w:sz w:val="22"/>
                <w:szCs w:val="22"/>
                <w:lang w:eastAsia="es-MX"/>
              </w:rPr>
              <w:t xml:space="preserve">. 244 mil 885 personas de zonas urbanas y 2 mil 406 personas de zonas rurales viven en lugares </w:t>
            </w:r>
          </w:p>
          <w:p w14:paraId="630C8E0A"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Cs/>
                <w:sz w:val="22"/>
                <w:szCs w:val="22"/>
                <w:lang w:eastAsia="es-MX"/>
              </w:rPr>
              <w:t xml:space="preserve">con alta y muy alta marginación </w:t>
            </w:r>
          </w:p>
        </w:tc>
        <w:tc>
          <w:tcPr>
            <w:tcW w:w="189" w:type="pct"/>
            <w:tcBorders>
              <w:top w:val="nil"/>
              <w:left w:val="nil"/>
              <w:bottom w:val="nil"/>
              <w:right w:val="nil"/>
            </w:tcBorders>
            <w:shd w:val="clear" w:color="auto" w:fill="auto"/>
            <w:vAlign w:val="center"/>
            <w:hideMark/>
          </w:tcPr>
          <w:p w14:paraId="73B20905" w14:textId="77777777" w:rsidR="00794EB9" w:rsidRPr="00794EB9" w:rsidRDefault="00794EB9" w:rsidP="00C307FB">
            <w:pPr>
              <w:jc w:val="center"/>
              <w:rPr>
                <w:rFonts w:ascii="Arial" w:hAnsi="Arial" w:cs="Arial"/>
                <w:bCs/>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10FA88"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 xml:space="preserve">Insuficiente equipamiento de servicios de salud </w:t>
            </w:r>
            <w:r w:rsidRPr="00794EB9">
              <w:rPr>
                <w:rFonts w:ascii="Arial" w:hAnsi="Arial" w:cs="Arial"/>
                <w:bCs/>
                <w:sz w:val="22"/>
                <w:szCs w:val="22"/>
                <w:lang w:eastAsia="es-MX"/>
              </w:rPr>
              <w:t xml:space="preserve">para más de un millón 700 mil habitantes; 90 clínicas y hospitales públicos, además  sólo 5 centros de atención  para las adicciones cubren los requisitos de la CONADIC; 11 mil 224 atenciones por adicciones en el Hospital Psiquiátrico de enero a octubre de 2021 </w:t>
            </w:r>
          </w:p>
        </w:tc>
        <w:tc>
          <w:tcPr>
            <w:tcW w:w="206" w:type="pct"/>
            <w:tcBorders>
              <w:top w:val="nil"/>
              <w:left w:val="nil"/>
              <w:bottom w:val="nil"/>
              <w:right w:val="nil"/>
            </w:tcBorders>
            <w:shd w:val="clear" w:color="auto" w:fill="auto"/>
            <w:vAlign w:val="center"/>
            <w:hideMark/>
          </w:tcPr>
          <w:p w14:paraId="7667F4AA" w14:textId="77777777" w:rsidR="00794EB9" w:rsidRPr="00794EB9" w:rsidRDefault="00794EB9" w:rsidP="00C307FB">
            <w:pPr>
              <w:jc w:val="center"/>
              <w:rPr>
                <w:rFonts w:ascii="Arial" w:hAnsi="Arial" w:cs="Arial"/>
                <w:bCs/>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2225FB"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Exclusión social</w:t>
            </w:r>
            <w:r w:rsidRPr="00794EB9">
              <w:rPr>
                <w:rFonts w:ascii="Arial" w:hAnsi="Arial" w:cs="Arial"/>
                <w:bCs/>
                <w:sz w:val="22"/>
                <w:szCs w:val="22"/>
                <w:lang w:eastAsia="es-MX"/>
              </w:rPr>
              <w:t xml:space="preserve"> de los distintos grupos en situación de vulnerabilidad, </w:t>
            </w:r>
          </w:p>
          <w:p w14:paraId="7217CA59"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Cs/>
                <w:sz w:val="22"/>
                <w:szCs w:val="22"/>
                <w:lang w:eastAsia="es-MX"/>
              </w:rPr>
              <w:t>16% de niñas, niños y adolescentes de 3 a 14 años no asisten a la escuela</w:t>
            </w:r>
          </w:p>
          <w:p w14:paraId="15BAB311" w14:textId="77777777" w:rsidR="00794EB9" w:rsidRPr="00794EB9" w:rsidRDefault="00794EB9" w:rsidP="00C307FB">
            <w:pPr>
              <w:jc w:val="center"/>
              <w:rPr>
                <w:rFonts w:ascii="Arial" w:hAnsi="Arial" w:cs="Arial"/>
                <w:bCs/>
                <w:sz w:val="22"/>
                <w:szCs w:val="22"/>
                <w:lang w:eastAsia="es-MX"/>
              </w:rPr>
            </w:pPr>
          </w:p>
          <w:p w14:paraId="36745B08" w14:textId="77777777" w:rsidR="00794EB9" w:rsidRPr="00794EB9" w:rsidRDefault="00794EB9" w:rsidP="00C307FB">
            <w:pPr>
              <w:jc w:val="center"/>
              <w:rPr>
                <w:rFonts w:ascii="Arial" w:hAnsi="Arial" w:cs="Arial"/>
                <w:bCs/>
                <w:sz w:val="22"/>
                <w:szCs w:val="22"/>
                <w:lang w:eastAsia="es-MX"/>
              </w:rPr>
            </w:pPr>
          </w:p>
        </w:tc>
      </w:tr>
    </w:tbl>
    <w:p w14:paraId="13B2D342" w14:textId="77777777" w:rsidR="00794EB9" w:rsidRPr="00794EB9" w:rsidRDefault="00794EB9" w:rsidP="00794EB9">
      <w:pPr>
        <w:rPr>
          <w:rFonts w:ascii="Arial" w:hAnsi="Arial" w:cs="Arial"/>
          <w:b/>
          <w:bCs/>
          <w:sz w:val="22"/>
          <w:szCs w:val="22"/>
        </w:rPr>
      </w:pPr>
    </w:p>
    <w:p w14:paraId="4E5F4C04" w14:textId="77777777" w:rsidR="00794EB9" w:rsidRPr="00794EB9" w:rsidRDefault="00794EB9" w:rsidP="00794EB9">
      <w:pPr>
        <w:rPr>
          <w:rFonts w:ascii="Arial" w:hAnsi="Arial" w:cs="Arial"/>
          <w:b/>
          <w:bCs/>
          <w:sz w:val="22"/>
          <w:szCs w:val="22"/>
        </w:rPr>
      </w:pPr>
      <w:r w:rsidRPr="00794EB9">
        <w:rPr>
          <w:rFonts w:ascii="Arial" w:hAnsi="Arial" w:cs="Arial"/>
          <w:b/>
          <w:bCs/>
          <w:sz w:val="22"/>
          <w:szCs w:val="22"/>
        </w:rPr>
        <w:br w:type="page"/>
      </w:r>
    </w:p>
    <w:p w14:paraId="38F40268" w14:textId="77777777" w:rsidR="00794EB9" w:rsidRPr="00794EB9" w:rsidRDefault="00794EB9" w:rsidP="00794EB9">
      <w:pPr>
        <w:rPr>
          <w:rFonts w:ascii="Arial" w:hAnsi="Arial" w:cs="Arial"/>
          <w:sz w:val="22"/>
          <w:szCs w:val="22"/>
        </w:rPr>
      </w:pPr>
    </w:p>
    <w:p w14:paraId="040D182A" w14:textId="77777777" w:rsidR="00794EB9" w:rsidRPr="00794EB9" w:rsidRDefault="00794EB9" w:rsidP="00794EB9">
      <w:pPr>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330"/>
        <w:gridCol w:w="277"/>
        <w:gridCol w:w="1358"/>
        <w:gridCol w:w="507"/>
        <w:gridCol w:w="1514"/>
        <w:gridCol w:w="244"/>
        <w:gridCol w:w="1436"/>
        <w:gridCol w:w="507"/>
        <w:gridCol w:w="1655"/>
      </w:tblGrid>
      <w:tr w:rsidR="00794EB9" w:rsidRPr="00794EB9" w14:paraId="066F3D31" w14:textId="77777777" w:rsidTr="00C307FB">
        <w:trPr>
          <w:trHeight w:val="57"/>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564C892"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BAJOS NIVELES DE CRECIMIENTO ECONÓMICO Y DE PROSPERIDAD SOCIAL</w:t>
            </w:r>
          </w:p>
        </w:tc>
      </w:tr>
      <w:tr w:rsidR="00794EB9" w:rsidRPr="00794EB9" w14:paraId="5801E3E1" w14:textId="77777777" w:rsidTr="00C307FB">
        <w:trPr>
          <w:trHeight w:val="57"/>
        </w:trPr>
        <w:tc>
          <w:tcPr>
            <w:tcW w:w="768" w:type="pct"/>
            <w:tcBorders>
              <w:top w:val="nil"/>
              <w:left w:val="nil"/>
              <w:bottom w:val="nil"/>
              <w:right w:val="nil"/>
            </w:tcBorders>
            <w:shd w:val="clear" w:color="auto" w:fill="auto"/>
            <w:noWrap/>
            <w:vAlign w:val="bottom"/>
            <w:hideMark/>
          </w:tcPr>
          <w:p w14:paraId="748B4475" w14:textId="77777777" w:rsidR="00794EB9" w:rsidRPr="00794EB9" w:rsidRDefault="00794EB9" w:rsidP="00C307FB">
            <w:pPr>
              <w:jc w:val="center"/>
              <w:rPr>
                <w:rFonts w:ascii="Arial" w:hAnsi="Arial" w:cs="Arial"/>
                <w:b/>
                <w:bCs/>
                <w:sz w:val="22"/>
                <w:szCs w:val="22"/>
                <w:lang w:eastAsia="es-MX"/>
              </w:rPr>
            </w:pPr>
          </w:p>
        </w:tc>
        <w:tc>
          <w:tcPr>
            <w:tcW w:w="127" w:type="pct"/>
            <w:tcBorders>
              <w:top w:val="nil"/>
              <w:left w:val="nil"/>
              <w:bottom w:val="nil"/>
              <w:right w:val="nil"/>
            </w:tcBorders>
            <w:shd w:val="clear" w:color="auto" w:fill="auto"/>
            <w:noWrap/>
            <w:vAlign w:val="bottom"/>
            <w:hideMark/>
          </w:tcPr>
          <w:p w14:paraId="1DCE3D88" w14:textId="77777777" w:rsidR="00794EB9" w:rsidRPr="00794EB9" w:rsidRDefault="00794EB9" w:rsidP="00C307FB">
            <w:pPr>
              <w:rPr>
                <w:rFonts w:ascii="Arial" w:hAnsi="Arial" w:cs="Arial"/>
                <w:sz w:val="22"/>
                <w:szCs w:val="22"/>
                <w:lang w:eastAsia="es-MX"/>
              </w:rPr>
            </w:pPr>
          </w:p>
        </w:tc>
        <w:tc>
          <w:tcPr>
            <w:tcW w:w="785" w:type="pct"/>
            <w:tcBorders>
              <w:top w:val="nil"/>
              <w:left w:val="nil"/>
              <w:bottom w:val="nil"/>
              <w:right w:val="nil"/>
            </w:tcBorders>
            <w:shd w:val="clear" w:color="auto" w:fill="auto"/>
            <w:noWrap/>
            <w:vAlign w:val="bottom"/>
            <w:hideMark/>
          </w:tcPr>
          <w:p w14:paraId="0C1B5C28" w14:textId="77777777" w:rsidR="00794EB9" w:rsidRPr="00794EB9" w:rsidRDefault="00794EB9" w:rsidP="00C307FB">
            <w:pPr>
              <w:rPr>
                <w:rFonts w:ascii="Arial" w:hAnsi="Arial" w:cs="Arial"/>
                <w:sz w:val="22"/>
                <w:szCs w:val="22"/>
                <w:lang w:eastAsia="es-MX"/>
              </w:rPr>
            </w:pPr>
          </w:p>
        </w:tc>
        <w:tc>
          <w:tcPr>
            <w:tcW w:w="267" w:type="pct"/>
            <w:tcBorders>
              <w:top w:val="nil"/>
              <w:left w:val="nil"/>
              <w:bottom w:val="nil"/>
              <w:right w:val="nil"/>
            </w:tcBorders>
            <w:shd w:val="clear" w:color="auto" w:fill="auto"/>
            <w:noWrap/>
            <w:vAlign w:val="bottom"/>
            <w:hideMark/>
          </w:tcPr>
          <w:p w14:paraId="10AB2487" w14:textId="77777777" w:rsidR="00794EB9" w:rsidRPr="00794EB9" w:rsidRDefault="00794EB9" w:rsidP="00C307FB">
            <w:pPr>
              <w:rPr>
                <w:rFonts w:ascii="Arial" w:hAnsi="Arial" w:cs="Arial"/>
                <w:sz w:val="22"/>
                <w:szCs w:val="22"/>
                <w:lang w:eastAsia="es-MX"/>
              </w:rPr>
            </w:pPr>
          </w:p>
        </w:tc>
        <w:tc>
          <w:tcPr>
            <w:tcW w:w="880" w:type="pct"/>
            <w:tcBorders>
              <w:top w:val="nil"/>
              <w:left w:val="nil"/>
              <w:bottom w:val="nil"/>
              <w:right w:val="nil"/>
            </w:tcBorders>
            <w:shd w:val="clear" w:color="auto" w:fill="auto"/>
            <w:noWrap/>
            <w:vAlign w:val="bottom"/>
            <w:hideMark/>
          </w:tcPr>
          <w:p w14:paraId="10A51926" w14:textId="77777777" w:rsidR="00794EB9" w:rsidRPr="00794EB9" w:rsidRDefault="00794EB9" w:rsidP="00C307FB">
            <w:pPr>
              <w:rPr>
                <w:rFonts w:ascii="Arial" w:hAnsi="Arial" w:cs="Arial"/>
                <w:sz w:val="22"/>
                <w:szCs w:val="22"/>
                <w:lang w:eastAsia="es-MX"/>
              </w:rPr>
            </w:pPr>
          </w:p>
        </w:tc>
        <w:tc>
          <w:tcPr>
            <w:tcW w:w="107" w:type="pct"/>
            <w:tcBorders>
              <w:top w:val="nil"/>
              <w:left w:val="nil"/>
              <w:bottom w:val="nil"/>
              <w:right w:val="nil"/>
            </w:tcBorders>
            <w:shd w:val="clear" w:color="auto" w:fill="auto"/>
            <w:noWrap/>
            <w:vAlign w:val="bottom"/>
            <w:hideMark/>
          </w:tcPr>
          <w:p w14:paraId="28C292EF" w14:textId="77777777" w:rsidR="00794EB9" w:rsidRPr="00794EB9" w:rsidRDefault="00794EB9" w:rsidP="00C307FB">
            <w:pPr>
              <w:rPr>
                <w:rFonts w:ascii="Arial" w:hAnsi="Arial" w:cs="Arial"/>
                <w:sz w:val="22"/>
                <w:szCs w:val="22"/>
                <w:lang w:eastAsia="es-MX"/>
              </w:rPr>
            </w:pPr>
          </w:p>
        </w:tc>
        <w:tc>
          <w:tcPr>
            <w:tcW w:w="833" w:type="pct"/>
            <w:tcBorders>
              <w:top w:val="nil"/>
              <w:left w:val="nil"/>
              <w:bottom w:val="nil"/>
              <w:right w:val="nil"/>
            </w:tcBorders>
            <w:shd w:val="clear" w:color="auto" w:fill="auto"/>
            <w:noWrap/>
            <w:vAlign w:val="bottom"/>
            <w:hideMark/>
          </w:tcPr>
          <w:p w14:paraId="4B8BA348" w14:textId="77777777" w:rsidR="00794EB9" w:rsidRPr="00794EB9" w:rsidRDefault="00794EB9" w:rsidP="00C307FB">
            <w:pPr>
              <w:rPr>
                <w:rFonts w:ascii="Arial" w:hAnsi="Arial" w:cs="Arial"/>
                <w:sz w:val="22"/>
                <w:szCs w:val="22"/>
                <w:lang w:eastAsia="es-MX"/>
              </w:rPr>
            </w:pPr>
          </w:p>
        </w:tc>
        <w:tc>
          <w:tcPr>
            <w:tcW w:w="267" w:type="pct"/>
            <w:tcBorders>
              <w:top w:val="nil"/>
              <w:left w:val="nil"/>
              <w:bottom w:val="nil"/>
              <w:right w:val="nil"/>
            </w:tcBorders>
            <w:shd w:val="clear" w:color="auto" w:fill="auto"/>
            <w:noWrap/>
            <w:vAlign w:val="bottom"/>
            <w:hideMark/>
          </w:tcPr>
          <w:p w14:paraId="4703CD6F" w14:textId="77777777" w:rsidR="00794EB9" w:rsidRPr="00794EB9" w:rsidRDefault="00794EB9" w:rsidP="00C307FB">
            <w:pPr>
              <w:rPr>
                <w:rFonts w:ascii="Arial" w:hAnsi="Arial" w:cs="Arial"/>
                <w:sz w:val="22"/>
                <w:szCs w:val="22"/>
                <w:lang w:eastAsia="es-MX"/>
              </w:rPr>
            </w:pPr>
          </w:p>
        </w:tc>
        <w:tc>
          <w:tcPr>
            <w:tcW w:w="965" w:type="pct"/>
            <w:tcBorders>
              <w:top w:val="nil"/>
              <w:left w:val="nil"/>
              <w:bottom w:val="nil"/>
              <w:right w:val="nil"/>
            </w:tcBorders>
            <w:shd w:val="clear" w:color="auto" w:fill="auto"/>
            <w:noWrap/>
            <w:vAlign w:val="bottom"/>
            <w:hideMark/>
          </w:tcPr>
          <w:p w14:paraId="77ECF1B7" w14:textId="77777777" w:rsidR="00794EB9" w:rsidRPr="00794EB9" w:rsidRDefault="00794EB9" w:rsidP="00C307FB">
            <w:pPr>
              <w:rPr>
                <w:rFonts w:ascii="Arial" w:hAnsi="Arial" w:cs="Arial"/>
                <w:sz w:val="22"/>
                <w:szCs w:val="22"/>
                <w:lang w:eastAsia="es-MX"/>
              </w:rPr>
            </w:pPr>
          </w:p>
        </w:tc>
      </w:tr>
      <w:tr w:rsidR="00794EB9" w:rsidRPr="00794EB9" w14:paraId="22372D64" w14:textId="77777777" w:rsidTr="00C307FB">
        <w:trPr>
          <w:trHeight w:val="823"/>
        </w:trPr>
        <w:tc>
          <w:tcPr>
            <w:tcW w:w="168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B9005E1"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Desatención de los distintos grupos sociales en situación de vulnerabilidad</w:t>
            </w:r>
            <w:r w:rsidRPr="00794EB9">
              <w:rPr>
                <w:rFonts w:ascii="Arial" w:hAnsi="Arial" w:cs="Arial"/>
                <w:sz w:val="22"/>
                <w:szCs w:val="22"/>
                <w:lang w:eastAsia="es-MX"/>
              </w:rPr>
              <w:t>, aumentado las condiciones de desigualdad económica y social, así como problemáticas sociales en entornos urbanos con mayor cantidad de viviendas abandonadas</w:t>
            </w:r>
          </w:p>
        </w:tc>
        <w:tc>
          <w:tcPr>
            <w:tcW w:w="267" w:type="pct"/>
            <w:tcBorders>
              <w:top w:val="nil"/>
              <w:left w:val="nil"/>
              <w:bottom w:val="nil"/>
              <w:right w:val="nil"/>
            </w:tcBorders>
            <w:shd w:val="clear" w:color="auto" w:fill="auto"/>
            <w:noWrap/>
            <w:vAlign w:val="center"/>
            <w:hideMark/>
          </w:tcPr>
          <w:p w14:paraId="3F3E6C18" w14:textId="77777777" w:rsidR="00794EB9" w:rsidRPr="00794EB9" w:rsidRDefault="00794EB9" w:rsidP="00C307FB">
            <w:pPr>
              <w:jc w:val="center"/>
              <w:rPr>
                <w:rFonts w:ascii="Arial" w:hAnsi="Arial" w:cs="Arial"/>
                <w:sz w:val="22"/>
                <w:szCs w:val="22"/>
                <w:lang w:eastAsia="es-MX"/>
              </w:rPr>
            </w:pPr>
          </w:p>
        </w:tc>
        <w:tc>
          <w:tcPr>
            <w:tcW w:w="182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8C5A903"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Estancamiento económico de León</w:t>
            </w:r>
            <w:r w:rsidRPr="00794EB9">
              <w:rPr>
                <w:rFonts w:ascii="Arial" w:hAnsi="Arial" w:cs="Arial"/>
                <w:sz w:val="22"/>
                <w:szCs w:val="22"/>
                <w:lang w:eastAsia="es-MX"/>
              </w:rPr>
              <w:t>, con la persistencia de los efectos de la pandemia por COVID-19 en unidades económicas y empresas</w:t>
            </w:r>
          </w:p>
        </w:tc>
        <w:tc>
          <w:tcPr>
            <w:tcW w:w="267" w:type="pct"/>
            <w:tcBorders>
              <w:top w:val="nil"/>
              <w:left w:val="nil"/>
              <w:bottom w:val="nil"/>
              <w:right w:val="nil"/>
            </w:tcBorders>
            <w:shd w:val="clear" w:color="auto" w:fill="auto"/>
            <w:noWrap/>
            <w:vAlign w:val="center"/>
            <w:hideMark/>
          </w:tcPr>
          <w:p w14:paraId="31F1BF31" w14:textId="77777777" w:rsidR="00794EB9" w:rsidRPr="00794EB9" w:rsidRDefault="00794EB9" w:rsidP="00C307FB">
            <w:pPr>
              <w:jc w:val="center"/>
              <w:rPr>
                <w:rFonts w:ascii="Arial" w:hAnsi="Arial" w:cs="Arial"/>
                <w:sz w:val="22"/>
                <w:szCs w:val="22"/>
                <w:lang w:eastAsia="es-MX"/>
              </w:rPr>
            </w:pP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40923F"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Planeación del desarrollo, de la infraestructura y de la  conectividad</w:t>
            </w:r>
            <w:r w:rsidRPr="00794EB9">
              <w:rPr>
                <w:rFonts w:ascii="Arial" w:hAnsi="Arial" w:cs="Arial"/>
                <w:sz w:val="22"/>
                <w:szCs w:val="22"/>
                <w:lang w:eastAsia="es-MX"/>
              </w:rPr>
              <w:t xml:space="preserve"> sin integración territorial de nivel metropolitano</w:t>
            </w:r>
          </w:p>
        </w:tc>
      </w:tr>
      <w:tr w:rsidR="00794EB9" w:rsidRPr="00794EB9" w14:paraId="4AE9D0A4" w14:textId="77777777" w:rsidTr="00C307FB">
        <w:trPr>
          <w:trHeight w:val="57"/>
        </w:trPr>
        <w:tc>
          <w:tcPr>
            <w:tcW w:w="768" w:type="pct"/>
            <w:tcBorders>
              <w:top w:val="nil"/>
              <w:left w:val="nil"/>
              <w:bottom w:val="nil"/>
              <w:right w:val="nil"/>
            </w:tcBorders>
            <w:shd w:val="clear" w:color="auto" w:fill="auto"/>
            <w:noWrap/>
            <w:vAlign w:val="bottom"/>
            <w:hideMark/>
          </w:tcPr>
          <w:p w14:paraId="39D51924" w14:textId="77777777" w:rsidR="00794EB9" w:rsidRPr="00794EB9" w:rsidRDefault="00794EB9" w:rsidP="00C307FB">
            <w:pPr>
              <w:jc w:val="center"/>
              <w:rPr>
                <w:rFonts w:ascii="Arial" w:hAnsi="Arial" w:cs="Arial"/>
                <w:sz w:val="22"/>
                <w:szCs w:val="22"/>
                <w:lang w:eastAsia="es-MX"/>
              </w:rPr>
            </w:pPr>
          </w:p>
        </w:tc>
        <w:tc>
          <w:tcPr>
            <w:tcW w:w="127" w:type="pct"/>
            <w:tcBorders>
              <w:top w:val="nil"/>
              <w:left w:val="nil"/>
              <w:bottom w:val="nil"/>
              <w:right w:val="nil"/>
            </w:tcBorders>
            <w:shd w:val="clear" w:color="auto" w:fill="auto"/>
            <w:noWrap/>
            <w:vAlign w:val="bottom"/>
            <w:hideMark/>
          </w:tcPr>
          <w:p w14:paraId="3F323C51" w14:textId="77777777" w:rsidR="00794EB9" w:rsidRPr="00794EB9" w:rsidRDefault="00794EB9" w:rsidP="00C307FB">
            <w:pPr>
              <w:rPr>
                <w:rFonts w:ascii="Arial" w:hAnsi="Arial" w:cs="Arial"/>
                <w:sz w:val="22"/>
                <w:szCs w:val="22"/>
                <w:lang w:eastAsia="es-MX"/>
              </w:rPr>
            </w:pPr>
          </w:p>
        </w:tc>
        <w:tc>
          <w:tcPr>
            <w:tcW w:w="785" w:type="pct"/>
            <w:tcBorders>
              <w:top w:val="nil"/>
              <w:left w:val="nil"/>
              <w:bottom w:val="nil"/>
              <w:right w:val="nil"/>
            </w:tcBorders>
            <w:shd w:val="clear" w:color="auto" w:fill="auto"/>
            <w:noWrap/>
            <w:vAlign w:val="bottom"/>
            <w:hideMark/>
          </w:tcPr>
          <w:p w14:paraId="0540B8C9" w14:textId="77777777" w:rsidR="00794EB9" w:rsidRPr="00794EB9" w:rsidRDefault="00794EB9" w:rsidP="00C307FB">
            <w:pPr>
              <w:rPr>
                <w:rFonts w:ascii="Arial" w:hAnsi="Arial" w:cs="Arial"/>
                <w:sz w:val="22"/>
                <w:szCs w:val="22"/>
                <w:lang w:eastAsia="es-MX"/>
              </w:rPr>
            </w:pPr>
          </w:p>
        </w:tc>
        <w:tc>
          <w:tcPr>
            <w:tcW w:w="267" w:type="pct"/>
            <w:tcBorders>
              <w:top w:val="nil"/>
              <w:left w:val="nil"/>
              <w:bottom w:val="nil"/>
              <w:right w:val="nil"/>
            </w:tcBorders>
            <w:shd w:val="clear" w:color="auto" w:fill="auto"/>
            <w:noWrap/>
            <w:vAlign w:val="bottom"/>
            <w:hideMark/>
          </w:tcPr>
          <w:p w14:paraId="1EFDA3D4" w14:textId="77777777" w:rsidR="00794EB9" w:rsidRPr="00794EB9" w:rsidRDefault="00794EB9" w:rsidP="00C307FB">
            <w:pPr>
              <w:rPr>
                <w:rFonts w:ascii="Arial" w:hAnsi="Arial" w:cs="Arial"/>
                <w:sz w:val="22"/>
                <w:szCs w:val="22"/>
                <w:lang w:eastAsia="es-MX"/>
              </w:rPr>
            </w:pPr>
          </w:p>
        </w:tc>
        <w:tc>
          <w:tcPr>
            <w:tcW w:w="880" w:type="pct"/>
            <w:tcBorders>
              <w:top w:val="nil"/>
              <w:left w:val="nil"/>
              <w:bottom w:val="nil"/>
              <w:right w:val="nil"/>
            </w:tcBorders>
            <w:shd w:val="clear" w:color="auto" w:fill="auto"/>
            <w:noWrap/>
            <w:vAlign w:val="bottom"/>
            <w:hideMark/>
          </w:tcPr>
          <w:p w14:paraId="0382C753" w14:textId="77777777" w:rsidR="00794EB9" w:rsidRPr="00794EB9" w:rsidRDefault="00794EB9" w:rsidP="00C307FB">
            <w:pPr>
              <w:rPr>
                <w:rFonts w:ascii="Arial" w:hAnsi="Arial" w:cs="Arial"/>
                <w:sz w:val="22"/>
                <w:szCs w:val="22"/>
                <w:lang w:eastAsia="es-MX"/>
              </w:rPr>
            </w:pPr>
          </w:p>
        </w:tc>
        <w:tc>
          <w:tcPr>
            <w:tcW w:w="107" w:type="pct"/>
            <w:tcBorders>
              <w:top w:val="nil"/>
              <w:left w:val="nil"/>
              <w:bottom w:val="nil"/>
              <w:right w:val="nil"/>
            </w:tcBorders>
            <w:shd w:val="clear" w:color="auto" w:fill="auto"/>
            <w:noWrap/>
            <w:vAlign w:val="bottom"/>
            <w:hideMark/>
          </w:tcPr>
          <w:p w14:paraId="4B255D52" w14:textId="77777777" w:rsidR="00794EB9" w:rsidRPr="00794EB9" w:rsidRDefault="00794EB9" w:rsidP="00C307FB">
            <w:pPr>
              <w:rPr>
                <w:rFonts w:ascii="Arial" w:hAnsi="Arial" w:cs="Arial"/>
                <w:sz w:val="22"/>
                <w:szCs w:val="22"/>
                <w:lang w:eastAsia="es-MX"/>
              </w:rPr>
            </w:pPr>
          </w:p>
        </w:tc>
        <w:tc>
          <w:tcPr>
            <w:tcW w:w="833" w:type="pct"/>
            <w:tcBorders>
              <w:top w:val="nil"/>
              <w:left w:val="nil"/>
              <w:bottom w:val="nil"/>
              <w:right w:val="nil"/>
            </w:tcBorders>
            <w:shd w:val="clear" w:color="auto" w:fill="auto"/>
            <w:noWrap/>
            <w:vAlign w:val="bottom"/>
            <w:hideMark/>
          </w:tcPr>
          <w:p w14:paraId="7379E608" w14:textId="77777777" w:rsidR="00794EB9" w:rsidRPr="00794EB9" w:rsidRDefault="00794EB9" w:rsidP="00C307FB">
            <w:pPr>
              <w:rPr>
                <w:rFonts w:ascii="Arial" w:hAnsi="Arial" w:cs="Arial"/>
                <w:sz w:val="22"/>
                <w:szCs w:val="22"/>
                <w:lang w:eastAsia="es-MX"/>
              </w:rPr>
            </w:pPr>
          </w:p>
        </w:tc>
        <w:tc>
          <w:tcPr>
            <w:tcW w:w="267" w:type="pct"/>
            <w:tcBorders>
              <w:top w:val="nil"/>
              <w:left w:val="nil"/>
              <w:bottom w:val="nil"/>
              <w:right w:val="nil"/>
            </w:tcBorders>
            <w:shd w:val="clear" w:color="auto" w:fill="auto"/>
            <w:noWrap/>
            <w:vAlign w:val="bottom"/>
            <w:hideMark/>
          </w:tcPr>
          <w:p w14:paraId="267AB98B" w14:textId="77777777" w:rsidR="00794EB9" w:rsidRPr="00794EB9" w:rsidRDefault="00794EB9" w:rsidP="00C307FB">
            <w:pPr>
              <w:rPr>
                <w:rFonts w:ascii="Arial" w:hAnsi="Arial" w:cs="Arial"/>
                <w:sz w:val="22"/>
                <w:szCs w:val="22"/>
                <w:lang w:eastAsia="es-MX"/>
              </w:rPr>
            </w:pPr>
          </w:p>
        </w:tc>
        <w:tc>
          <w:tcPr>
            <w:tcW w:w="965" w:type="pct"/>
            <w:tcBorders>
              <w:top w:val="nil"/>
              <w:left w:val="nil"/>
              <w:bottom w:val="nil"/>
              <w:right w:val="nil"/>
            </w:tcBorders>
            <w:shd w:val="clear" w:color="auto" w:fill="auto"/>
            <w:noWrap/>
            <w:vAlign w:val="bottom"/>
            <w:hideMark/>
          </w:tcPr>
          <w:p w14:paraId="4D2CCE0E" w14:textId="77777777" w:rsidR="00794EB9" w:rsidRPr="00794EB9" w:rsidRDefault="00794EB9" w:rsidP="00C307FB">
            <w:pPr>
              <w:rPr>
                <w:rFonts w:ascii="Arial" w:hAnsi="Arial" w:cs="Arial"/>
                <w:sz w:val="22"/>
                <w:szCs w:val="22"/>
                <w:lang w:eastAsia="es-MX"/>
              </w:rPr>
            </w:pPr>
          </w:p>
        </w:tc>
      </w:tr>
      <w:tr w:rsidR="00794EB9" w:rsidRPr="00794EB9" w14:paraId="28E1E2B2" w14:textId="77777777" w:rsidTr="00C307FB">
        <w:trPr>
          <w:trHeight w:val="57"/>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61074"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Limitaciones en el acceso al empleo, a condiciones de bienestar y a oportunidades de desarrollo económico para los diferentes sectores de la población</w:t>
            </w:r>
          </w:p>
        </w:tc>
      </w:tr>
      <w:tr w:rsidR="00794EB9" w:rsidRPr="00794EB9" w14:paraId="735C3D3F" w14:textId="77777777" w:rsidTr="00C307FB">
        <w:trPr>
          <w:trHeight w:val="57"/>
        </w:trPr>
        <w:tc>
          <w:tcPr>
            <w:tcW w:w="768" w:type="pct"/>
            <w:tcBorders>
              <w:top w:val="nil"/>
              <w:left w:val="nil"/>
              <w:bottom w:val="nil"/>
              <w:right w:val="nil"/>
            </w:tcBorders>
            <w:shd w:val="clear" w:color="auto" w:fill="auto"/>
            <w:noWrap/>
            <w:vAlign w:val="bottom"/>
            <w:hideMark/>
          </w:tcPr>
          <w:p w14:paraId="7CC2951C" w14:textId="77777777" w:rsidR="00794EB9" w:rsidRPr="00794EB9" w:rsidRDefault="00794EB9" w:rsidP="00C307FB">
            <w:pPr>
              <w:jc w:val="center"/>
              <w:rPr>
                <w:rFonts w:ascii="Arial" w:hAnsi="Arial" w:cs="Arial"/>
                <w:b/>
                <w:bCs/>
                <w:sz w:val="22"/>
                <w:szCs w:val="22"/>
                <w:lang w:eastAsia="es-MX"/>
              </w:rPr>
            </w:pPr>
          </w:p>
        </w:tc>
        <w:tc>
          <w:tcPr>
            <w:tcW w:w="127" w:type="pct"/>
            <w:tcBorders>
              <w:top w:val="nil"/>
              <w:left w:val="nil"/>
              <w:bottom w:val="nil"/>
              <w:right w:val="nil"/>
            </w:tcBorders>
            <w:shd w:val="clear" w:color="auto" w:fill="auto"/>
            <w:noWrap/>
            <w:vAlign w:val="bottom"/>
            <w:hideMark/>
          </w:tcPr>
          <w:p w14:paraId="4FDF5A31" w14:textId="77777777" w:rsidR="00794EB9" w:rsidRPr="00794EB9" w:rsidRDefault="00794EB9" w:rsidP="00C307FB">
            <w:pPr>
              <w:rPr>
                <w:rFonts w:ascii="Arial" w:hAnsi="Arial" w:cs="Arial"/>
                <w:sz w:val="22"/>
                <w:szCs w:val="22"/>
                <w:lang w:eastAsia="es-MX"/>
              </w:rPr>
            </w:pPr>
          </w:p>
        </w:tc>
        <w:tc>
          <w:tcPr>
            <w:tcW w:w="785" w:type="pct"/>
            <w:tcBorders>
              <w:top w:val="nil"/>
              <w:left w:val="nil"/>
              <w:bottom w:val="nil"/>
              <w:right w:val="nil"/>
            </w:tcBorders>
            <w:shd w:val="clear" w:color="auto" w:fill="auto"/>
            <w:noWrap/>
            <w:vAlign w:val="bottom"/>
            <w:hideMark/>
          </w:tcPr>
          <w:p w14:paraId="4693EFEE" w14:textId="77777777" w:rsidR="00794EB9" w:rsidRPr="00794EB9" w:rsidRDefault="00794EB9" w:rsidP="00C307FB">
            <w:pPr>
              <w:rPr>
                <w:rFonts w:ascii="Arial" w:hAnsi="Arial" w:cs="Arial"/>
                <w:sz w:val="22"/>
                <w:szCs w:val="22"/>
                <w:lang w:eastAsia="es-MX"/>
              </w:rPr>
            </w:pPr>
          </w:p>
        </w:tc>
        <w:tc>
          <w:tcPr>
            <w:tcW w:w="267" w:type="pct"/>
            <w:tcBorders>
              <w:top w:val="nil"/>
              <w:left w:val="nil"/>
              <w:bottom w:val="nil"/>
              <w:right w:val="nil"/>
            </w:tcBorders>
            <w:shd w:val="clear" w:color="auto" w:fill="auto"/>
            <w:noWrap/>
            <w:vAlign w:val="bottom"/>
            <w:hideMark/>
          </w:tcPr>
          <w:p w14:paraId="3468470B" w14:textId="77777777" w:rsidR="00794EB9" w:rsidRPr="00794EB9" w:rsidRDefault="00794EB9" w:rsidP="00C307FB">
            <w:pPr>
              <w:rPr>
                <w:rFonts w:ascii="Arial" w:hAnsi="Arial" w:cs="Arial"/>
                <w:sz w:val="22"/>
                <w:szCs w:val="22"/>
                <w:lang w:eastAsia="es-MX"/>
              </w:rPr>
            </w:pPr>
          </w:p>
        </w:tc>
        <w:tc>
          <w:tcPr>
            <w:tcW w:w="880" w:type="pct"/>
            <w:tcBorders>
              <w:top w:val="nil"/>
              <w:left w:val="nil"/>
              <w:bottom w:val="nil"/>
              <w:right w:val="nil"/>
            </w:tcBorders>
            <w:shd w:val="clear" w:color="auto" w:fill="auto"/>
            <w:noWrap/>
            <w:vAlign w:val="bottom"/>
            <w:hideMark/>
          </w:tcPr>
          <w:p w14:paraId="1F7A32B6" w14:textId="77777777" w:rsidR="00794EB9" w:rsidRPr="00794EB9" w:rsidRDefault="00794EB9" w:rsidP="00C307FB">
            <w:pPr>
              <w:rPr>
                <w:rFonts w:ascii="Arial" w:hAnsi="Arial" w:cs="Arial"/>
                <w:sz w:val="22"/>
                <w:szCs w:val="22"/>
                <w:lang w:eastAsia="es-MX"/>
              </w:rPr>
            </w:pPr>
          </w:p>
        </w:tc>
        <w:tc>
          <w:tcPr>
            <w:tcW w:w="107" w:type="pct"/>
            <w:tcBorders>
              <w:top w:val="nil"/>
              <w:left w:val="nil"/>
              <w:bottom w:val="nil"/>
              <w:right w:val="nil"/>
            </w:tcBorders>
            <w:shd w:val="clear" w:color="auto" w:fill="auto"/>
            <w:noWrap/>
            <w:vAlign w:val="bottom"/>
            <w:hideMark/>
          </w:tcPr>
          <w:p w14:paraId="2DF82F0F" w14:textId="77777777" w:rsidR="00794EB9" w:rsidRPr="00794EB9" w:rsidRDefault="00794EB9" w:rsidP="00C307FB">
            <w:pPr>
              <w:rPr>
                <w:rFonts w:ascii="Arial" w:hAnsi="Arial" w:cs="Arial"/>
                <w:sz w:val="22"/>
                <w:szCs w:val="22"/>
                <w:lang w:eastAsia="es-MX"/>
              </w:rPr>
            </w:pPr>
          </w:p>
        </w:tc>
        <w:tc>
          <w:tcPr>
            <w:tcW w:w="833" w:type="pct"/>
            <w:tcBorders>
              <w:top w:val="nil"/>
              <w:left w:val="nil"/>
              <w:bottom w:val="nil"/>
              <w:right w:val="nil"/>
            </w:tcBorders>
            <w:shd w:val="clear" w:color="auto" w:fill="auto"/>
            <w:noWrap/>
            <w:vAlign w:val="bottom"/>
            <w:hideMark/>
          </w:tcPr>
          <w:p w14:paraId="25321C1B" w14:textId="77777777" w:rsidR="00794EB9" w:rsidRPr="00794EB9" w:rsidRDefault="00794EB9" w:rsidP="00C307FB">
            <w:pPr>
              <w:rPr>
                <w:rFonts w:ascii="Arial" w:hAnsi="Arial" w:cs="Arial"/>
                <w:sz w:val="22"/>
                <w:szCs w:val="22"/>
                <w:lang w:eastAsia="es-MX"/>
              </w:rPr>
            </w:pPr>
          </w:p>
        </w:tc>
        <w:tc>
          <w:tcPr>
            <w:tcW w:w="267" w:type="pct"/>
            <w:tcBorders>
              <w:top w:val="nil"/>
              <w:left w:val="nil"/>
              <w:bottom w:val="nil"/>
              <w:right w:val="nil"/>
            </w:tcBorders>
            <w:shd w:val="clear" w:color="auto" w:fill="auto"/>
            <w:noWrap/>
            <w:vAlign w:val="bottom"/>
            <w:hideMark/>
          </w:tcPr>
          <w:p w14:paraId="0E6D007E" w14:textId="77777777" w:rsidR="00794EB9" w:rsidRPr="00794EB9" w:rsidRDefault="00794EB9" w:rsidP="00C307FB">
            <w:pPr>
              <w:rPr>
                <w:rFonts w:ascii="Arial" w:hAnsi="Arial" w:cs="Arial"/>
                <w:sz w:val="22"/>
                <w:szCs w:val="22"/>
                <w:lang w:eastAsia="es-MX"/>
              </w:rPr>
            </w:pPr>
          </w:p>
        </w:tc>
        <w:tc>
          <w:tcPr>
            <w:tcW w:w="965" w:type="pct"/>
            <w:tcBorders>
              <w:top w:val="nil"/>
              <w:left w:val="nil"/>
              <w:bottom w:val="nil"/>
              <w:right w:val="nil"/>
            </w:tcBorders>
            <w:shd w:val="clear" w:color="auto" w:fill="auto"/>
            <w:noWrap/>
            <w:vAlign w:val="bottom"/>
            <w:hideMark/>
          </w:tcPr>
          <w:p w14:paraId="06B89C99" w14:textId="77777777" w:rsidR="00794EB9" w:rsidRPr="00794EB9" w:rsidRDefault="00794EB9" w:rsidP="00C307FB">
            <w:pPr>
              <w:rPr>
                <w:rFonts w:ascii="Arial" w:hAnsi="Arial" w:cs="Arial"/>
                <w:sz w:val="22"/>
                <w:szCs w:val="22"/>
                <w:lang w:eastAsia="es-MX"/>
              </w:rPr>
            </w:pPr>
          </w:p>
        </w:tc>
      </w:tr>
      <w:tr w:rsidR="00794EB9" w:rsidRPr="00794EB9" w14:paraId="5C51096B" w14:textId="77777777" w:rsidTr="00C307FB">
        <w:trPr>
          <w:trHeight w:val="57"/>
        </w:trPr>
        <w:tc>
          <w:tcPr>
            <w:tcW w:w="168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4A68569"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Restricción de oportunidades para el desarrollo</w:t>
            </w:r>
          </w:p>
        </w:tc>
        <w:tc>
          <w:tcPr>
            <w:tcW w:w="267" w:type="pct"/>
            <w:tcBorders>
              <w:top w:val="nil"/>
              <w:left w:val="nil"/>
              <w:bottom w:val="nil"/>
              <w:right w:val="nil"/>
            </w:tcBorders>
            <w:shd w:val="clear" w:color="auto" w:fill="auto"/>
            <w:noWrap/>
            <w:vAlign w:val="center"/>
            <w:hideMark/>
          </w:tcPr>
          <w:p w14:paraId="7358D9CB" w14:textId="77777777" w:rsidR="00794EB9" w:rsidRPr="00794EB9" w:rsidRDefault="00794EB9" w:rsidP="00C307FB">
            <w:pPr>
              <w:jc w:val="center"/>
              <w:rPr>
                <w:rFonts w:ascii="Arial" w:hAnsi="Arial" w:cs="Arial"/>
                <w:b/>
                <w:bCs/>
                <w:sz w:val="22"/>
                <w:szCs w:val="22"/>
                <w:lang w:eastAsia="es-MX"/>
              </w:rPr>
            </w:pPr>
          </w:p>
        </w:tc>
        <w:tc>
          <w:tcPr>
            <w:tcW w:w="182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2A839FB"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Estancamiento de la economía</w:t>
            </w:r>
          </w:p>
        </w:tc>
        <w:tc>
          <w:tcPr>
            <w:tcW w:w="267" w:type="pct"/>
            <w:tcBorders>
              <w:top w:val="nil"/>
              <w:left w:val="nil"/>
              <w:bottom w:val="nil"/>
              <w:right w:val="nil"/>
            </w:tcBorders>
            <w:shd w:val="clear" w:color="auto" w:fill="auto"/>
            <w:noWrap/>
            <w:vAlign w:val="center"/>
            <w:hideMark/>
          </w:tcPr>
          <w:p w14:paraId="7AC52820" w14:textId="77777777" w:rsidR="00794EB9" w:rsidRPr="00794EB9" w:rsidRDefault="00794EB9" w:rsidP="00C307FB">
            <w:pPr>
              <w:jc w:val="center"/>
              <w:rPr>
                <w:rFonts w:ascii="Arial" w:hAnsi="Arial" w:cs="Arial"/>
                <w:b/>
                <w:bCs/>
                <w:sz w:val="22"/>
                <w:szCs w:val="22"/>
                <w:lang w:eastAsia="es-MX"/>
              </w:rPr>
            </w:pP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A13A93"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Planeación desarticulada con la zona metropolitana</w:t>
            </w:r>
          </w:p>
        </w:tc>
      </w:tr>
      <w:tr w:rsidR="00794EB9" w:rsidRPr="00794EB9" w14:paraId="46C59F8F" w14:textId="77777777" w:rsidTr="00C307FB">
        <w:trPr>
          <w:trHeight w:val="57"/>
        </w:trPr>
        <w:tc>
          <w:tcPr>
            <w:tcW w:w="768" w:type="pct"/>
            <w:tcBorders>
              <w:top w:val="nil"/>
              <w:left w:val="nil"/>
              <w:bottom w:val="nil"/>
              <w:right w:val="nil"/>
            </w:tcBorders>
            <w:shd w:val="clear" w:color="auto" w:fill="auto"/>
            <w:vAlign w:val="center"/>
            <w:hideMark/>
          </w:tcPr>
          <w:p w14:paraId="2BE33CFE" w14:textId="77777777" w:rsidR="00794EB9" w:rsidRPr="00794EB9" w:rsidRDefault="00794EB9" w:rsidP="00C307FB">
            <w:pPr>
              <w:jc w:val="center"/>
              <w:rPr>
                <w:rFonts w:ascii="Arial" w:hAnsi="Arial" w:cs="Arial"/>
                <w:b/>
                <w:bCs/>
                <w:sz w:val="22"/>
                <w:szCs w:val="22"/>
                <w:lang w:eastAsia="es-MX"/>
              </w:rPr>
            </w:pPr>
          </w:p>
        </w:tc>
        <w:tc>
          <w:tcPr>
            <w:tcW w:w="127" w:type="pct"/>
            <w:tcBorders>
              <w:top w:val="nil"/>
              <w:left w:val="nil"/>
              <w:bottom w:val="nil"/>
              <w:right w:val="nil"/>
            </w:tcBorders>
            <w:shd w:val="clear" w:color="auto" w:fill="auto"/>
            <w:vAlign w:val="center"/>
            <w:hideMark/>
          </w:tcPr>
          <w:p w14:paraId="47A79E0F" w14:textId="77777777" w:rsidR="00794EB9" w:rsidRPr="00794EB9" w:rsidRDefault="00794EB9" w:rsidP="00C307FB">
            <w:pPr>
              <w:jc w:val="center"/>
              <w:rPr>
                <w:rFonts w:ascii="Arial" w:hAnsi="Arial" w:cs="Arial"/>
                <w:sz w:val="22"/>
                <w:szCs w:val="22"/>
                <w:lang w:eastAsia="es-MX"/>
              </w:rPr>
            </w:pPr>
          </w:p>
        </w:tc>
        <w:tc>
          <w:tcPr>
            <w:tcW w:w="785" w:type="pct"/>
            <w:tcBorders>
              <w:top w:val="nil"/>
              <w:left w:val="nil"/>
              <w:bottom w:val="nil"/>
              <w:right w:val="nil"/>
            </w:tcBorders>
            <w:shd w:val="clear" w:color="auto" w:fill="auto"/>
            <w:vAlign w:val="center"/>
            <w:hideMark/>
          </w:tcPr>
          <w:p w14:paraId="046791B9" w14:textId="77777777" w:rsidR="00794EB9" w:rsidRPr="00794EB9" w:rsidRDefault="00794EB9" w:rsidP="00C307FB">
            <w:pPr>
              <w:jc w:val="cente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144E2BBE" w14:textId="77777777" w:rsidR="00794EB9" w:rsidRPr="00794EB9" w:rsidRDefault="00794EB9" w:rsidP="00C307FB">
            <w:pPr>
              <w:jc w:val="center"/>
              <w:rPr>
                <w:rFonts w:ascii="Arial" w:hAnsi="Arial" w:cs="Arial"/>
                <w:sz w:val="22"/>
                <w:szCs w:val="22"/>
                <w:lang w:eastAsia="es-MX"/>
              </w:rPr>
            </w:pPr>
          </w:p>
        </w:tc>
        <w:tc>
          <w:tcPr>
            <w:tcW w:w="880" w:type="pct"/>
            <w:tcBorders>
              <w:top w:val="nil"/>
              <w:left w:val="nil"/>
              <w:bottom w:val="nil"/>
              <w:right w:val="nil"/>
            </w:tcBorders>
            <w:shd w:val="clear" w:color="auto" w:fill="auto"/>
            <w:vAlign w:val="center"/>
            <w:hideMark/>
          </w:tcPr>
          <w:p w14:paraId="15F0E115" w14:textId="77777777" w:rsidR="00794EB9" w:rsidRPr="00794EB9" w:rsidRDefault="00794EB9" w:rsidP="00C307FB">
            <w:pPr>
              <w:jc w:val="center"/>
              <w:rPr>
                <w:rFonts w:ascii="Arial" w:hAnsi="Arial" w:cs="Arial"/>
                <w:sz w:val="22"/>
                <w:szCs w:val="22"/>
                <w:lang w:eastAsia="es-MX"/>
              </w:rPr>
            </w:pPr>
          </w:p>
        </w:tc>
        <w:tc>
          <w:tcPr>
            <w:tcW w:w="107" w:type="pct"/>
            <w:tcBorders>
              <w:top w:val="nil"/>
              <w:left w:val="nil"/>
              <w:bottom w:val="nil"/>
              <w:right w:val="nil"/>
            </w:tcBorders>
            <w:shd w:val="clear" w:color="auto" w:fill="auto"/>
            <w:vAlign w:val="center"/>
            <w:hideMark/>
          </w:tcPr>
          <w:p w14:paraId="54F799ED" w14:textId="77777777" w:rsidR="00794EB9" w:rsidRPr="00794EB9" w:rsidRDefault="00794EB9" w:rsidP="00C307FB">
            <w:pPr>
              <w:jc w:val="center"/>
              <w:rPr>
                <w:rFonts w:ascii="Arial" w:hAnsi="Arial" w:cs="Arial"/>
                <w:sz w:val="22"/>
                <w:szCs w:val="22"/>
                <w:lang w:eastAsia="es-MX"/>
              </w:rPr>
            </w:pPr>
          </w:p>
        </w:tc>
        <w:tc>
          <w:tcPr>
            <w:tcW w:w="833" w:type="pct"/>
            <w:tcBorders>
              <w:top w:val="nil"/>
              <w:left w:val="nil"/>
              <w:bottom w:val="nil"/>
              <w:right w:val="nil"/>
            </w:tcBorders>
            <w:shd w:val="clear" w:color="auto" w:fill="auto"/>
            <w:vAlign w:val="center"/>
            <w:hideMark/>
          </w:tcPr>
          <w:p w14:paraId="39D8F4E3" w14:textId="77777777" w:rsidR="00794EB9" w:rsidRPr="00794EB9" w:rsidRDefault="00794EB9" w:rsidP="00C307FB">
            <w:pPr>
              <w:jc w:val="cente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53376F7F" w14:textId="77777777" w:rsidR="00794EB9" w:rsidRPr="00794EB9" w:rsidRDefault="00794EB9" w:rsidP="00C307FB">
            <w:pPr>
              <w:jc w:val="center"/>
              <w:rPr>
                <w:rFonts w:ascii="Arial" w:hAnsi="Arial" w:cs="Arial"/>
                <w:sz w:val="22"/>
                <w:szCs w:val="22"/>
                <w:lang w:eastAsia="es-MX"/>
              </w:rPr>
            </w:pPr>
          </w:p>
        </w:tc>
        <w:tc>
          <w:tcPr>
            <w:tcW w:w="965" w:type="pct"/>
            <w:tcBorders>
              <w:top w:val="nil"/>
              <w:left w:val="nil"/>
              <w:bottom w:val="nil"/>
              <w:right w:val="nil"/>
            </w:tcBorders>
            <w:shd w:val="clear" w:color="auto" w:fill="auto"/>
            <w:vAlign w:val="center"/>
            <w:hideMark/>
          </w:tcPr>
          <w:p w14:paraId="10BD3C79" w14:textId="77777777" w:rsidR="00794EB9" w:rsidRPr="00794EB9" w:rsidRDefault="00794EB9" w:rsidP="00C307FB">
            <w:pPr>
              <w:jc w:val="center"/>
              <w:rPr>
                <w:rFonts w:ascii="Arial" w:hAnsi="Arial" w:cs="Arial"/>
                <w:sz w:val="22"/>
                <w:szCs w:val="22"/>
                <w:lang w:eastAsia="es-MX"/>
              </w:rPr>
            </w:pPr>
          </w:p>
        </w:tc>
      </w:tr>
      <w:tr w:rsidR="00794EB9" w:rsidRPr="00794EB9" w14:paraId="6D25F624" w14:textId="77777777" w:rsidTr="00C307FB">
        <w:trPr>
          <w:trHeight w:val="2090"/>
        </w:trPr>
        <w:tc>
          <w:tcPr>
            <w:tcW w:w="7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87143B"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Jóvenes en situación de riesgo y sin oportunidades para definir un proyecto de vida</w:t>
            </w:r>
          </w:p>
          <w:p w14:paraId="271FE8C3" w14:textId="77777777" w:rsidR="00794EB9" w:rsidRPr="00794EB9" w:rsidRDefault="00794EB9" w:rsidP="00C307FB">
            <w:pPr>
              <w:jc w:val="center"/>
              <w:rPr>
                <w:rFonts w:ascii="Arial" w:hAnsi="Arial" w:cs="Arial"/>
                <w:b/>
                <w:bCs/>
                <w:sz w:val="22"/>
                <w:szCs w:val="22"/>
                <w:lang w:eastAsia="es-MX"/>
              </w:rPr>
            </w:pPr>
          </w:p>
          <w:p w14:paraId="0E3145B4"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Cs/>
                <w:sz w:val="22"/>
                <w:szCs w:val="22"/>
                <w:lang w:eastAsia="es-MX"/>
              </w:rPr>
              <w:t>El 38.1% de los jóvenes entre 12 y 29 años de edad señaló tener amigos que han participado en al menos un delito.</w:t>
            </w:r>
          </w:p>
        </w:tc>
        <w:tc>
          <w:tcPr>
            <w:tcW w:w="127" w:type="pct"/>
            <w:tcBorders>
              <w:top w:val="nil"/>
              <w:left w:val="nil"/>
              <w:bottom w:val="nil"/>
              <w:right w:val="nil"/>
            </w:tcBorders>
            <w:shd w:val="clear" w:color="auto" w:fill="auto"/>
            <w:vAlign w:val="center"/>
            <w:hideMark/>
          </w:tcPr>
          <w:p w14:paraId="134BBB19" w14:textId="77777777" w:rsidR="00794EB9" w:rsidRPr="00794EB9" w:rsidRDefault="00794EB9" w:rsidP="00C307FB">
            <w:pPr>
              <w:jc w:val="center"/>
              <w:rPr>
                <w:rFonts w:ascii="Arial" w:hAnsi="Arial" w:cs="Arial"/>
                <w:b/>
                <w:bCs/>
                <w:sz w:val="22"/>
                <w:szCs w:val="22"/>
                <w:lang w:eastAsia="es-MX"/>
              </w:rPr>
            </w:pP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55641B" w14:textId="77777777" w:rsidR="00794EB9" w:rsidRPr="00794EB9" w:rsidRDefault="00794EB9" w:rsidP="00C307FB">
            <w:pPr>
              <w:jc w:val="center"/>
              <w:rPr>
                <w:rFonts w:ascii="Arial" w:hAnsi="Arial" w:cs="Arial"/>
                <w:bCs/>
                <w:sz w:val="22"/>
                <w:szCs w:val="22"/>
              </w:rPr>
            </w:pPr>
            <w:r w:rsidRPr="00794EB9">
              <w:rPr>
                <w:rFonts w:ascii="Arial" w:hAnsi="Arial" w:cs="Arial"/>
                <w:b/>
                <w:bCs/>
                <w:sz w:val="22"/>
                <w:szCs w:val="22"/>
                <w:lang w:eastAsia="es-MX"/>
              </w:rPr>
              <w:t>Bajo número de jóvenes con oportunidades de aprendizaje y de capacitación laboral</w:t>
            </w:r>
            <w:r w:rsidRPr="00794EB9">
              <w:rPr>
                <w:rFonts w:ascii="Arial" w:hAnsi="Arial" w:cs="Arial"/>
                <w:bCs/>
                <w:sz w:val="22"/>
                <w:szCs w:val="22"/>
              </w:rPr>
              <w:t xml:space="preserve"> </w:t>
            </w:r>
          </w:p>
          <w:p w14:paraId="75EE3839" w14:textId="77777777" w:rsidR="00794EB9" w:rsidRPr="00794EB9" w:rsidRDefault="00794EB9" w:rsidP="00C307FB">
            <w:pPr>
              <w:jc w:val="center"/>
              <w:rPr>
                <w:rFonts w:ascii="Arial" w:hAnsi="Arial" w:cs="Arial"/>
                <w:bCs/>
                <w:sz w:val="22"/>
                <w:szCs w:val="22"/>
              </w:rPr>
            </w:pPr>
          </w:p>
          <w:p w14:paraId="4EEFC96F"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Cs/>
                <w:sz w:val="22"/>
                <w:szCs w:val="22"/>
                <w:lang w:eastAsia="es-MX"/>
              </w:rPr>
              <w:t>El grado promedio de escolaridad de la Población Económicamente Activa (PEA) es de 10.5 años</w:t>
            </w:r>
          </w:p>
        </w:tc>
        <w:tc>
          <w:tcPr>
            <w:tcW w:w="267" w:type="pct"/>
            <w:tcBorders>
              <w:top w:val="nil"/>
              <w:left w:val="nil"/>
              <w:bottom w:val="nil"/>
              <w:right w:val="nil"/>
            </w:tcBorders>
            <w:shd w:val="clear" w:color="auto" w:fill="auto"/>
            <w:vAlign w:val="center"/>
            <w:hideMark/>
          </w:tcPr>
          <w:p w14:paraId="600F825C" w14:textId="77777777" w:rsidR="00794EB9" w:rsidRPr="00794EB9" w:rsidRDefault="00794EB9" w:rsidP="00C307FB">
            <w:pPr>
              <w:jc w:val="center"/>
              <w:rPr>
                <w:rFonts w:ascii="Arial" w:hAnsi="Arial" w:cs="Arial"/>
                <w:b/>
                <w:bCs/>
                <w:sz w:val="22"/>
                <w:szCs w:val="22"/>
                <w:lang w:eastAsia="es-MX"/>
              </w:rPr>
            </w:pP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08F7DC" w14:textId="77777777" w:rsidR="00794EB9" w:rsidRPr="00794EB9" w:rsidRDefault="00794EB9" w:rsidP="00C307FB">
            <w:pPr>
              <w:jc w:val="center"/>
              <w:rPr>
                <w:rFonts w:ascii="Arial" w:hAnsi="Arial" w:cs="Arial"/>
                <w:bCs/>
                <w:sz w:val="22"/>
                <w:szCs w:val="22"/>
              </w:rPr>
            </w:pPr>
            <w:r w:rsidRPr="00794EB9">
              <w:rPr>
                <w:rFonts w:ascii="Arial" w:hAnsi="Arial" w:cs="Arial"/>
                <w:b/>
                <w:bCs/>
                <w:sz w:val="22"/>
                <w:szCs w:val="22"/>
                <w:lang w:eastAsia="es-MX"/>
              </w:rPr>
              <w:t>Desempleo</w:t>
            </w:r>
          </w:p>
          <w:p w14:paraId="4919971A" w14:textId="77777777" w:rsidR="00794EB9" w:rsidRPr="00794EB9" w:rsidRDefault="00794EB9" w:rsidP="00C307FB">
            <w:pPr>
              <w:jc w:val="center"/>
              <w:rPr>
                <w:rFonts w:ascii="Arial" w:hAnsi="Arial" w:cs="Arial"/>
                <w:bCs/>
                <w:sz w:val="22"/>
                <w:szCs w:val="22"/>
              </w:rPr>
            </w:pPr>
            <w:r w:rsidRPr="00794EB9">
              <w:rPr>
                <w:rFonts w:ascii="Arial" w:hAnsi="Arial" w:cs="Arial"/>
                <w:bCs/>
                <w:sz w:val="22"/>
                <w:szCs w:val="22"/>
              </w:rPr>
              <w:t xml:space="preserve">La tasa de desempleo en el segundo trimestre de 2021 fue del 6.3% </w:t>
            </w:r>
          </w:p>
          <w:p w14:paraId="75C694A9" w14:textId="77777777" w:rsidR="00794EB9" w:rsidRPr="00794EB9" w:rsidRDefault="00794EB9" w:rsidP="00C307FB">
            <w:pPr>
              <w:jc w:val="center"/>
              <w:rPr>
                <w:rFonts w:ascii="Arial" w:hAnsi="Arial" w:cs="Arial"/>
                <w:bCs/>
                <w:sz w:val="22"/>
                <w:szCs w:val="22"/>
              </w:rPr>
            </w:pPr>
          </w:p>
        </w:tc>
        <w:tc>
          <w:tcPr>
            <w:tcW w:w="107" w:type="pct"/>
            <w:tcBorders>
              <w:top w:val="nil"/>
              <w:left w:val="nil"/>
              <w:bottom w:val="nil"/>
              <w:right w:val="nil"/>
            </w:tcBorders>
            <w:shd w:val="clear" w:color="auto" w:fill="auto"/>
            <w:noWrap/>
            <w:vAlign w:val="bottom"/>
            <w:hideMark/>
          </w:tcPr>
          <w:p w14:paraId="5E421DE4" w14:textId="77777777" w:rsidR="00794EB9" w:rsidRPr="00794EB9" w:rsidRDefault="00794EB9" w:rsidP="00C307FB">
            <w:pPr>
              <w:jc w:val="center"/>
              <w:rPr>
                <w:rFonts w:ascii="Arial" w:hAnsi="Arial" w:cs="Arial"/>
                <w:b/>
                <w:bCs/>
                <w:sz w:val="22"/>
                <w:szCs w:val="22"/>
                <w:lang w:eastAsia="es-MX"/>
              </w:rPr>
            </w:pP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818F78"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Oportunidades limitadas de financiamiento y emprendimiento de las MiPyMES</w:t>
            </w:r>
          </w:p>
          <w:p w14:paraId="6A69A7B0"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Cs/>
                <w:sz w:val="22"/>
                <w:szCs w:val="22"/>
                <w:lang w:eastAsia="es-MX"/>
              </w:rPr>
              <w:t xml:space="preserve"> en León las MiPyMES generan el 72.9% del empleo</w:t>
            </w:r>
          </w:p>
        </w:tc>
        <w:tc>
          <w:tcPr>
            <w:tcW w:w="267" w:type="pct"/>
            <w:tcBorders>
              <w:top w:val="nil"/>
              <w:left w:val="nil"/>
              <w:bottom w:val="nil"/>
              <w:right w:val="nil"/>
            </w:tcBorders>
            <w:shd w:val="clear" w:color="auto" w:fill="auto"/>
            <w:vAlign w:val="center"/>
            <w:hideMark/>
          </w:tcPr>
          <w:p w14:paraId="7252F482" w14:textId="77777777" w:rsidR="00794EB9" w:rsidRPr="00794EB9" w:rsidRDefault="00794EB9" w:rsidP="00C307FB">
            <w:pPr>
              <w:jc w:val="center"/>
              <w:rPr>
                <w:rFonts w:ascii="Arial" w:hAnsi="Arial" w:cs="Arial"/>
                <w:b/>
                <w:bCs/>
                <w:sz w:val="22"/>
                <w:szCs w:val="22"/>
                <w:lang w:eastAsia="es-MX"/>
              </w:rPr>
            </w:pP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7B1CCE"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Conectividad limitada</w:t>
            </w:r>
            <w:r w:rsidRPr="00794EB9">
              <w:rPr>
                <w:rFonts w:ascii="Arial" w:hAnsi="Arial" w:cs="Arial"/>
                <w:bCs/>
                <w:sz w:val="22"/>
                <w:szCs w:val="22"/>
                <w:lang w:eastAsia="es-MX"/>
              </w:rPr>
              <w:t xml:space="preserve">; </w:t>
            </w:r>
          </w:p>
          <w:p w14:paraId="550CF529"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Cs/>
                <w:sz w:val="22"/>
                <w:szCs w:val="22"/>
                <w:lang w:eastAsia="es-MX"/>
              </w:rPr>
              <w:t>175 mil 751 viviendas no disponen de internet en el municipio, de las cuales 50 mil 408 viviendas se localizan en los polígonos de desarrollo y 21 mil 732 viviendas se localizan en la zona rural</w:t>
            </w:r>
          </w:p>
        </w:tc>
      </w:tr>
      <w:tr w:rsidR="00794EB9" w:rsidRPr="00794EB9" w14:paraId="7BCF6E10" w14:textId="77777777" w:rsidTr="00C307FB">
        <w:trPr>
          <w:trHeight w:val="57"/>
        </w:trPr>
        <w:tc>
          <w:tcPr>
            <w:tcW w:w="768" w:type="pct"/>
            <w:tcBorders>
              <w:top w:val="nil"/>
              <w:left w:val="nil"/>
              <w:bottom w:val="nil"/>
              <w:right w:val="nil"/>
            </w:tcBorders>
            <w:shd w:val="clear" w:color="auto" w:fill="auto"/>
            <w:vAlign w:val="center"/>
            <w:hideMark/>
          </w:tcPr>
          <w:p w14:paraId="6460B185" w14:textId="77777777" w:rsidR="00794EB9" w:rsidRPr="00794EB9" w:rsidRDefault="00794EB9" w:rsidP="00C307FB">
            <w:pPr>
              <w:jc w:val="center"/>
              <w:rPr>
                <w:rFonts w:ascii="Arial" w:hAnsi="Arial" w:cs="Arial"/>
                <w:b/>
                <w:bCs/>
                <w:sz w:val="22"/>
                <w:szCs w:val="22"/>
                <w:lang w:eastAsia="es-MX"/>
              </w:rPr>
            </w:pPr>
          </w:p>
        </w:tc>
        <w:tc>
          <w:tcPr>
            <w:tcW w:w="127" w:type="pct"/>
            <w:tcBorders>
              <w:top w:val="nil"/>
              <w:left w:val="nil"/>
              <w:bottom w:val="nil"/>
              <w:right w:val="nil"/>
            </w:tcBorders>
            <w:shd w:val="clear" w:color="auto" w:fill="auto"/>
            <w:vAlign w:val="center"/>
            <w:hideMark/>
          </w:tcPr>
          <w:p w14:paraId="6C8731A0" w14:textId="77777777" w:rsidR="00794EB9" w:rsidRPr="00794EB9" w:rsidRDefault="00794EB9" w:rsidP="00C307FB">
            <w:pPr>
              <w:jc w:val="center"/>
              <w:rPr>
                <w:rFonts w:ascii="Arial" w:hAnsi="Arial" w:cs="Arial"/>
                <w:sz w:val="22"/>
                <w:szCs w:val="22"/>
                <w:lang w:eastAsia="es-MX"/>
              </w:rPr>
            </w:pPr>
          </w:p>
        </w:tc>
        <w:tc>
          <w:tcPr>
            <w:tcW w:w="785" w:type="pct"/>
            <w:tcBorders>
              <w:top w:val="nil"/>
              <w:left w:val="nil"/>
              <w:bottom w:val="nil"/>
              <w:right w:val="nil"/>
            </w:tcBorders>
            <w:shd w:val="clear" w:color="auto" w:fill="auto"/>
            <w:vAlign w:val="center"/>
            <w:hideMark/>
          </w:tcPr>
          <w:p w14:paraId="1987C010" w14:textId="77777777" w:rsidR="00794EB9" w:rsidRPr="00794EB9" w:rsidRDefault="00794EB9" w:rsidP="00C307FB">
            <w:pPr>
              <w:jc w:val="cente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07DFDFE3" w14:textId="77777777" w:rsidR="00794EB9" w:rsidRPr="00794EB9" w:rsidRDefault="00794EB9" w:rsidP="00C307FB">
            <w:pPr>
              <w:jc w:val="center"/>
              <w:rPr>
                <w:rFonts w:ascii="Arial" w:hAnsi="Arial" w:cs="Arial"/>
                <w:sz w:val="22"/>
                <w:szCs w:val="22"/>
                <w:lang w:eastAsia="es-MX"/>
              </w:rPr>
            </w:pPr>
          </w:p>
        </w:tc>
        <w:tc>
          <w:tcPr>
            <w:tcW w:w="880" w:type="pct"/>
            <w:tcBorders>
              <w:top w:val="nil"/>
              <w:left w:val="nil"/>
              <w:bottom w:val="nil"/>
              <w:right w:val="nil"/>
            </w:tcBorders>
            <w:shd w:val="clear" w:color="auto" w:fill="auto"/>
            <w:vAlign w:val="center"/>
            <w:hideMark/>
          </w:tcPr>
          <w:p w14:paraId="329CB22D" w14:textId="77777777" w:rsidR="00794EB9" w:rsidRPr="00794EB9" w:rsidRDefault="00794EB9" w:rsidP="00C307FB">
            <w:pPr>
              <w:jc w:val="center"/>
              <w:rPr>
                <w:rFonts w:ascii="Arial" w:hAnsi="Arial" w:cs="Arial"/>
                <w:bCs/>
                <w:sz w:val="22"/>
                <w:szCs w:val="22"/>
              </w:rPr>
            </w:pPr>
          </w:p>
        </w:tc>
        <w:tc>
          <w:tcPr>
            <w:tcW w:w="107" w:type="pct"/>
            <w:tcBorders>
              <w:top w:val="nil"/>
              <w:left w:val="nil"/>
              <w:bottom w:val="nil"/>
              <w:right w:val="nil"/>
            </w:tcBorders>
            <w:shd w:val="clear" w:color="auto" w:fill="auto"/>
            <w:vAlign w:val="center"/>
            <w:hideMark/>
          </w:tcPr>
          <w:p w14:paraId="406C305B" w14:textId="77777777" w:rsidR="00794EB9" w:rsidRPr="00794EB9" w:rsidRDefault="00794EB9" w:rsidP="00C307FB">
            <w:pPr>
              <w:jc w:val="center"/>
              <w:rPr>
                <w:rFonts w:ascii="Arial" w:hAnsi="Arial" w:cs="Arial"/>
                <w:sz w:val="22"/>
                <w:szCs w:val="22"/>
                <w:lang w:eastAsia="es-MX"/>
              </w:rPr>
            </w:pPr>
          </w:p>
        </w:tc>
        <w:tc>
          <w:tcPr>
            <w:tcW w:w="833" w:type="pct"/>
            <w:tcBorders>
              <w:top w:val="nil"/>
              <w:left w:val="nil"/>
              <w:bottom w:val="nil"/>
              <w:right w:val="nil"/>
            </w:tcBorders>
            <w:shd w:val="clear" w:color="auto" w:fill="auto"/>
            <w:vAlign w:val="center"/>
            <w:hideMark/>
          </w:tcPr>
          <w:p w14:paraId="1187DBE4" w14:textId="77777777" w:rsidR="00794EB9" w:rsidRPr="00794EB9" w:rsidRDefault="00794EB9" w:rsidP="00C307FB">
            <w:pPr>
              <w:jc w:val="cente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240B8296" w14:textId="77777777" w:rsidR="00794EB9" w:rsidRPr="00794EB9" w:rsidRDefault="00794EB9" w:rsidP="00C307FB">
            <w:pPr>
              <w:jc w:val="center"/>
              <w:rPr>
                <w:rFonts w:ascii="Arial" w:hAnsi="Arial" w:cs="Arial"/>
                <w:sz w:val="22"/>
                <w:szCs w:val="22"/>
                <w:lang w:eastAsia="es-MX"/>
              </w:rPr>
            </w:pPr>
          </w:p>
        </w:tc>
        <w:tc>
          <w:tcPr>
            <w:tcW w:w="965" w:type="pct"/>
            <w:tcBorders>
              <w:top w:val="nil"/>
              <w:left w:val="nil"/>
              <w:bottom w:val="nil"/>
              <w:right w:val="nil"/>
            </w:tcBorders>
            <w:shd w:val="clear" w:color="auto" w:fill="auto"/>
            <w:vAlign w:val="center"/>
            <w:hideMark/>
          </w:tcPr>
          <w:p w14:paraId="689D7647" w14:textId="77777777" w:rsidR="00794EB9" w:rsidRPr="00794EB9" w:rsidRDefault="00794EB9" w:rsidP="00C307FB">
            <w:pPr>
              <w:jc w:val="center"/>
              <w:rPr>
                <w:rFonts w:ascii="Arial" w:hAnsi="Arial" w:cs="Arial"/>
                <w:sz w:val="22"/>
                <w:szCs w:val="22"/>
                <w:lang w:eastAsia="es-MX"/>
              </w:rPr>
            </w:pPr>
          </w:p>
        </w:tc>
      </w:tr>
      <w:tr w:rsidR="00794EB9" w:rsidRPr="00794EB9" w14:paraId="555036D2" w14:textId="77777777" w:rsidTr="00C307FB">
        <w:trPr>
          <w:trHeight w:val="1135"/>
        </w:trPr>
        <w:tc>
          <w:tcPr>
            <w:tcW w:w="7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BE47B5"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 xml:space="preserve">Vulnerabilidad y riesgos </w:t>
            </w:r>
            <w:r w:rsidRPr="00794EB9">
              <w:rPr>
                <w:rFonts w:ascii="Arial" w:hAnsi="Arial" w:cs="Arial"/>
                <w:b/>
                <w:bCs/>
                <w:sz w:val="22"/>
                <w:szCs w:val="22"/>
                <w:lang w:eastAsia="es-MX"/>
              </w:rPr>
              <w:lastRenderedPageBreak/>
              <w:t>psicosociales</w:t>
            </w:r>
          </w:p>
        </w:tc>
        <w:tc>
          <w:tcPr>
            <w:tcW w:w="127" w:type="pct"/>
            <w:tcBorders>
              <w:top w:val="nil"/>
              <w:left w:val="nil"/>
              <w:bottom w:val="nil"/>
              <w:right w:val="nil"/>
            </w:tcBorders>
            <w:shd w:val="clear" w:color="auto" w:fill="auto"/>
            <w:vAlign w:val="center"/>
            <w:hideMark/>
          </w:tcPr>
          <w:p w14:paraId="21D1DA2D" w14:textId="77777777" w:rsidR="00794EB9" w:rsidRPr="00794EB9" w:rsidRDefault="00794EB9" w:rsidP="00C307FB">
            <w:pPr>
              <w:jc w:val="center"/>
              <w:rPr>
                <w:rFonts w:ascii="Arial" w:hAnsi="Arial" w:cs="Arial"/>
                <w:b/>
                <w:bCs/>
                <w:sz w:val="22"/>
                <w:szCs w:val="22"/>
                <w:lang w:eastAsia="es-MX"/>
              </w:rPr>
            </w:pP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ABA7A6"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Viviendas precarias y </w:t>
            </w:r>
            <w:r w:rsidRPr="00794EB9">
              <w:rPr>
                <w:rFonts w:ascii="Arial" w:hAnsi="Arial" w:cs="Arial"/>
                <w:bCs/>
                <w:sz w:val="22"/>
                <w:szCs w:val="22"/>
                <w:lang w:eastAsia="es-MX"/>
              </w:rPr>
              <w:t xml:space="preserve">60 mil 137 viviendas </w:t>
            </w:r>
            <w:r w:rsidRPr="00794EB9">
              <w:rPr>
                <w:rFonts w:ascii="Arial" w:hAnsi="Arial" w:cs="Arial"/>
                <w:bCs/>
                <w:sz w:val="22"/>
                <w:szCs w:val="22"/>
                <w:lang w:eastAsia="es-MX"/>
              </w:rPr>
              <w:lastRenderedPageBreak/>
              <w:t>deshabitadas</w:t>
            </w:r>
          </w:p>
        </w:tc>
        <w:tc>
          <w:tcPr>
            <w:tcW w:w="267" w:type="pct"/>
            <w:tcBorders>
              <w:top w:val="nil"/>
              <w:left w:val="nil"/>
              <w:bottom w:val="nil"/>
              <w:right w:val="nil"/>
            </w:tcBorders>
            <w:shd w:val="clear" w:color="auto" w:fill="auto"/>
            <w:vAlign w:val="center"/>
            <w:hideMark/>
          </w:tcPr>
          <w:p w14:paraId="764B40BA" w14:textId="77777777" w:rsidR="00794EB9" w:rsidRPr="00794EB9" w:rsidRDefault="00794EB9" w:rsidP="00C307FB">
            <w:pPr>
              <w:jc w:val="center"/>
              <w:rPr>
                <w:rFonts w:ascii="Arial" w:hAnsi="Arial" w:cs="Arial"/>
                <w:b/>
                <w:bCs/>
                <w:sz w:val="22"/>
                <w:szCs w:val="22"/>
                <w:lang w:eastAsia="es-MX"/>
              </w:rPr>
            </w:pP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FF0CF7"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 xml:space="preserve">Abandono de comercios </w:t>
            </w:r>
            <w:r w:rsidRPr="00794EB9">
              <w:rPr>
                <w:rFonts w:ascii="Arial" w:hAnsi="Arial" w:cs="Arial"/>
                <w:bCs/>
                <w:sz w:val="22"/>
                <w:szCs w:val="22"/>
                <w:lang w:eastAsia="es-MX"/>
              </w:rPr>
              <w:t xml:space="preserve">por los </w:t>
            </w:r>
            <w:r w:rsidRPr="00794EB9">
              <w:rPr>
                <w:rFonts w:ascii="Arial" w:hAnsi="Arial" w:cs="Arial"/>
                <w:bCs/>
                <w:sz w:val="22"/>
                <w:szCs w:val="22"/>
                <w:lang w:eastAsia="es-MX"/>
              </w:rPr>
              <w:lastRenderedPageBreak/>
              <w:t xml:space="preserve">efectos de la pandemia, en León el 38.5% de las empresas de León son micronegocios de comercio al menudeo </w:t>
            </w:r>
          </w:p>
        </w:tc>
        <w:tc>
          <w:tcPr>
            <w:tcW w:w="107" w:type="pct"/>
            <w:tcBorders>
              <w:top w:val="nil"/>
              <w:left w:val="nil"/>
              <w:bottom w:val="nil"/>
              <w:right w:val="nil"/>
            </w:tcBorders>
            <w:shd w:val="clear" w:color="auto" w:fill="auto"/>
            <w:noWrap/>
            <w:vAlign w:val="bottom"/>
            <w:hideMark/>
          </w:tcPr>
          <w:p w14:paraId="36A14110" w14:textId="77777777" w:rsidR="00794EB9" w:rsidRPr="00794EB9" w:rsidRDefault="00794EB9" w:rsidP="00C307FB">
            <w:pPr>
              <w:jc w:val="center"/>
              <w:rPr>
                <w:rFonts w:ascii="Arial" w:hAnsi="Arial" w:cs="Arial"/>
                <w:b/>
                <w:bCs/>
                <w:sz w:val="22"/>
                <w:szCs w:val="22"/>
                <w:lang w:eastAsia="es-MX"/>
              </w:rPr>
            </w:pP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49DAC7"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Rezago educativo y </w:t>
            </w:r>
          </w:p>
          <w:p w14:paraId="235AE793"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Cs/>
                <w:sz w:val="22"/>
                <w:szCs w:val="22"/>
                <w:lang w:eastAsia="es-MX"/>
              </w:rPr>
              <w:t xml:space="preserve">abandono escolar. Los </w:t>
            </w:r>
            <w:r w:rsidRPr="00794EB9">
              <w:rPr>
                <w:rFonts w:ascii="Arial" w:hAnsi="Arial" w:cs="Arial"/>
                <w:bCs/>
                <w:sz w:val="22"/>
                <w:szCs w:val="22"/>
                <w:lang w:eastAsia="es-MX"/>
              </w:rPr>
              <w:lastRenderedPageBreak/>
              <w:t>niveles educativos más afectados son medio superior o bachillerato con un 16.6% y superior con un 11.6%.</w:t>
            </w:r>
          </w:p>
        </w:tc>
        <w:tc>
          <w:tcPr>
            <w:tcW w:w="267" w:type="pct"/>
            <w:tcBorders>
              <w:top w:val="nil"/>
              <w:left w:val="nil"/>
              <w:bottom w:val="nil"/>
              <w:right w:val="nil"/>
            </w:tcBorders>
            <w:shd w:val="clear" w:color="auto" w:fill="auto"/>
            <w:vAlign w:val="center"/>
            <w:hideMark/>
          </w:tcPr>
          <w:p w14:paraId="7172BFBA" w14:textId="77777777" w:rsidR="00794EB9" w:rsidRPr="00794EB9" w:rsidRDefault="00794EB9" w:rsidP="00C307FB">
            <w:pPr>
              <w:jc w:val="center"/>
              <w:rPr>
                <w:rFonts w:ascii="Arial" w:hAnsi="Arial" w:cs="Arial"/>
                <w:b/>
                <w:bCs/>
                <w:sz w:val="22"/>
                <w:szCs w:val="22"/>
                <w:lang w:eastAsia="es-MX"/>
              </w:rPr>
            </w:pP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322DCB"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Diferencia entre la expansión urbana </w:t>
            </w:r>
            <w:r w:rsidRPr="00794EB9">
              <w:rPr>
                <w:rFonts w:ascii="Arial" w:hAnsi="Arial" w:cs="Arial"/>
                <w:b/>
                <w:bCs/>
                <w:sz w:val="22"/>
                <w:szCs w:val="22"/>
                <w:lang w:eastAsia="es-MX"/>
              </w:rPr>
              <w:lastRenderedPageBreak/>
              <w:t>metropolitana y la provisión de infraestructura y equipamientos metropolitanos</w:t>
            </w:r>
          </w:p>
          <w:p w14:paraId="52139BE3" w14:textId="77777777" w:rsidR="00794EB9" w:rsidRPr="00794EB9" w:rsidRDefault="00794EB9" w:rsidP="00C307FB">
            <w:pPr>
              <w:jc w:val="center"/>
              <w:rPr>
                <w:rFonts w:ascii="Arial" w:hAnsi="Arial" w:cs="Arial"/>
                <w:b/>
                <w:bCs/>
                <w:sz w:val="22"/>
                <w:szCs w:val="22"/>
                <w:lang w:eastAsia="es-MX"/>
              </w:rPr>
            </w:pPr>
          </w:p>
        </w:tc>
      </w:tr>
      <w:tr w:rsidR="00794EB9" w:rsidRPr="00794EB9" w14:paraId="391107BC" w14:textId="77777777" w:rsidTr="00C307FB">
        <w:trPr>
          <w:trHeight w:val="57"/>
        </w:trPr>
        <w:tc>
          <w:tcPr>
            <w:tcW w:w="768" w:type="pct"/>
            <w:tcBorders>
              <w:top w:val="nil"/>
              <w:left w:val="nil"/>
              <w:bottom w:val="nil"/>
              <w:right w:val="nil"/>
            </w:tcBorders>
            <w:shd w:val="clear" w:color="auto" w:fill="auto"/>
            <w:vAlign w:val="center"/>
            <w:hideMark/>
          </w:tcPr>
          <w:p w14:paraId="0153EA96" w14:textId="77777777" w:rsidR="00794EB9" w:rsidRPr="00794EB9" w:rsidRDefault="00794EB9" w:rsidP="00C307FB">
            <w:pPr>
              <w:jc w:val="center"/>
              <w:rPr>
                <w:rFonts w:ascii="Arial" w:hAnsi="Arial" w:cs="Arial"/>
                <w:b/>
                <w:bCs/>
                <w:sz w:val="22"/>
                <w:szCs w:val="22"/>
                <w:lang w:eastAsia="es-MX"/>
              </w:rPr>
            </w:pPr>
          </w:p>
        </w:tc>
        <w:tc>
          <w:tcPr>
            <w:tcW w:w="127" w:type="pct"/>
            <w:tcBorders>
              <w:top w:val="nil"/>
              <w:left w:val="nil"/>
              <w:bottom w:val="nil"/>
              <w:right w:val="nil"/>
            </w:tcBorders>
            <w:shd w:val="clear" w:color="auto" w:fill="auto"/>
            <w:vAlign w:val="center"/>
            <w:hideMark/>
          </w:tcPr>
          <w:p w14:paraId="0B5B3D3C" w14:textId="77777777" w:rsidR="00794EB9" w:rsidRPr="00794EB9" w:rsidRDefault="00794EB9" w:rsidP="00C307FB">
            <w:pPr>
              <w:jc w:val="center"/>
              <w:rPr>
                <w:rFonts w:ascii="Arial" w:hAnsi="Arial" w:cs="Arial"/>
                <w:sz w:val="22"/>
                <w:szCs w:val="22"/>
                <w:lang w:eastAsia="es-MX"/>
              </w:rPr>
            </w:pPr>
          </w:p>
        </w:tc>
        <w:tc>
          <w:tcPr>
            <w:tcW w:w="785" w:type="pct"/>
            <w:tcBorders>
              <w:top w:val="nil"/>
              <w:left w:val="nil"/>
              <w:bottom w:val="nil"/>
              <w:right w:val="nil"/>
            </w:tcBorders>
            <w:shd w:val="clear" w:color="auto" w:fill="auto"/>
            <w:vAlign w:val="center"/>
            <w:hideMark/>
          </w:tcPr>
          <w:p w14:paraId="4648D7E0" w14:textId="77777777" w:rsidR="00794EB9" w:rsidRPr="00794EB9" w:rsidRDefault="00794EB9" w:rsidP="00C307FB">
            <w:pPr>
              <w:jc w:val="cente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738E90BD" w14:textId="77777777" w:rsidR="00794EB9" w:rsidRPr="00794EB9" w:rsidRDefault="00794EB9" w:rsidP="00C307FB">
            <w:pPr>
              <w:jc w:val="center"/>
              <w:rPr>
                <w:rFonts w:ascii="Arial" w:hAnsi="Arial" w:cs="Arial"/>
                <w:sz w:val="22"/>
                <w:szCs w:val="22"/>
                <w:lang w:eastAsia="es-MX"/>
              </w:rPr>
            </w:pPr>
          </w:p>
        </w:tc>
        <w:tc>
          <w:tcPr>
            <w:tcW w:w="880" w:type="pct"/>
            <w:tcBorders>
              <w:top w:val="nil"/>
              <w:left w:val="nil"/>
              <w:bottom w:val="nil"/>
              <w:right w:val="nil"/>
            </w:tcBorders>
            <w:shd w:val="clear" w:color="auto" w:fill="auto"/>
            <w:vAlign w:val="center"/>
            <w:hideMark/>
          </w:tcPr>
          <w:p w14:paraId="3F539B72" w14:textId="77777777" w:rsidR="00794EB9" w:rsidRPr="00794EB9" w:rsidRDefault="00794EB9" w:rsidP="00C307FB">
            <w:pPr>
              <w:jc w:val="center"/>
              <w:rPr>
                <w:rFonts w:ascii="Arial" w:hAnsi="Arial" w:cs="Arial"/>
                <w:sz w:val="22"/>
                <w:szCs w:val="22"/>
                <w:lang w:eastAsia="es-MX"/>
              </w:rPr>
            </w:pPr>
          </w:p>
        </w:tc>
        <w:tc>
          <w:tcPr>
            <w:tcW w:w="107" w:type="pct"/>
            <w:tcBorders>
              <w:top w:val="nil"/>
              <w:left w:val="nil"/>
              <w:bottom w:val="nil"/>
              <w:right w:val="nil"/>
            </w:tcBorders>
            <w:shd w:val="clear" w:color="auto" w:fill="auto"/>
            <w:vAlign w:val="center"/>
            <w:hideMark/>
          </w:tcPr>
          <w:p w14:paraId="057F36C4" w14:textId="77777777" w:rsidR="00794EB9" w:rsidRPr="00794EB9" w:rsidRDefault="00794EB9" w:rsidP="00C307FB">
            <w:pPr>
              <w:jc w:val="center"/>
              <w:rPr>
                <w:rFonts w:ascii="Arial" w:hAnsi="Arial" w:cs="Arial"/>
                <w:sz w:val="22"/>
                <w:szCs w:val="22"/>
                <w:lang w:eastAsia="es-MX"/>
              </w:rPr>
            </w:pPr>
          </w:p>
        </w:tc>
        <w:tc>
          <w:tcPr>
            <w:tcW w:w="833" w:type="pct"/>
            <w:tcBorders>
              <w:top w:val="nil"/>
              <w:left w:val="nil"/>
              <w:bottom w:val="nil"/>
              <w:right w:val="nil"/>
            </w:tcBorders>
            <w:shd w:val="clear" w:color="auto" w:fill="auto"/>
            <w:vAlign w:val="center"/>
            <w:hideMark/>
          </w:tcPr>
          <w:p w14:paraId="7C64A237" w14:textId="77777777" w:rsidR="00794EB9" w:rsidRPr="00794EB9" w:rsidRDefault="00794EB9" w:rsidP="00C307FB">
            <w:pPr>
              <w:jc w:val="cente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3BB00DD8" w14:textId="77777777" w:rsidR="00794EB9" w:rsidRPr="00794EB9" w:rsidRDefault="00794EB9" w:rsidP="00C307FB">
            <w:pPr>
              <w:jc w:val="center"/>
              <w:rPr>
                <w:rFonts w:ascii="Arial" w:hAnsi="Arial" w:cs="Arial"/>
                <w:sz w:val="22"/>
                <w:szCs w:val="22"/>
                <w:lang w:eastAsia="es-MX"/>
              </w:rPr>
            </w:pPr>
          </w:p>
        </w:tc>
        <w:tc>
          <w:tcPr>
            <w:tcW w:w="965" w:type="pct"/>
            <w:tcBorders>
              <w:top w:val="nil"/>
              <w:left w:val="nil"/>
              <w:bottom w:val="nil"/>
              <w:right w:val="nil"/>
            </w:tcBorders>
            <w:shd w:val="clear" w:color="auto" w:fill="auto"/>
            <w:vAlign w:val="center"/>
            <w:hideMark/>
          </w:tcPr>
          <w:p w14:paraId="6C0FE6AA" w14:textId="77777777" w:rsidR="00794EB9" w:rsidRPr="00794EB9" w:rsidRDefault="00794EB9" w:rsidP="00C307FB">
            <w:pPr>
              <w:jc w:val="center"/>
              <w:rPr>
                <w:rFonts w:ascii="Arial" w:hAnsi="Arial" w:cs="Arial"/>
                <w:sz w:val="22"/>
                <w:szCs w:val="22"/>
                <w:lang w:eastAsia="es-MX"/>
              </w:rPr>
            </w:pPr>
          </w:p>
        </w:tc>
      </w:tr>
      <w:tr w:rsidR="00794EB9" w:rsidRPr="00794EB9" w14:paraId="21048A30" w14:textId="77777777" w:rsidTr="00C307FB">
        <w:trPr>
          <w:trHeight w:val="57"/>
        </w:trPr>
        <w:tc>
          <w:tcPr>
            <w:tcW w:w="7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629A6D"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Necesidad de espacios para resguardo y cuidados para menores</w:t>
            </w:r>
          </w:p>
          <w:p w14:paraId="2ACB2D5A"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Cs/>
                <w:sz w:val="22"/>
                <w:szCs w:val="22"/>
                <w:lang w:eastAsia="es-MX"/>
              </w:rPr>
              <w:t>En 2020, el 31.5% de los hogares en León tenían a una mujer como jefa de hogar.</w:t>
            </w:r>
          </w:p>
        </w:tc>
        <w:tc>
          <w:tcPr>
            <w:tcW w:w="127" w:type="pct"/>
            <w:tcBorders>
              <w:top w:val="nil"/>
              <w:left w:val="nil"/>
              <w:bottom w:val="nil"/>
              <w:right w:val="nil"/>
            </w:tcBorders>
            <w:shd w:val="clear" w:color="auto" w:fill="auto"/>
            <w:vAlign w:val="center"/>
            <w:hideMark/>
          </w:tcPr>
          <w:p w14:paraId="4F97A2CC" w14:textId="77777777" w:rsidR="00794EB9" w:rsidRPr="00794EB9" w:rsidRDefault="00794EB9" w:rsidP="00C307FB">
            <w:pPr>
              <w:jc w:val="center"/>
              <w:rPr>
                <w:rFonts w:ascii="Arial" w:hAnsi="Arial" w:cs="Arial"/>
                <w:b/>
                <w:bCs/>
                <w:sz w:val="22"/>
                <w:szCs w:val="22"/>
                <w:lang w:eastAsia="es-MX"/>
              </w:rPr>
            </w:pP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4D426E"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 xml:space="preserve">Escasas oportunidades laborales. </w:t>
            </w:r>
            <w:r w:rsidRPr="00794EB9">
              <w:rPr>
                <w:rFonts w:ascii="Arial" w:hAnsi="Arial" w:cs="Arial"/>
                <w:bCs/>
                <w:sz w:val="22"/>
                <w:szCs w:val="22"/>
                <w:lang w:eastAsia="es-MX"/>
              </w:rPr>
              <w:t>De los 268 mil 064 jóvenes de 15 a 29 años económicamente activos, 25 mil 759 (9.6%) se encontraban desempleados</w:t>
            </w:r>
          </w:p>
        </w:tc>
        <w:tc>
          <w:tcPr>
            <w:tcW w:w="267" w:type="pct"/>
            <w:tcBorders>
              <w:top w:val="nil"/>
              <w:left w:val="nil"/>
              <w:bottom w:val="nil"/>
              <w:right w:val="nil"/>
            </w:tcBorders>
            <w:shd w:val="clear" w:color="auto" w:fill="auto"/>
            <w:vAlign w:val="center"/>
            <w:hideMark/>
          </w:tcPr>
          <w:p w14:paraId="39FA3307" w14:textId="77777777" w:rsidR="00794EB9" w:rsidRPr="00794EB9" w:rsidRDefault="00794EB9" w:rsidP="00C307FB">
            <w:pPr>
              <w:jc w:val="center"/>
              <w:rPr>
                <w:rFonts w:ascii="Arial" w:hAnsi="Arial" w:cs="Arial"/>
                <w:b/>
                <w:bCs/>
                <w:sz w:val="22"/>
                <w:szCs w:val="22"/>
                <w:lang w:eastAsia="es-MX"/>
              </w:rPr>
            </w:pP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846ECE"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Acceso limitado a créditos</w:t>
            </w:r>
          </w:p>
          <w:p w14:paraId="499BB7D1"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Cs/>
                <w:sz w:val="22"/>
                <w:szCs w:val="22"/>
                <w:lang w:eastAsia="es-MX"/>
              </w:rPr>
              <w:t>En 2020, el 21.12 % de las MiPyMES tuvieron que cerrar sus puertas de forma definitiva</w:t>
            </w:r>
          </w:p>
        </w:tc>
        <w:tc>
          <w:tcPr>
            <w:tcW w:w="107" w:type="pct"/>
            <w:tcBorders>
              <w:top w:val="nil"/>
              <w:left w:val="nil"/>
              <w:bottom w:val="nil"/>
              <w:right w:val="nil"/>
            </w:tcBorders>
            <w:shd w:val="clear" w:color="auto" w:fill="auto"/>
            <w:noWrap/>
            <w:vAlign w:val="bottom"/>
            <w:hideMark/>
          </w:tcPr>
          <w:p w14:paraId="75E7A4BD" w14:textId="77777777" w:rsidR="00794EB9" w:rsidRPr="00794EB9" w:rsidRDefault="00794EB9" w:rsidP="00C307FB">
            <w:pPr>
              <w:jc w:val="center"/>
              <w:rPr>
                <w:rFonts w:ascii="Arial" w:hAnsi="Arial" w:cs="Arial"/>
                <w:b/>
                <w:bCs/>
                <w:sz w:val="22"/>
                <w:szCs w:val="22"/>
                <w:lang w:eastAsia="es-MX"/>
              </w:rPr>
            </w:pP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A7E25E"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Prevalencia de sectores económicos tradicionales;</w:t>
            </w:r>
            <w:r w:rsidRPr="00794EB9">
              <w:rPr>
                <w:rFonts w:ascii="Arial" w:hAnsi="Arial" w:cs="Arial"/>
                <w:bCs/>
                <w:sz w:val="22"/>
                <w:szCs w:val="22"/>
                <w:lang w:eastAsia="es-MX"/>
              </w:rPr>
              <w:t xml:space="preserve"> la industria del cuero-calzado en León genera el 57.6% del valor agregado que genera esta industria a nivel nacional (2018).</w:t>
            </w:r>
          </w:p>
        </w:tc>
        <w:tc>
          <w:tcPr>
            <w:tcW w:w="267" w:type="pct"/>
            <w:tcBorders>
              <w:top w:val="nil"/>
              <w:left w:val="nil"/>
              <w:bottom w:val="nil"/>
              <w:right w:val="nil"/>
            </w:tcBorders>
            <w:shd w:val="clear" w:color="auto" w:fill="auto"/>
            <w:vAlign w:val="center"/>
            <w:hideMark/>
          </w:tcPr>
          <w:p w14:paraId="0DA405CB" w14:textId="77777777" w:rsidR="00794EB9" w:rsidRPr="00794EB9" w:rsidRDefault="00794EB9" w:rsidP="00C307FB">
            <w:pPr>
              <w:jc w:val="center"/>
              <w:rPr>
                <w:rFonts w:ascii="Arial" w:hAnsi="Arial" w:cs="Arial"/>
                <w:b/>
                <w:bCs/>
                <w:sz w:val="22"/>
                <w:szCs w:val="22"/>
                <w:lang w:eastAsia="es-MX"/>
              </w:rPr>
            </w:pP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7F07D2"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 xml:space="preserve">Desarticulación metropolitana; </w:t>
            </w:r>
          </w:p>
          <w:p w14:paraId="6C5C03A4" w14:textId="77777777" w:rsidR="00794EB9" w:rsidRPr="00794EB9" w:rsidRDefault="00794EB9" w:rsidP="00C307FB">
            <w:pPr>
              <w:jc w:val="center"/>
              <w:rPr>
                <w:rFonts w:ascii="Arial" w:hAnsi="Arial" w:cs="Arial"/>
                <w:b/>
                <w:bCs/>
                <w:strike/>
                <w:sz w:val="22"/>
                <w:szCs w:val="22"/>
                <w:lang w:eastAsia="es-MX"/>
              </w:rPr>
            </w:pPr>
          </w:p>
        </w:tc>
      </w:tr>
      <w:tr w:rsidR="00794EB9" w:rsidRPr="00794EB9" w14:paraId="1828F133" w14:textId="77777777" w:rsidTr="00C307FB">
        <w:trPr>
          <w:trHeight w:val="57"/>
        </w:trPr>
        <w:tc>
          <w:tcPr>
            <w:tcW w:w="768" w:type="pct"/>
            <w:tcBorders>
              <w:top w:val="nil"/>
              <w:left w:val="nil"/>
              <w:bottom w:val="nil"/>
              <w:right w:val="nil"/>
            </w:tcBorders>
            <w:shd w:val="clear" w:color="auto" w:fill="auto"/>
            <w:noWrap/>
            <w:vAlign w:val="bottom"/>
            <w:hideMark/>
          </w:tcPr>
          <w:p w14:paraId="46362496" w14:textId="77777777" w:rsidR="00794EB9" w:rsidRPr="00794EB9" w:rsidRDefault="00794EB9" w:rsidP="00C307FB">
            <w:pPr>
              <w:jc w:val="center"/>
              <w:rPr>
                <w:rFonts w:ascii="Arial" w:hAnsi="Arial" w:cs="Arial"/>
                <w:b/>
                <w:bCs/>
                <w:sz w:val="22"/>
                <w:szCs w:val="22"/>
                <w:lang w:eastAsia="es-MX"/>
              </w:rPr>
            </w:pPr>
          </w:p>
        </w:tc>
        <w:tc>
          <w:tcPr>
            <w:tcW w:w="127" w:type="pct"/>
            <w:tcBorders>
              <w:top w:val="nil"/>
              <w:left w:val="nil"/>
              <w:bottom w:val="nil"/>
              <w:right w:val="nil"/>
            </w:tcBorders>
            <w:shd w:val="clear" w:color="auto" w:fill="auto"/>
            <w:vAlign w:val="center"/>
            <w:hideMark/>
          </w:tcPr>
          <w:p w14:paraId="26265D78" w14:textId="77777777" w:rsidR="00794EB9" w:rsidRPr="00794EB9" w:rsidRDefault="00794EB9" w:rsidP="00C307FB">
            <w:pPr>
              <w:rPr>
                <w:rFonts w:ascii="Arial" w:hAnsi="Arial" w:cs="Arial"/>
                <w:sz w:val="22"/>
                <w:szCs w:val="22"/>
                <w:lang w:eastAsia="es-MX"/>
              </w:rPr>
            </w:pPr>
          </w:p>
        </w:tc>
        <w:tc>
          <w:tcPr>
            <w:tcW w:w="785" w:type="pct"/>
            <w:tcBorders>
              <w:top w:val="nil"/>
              <w:left w:val="nil"/>
              <w:bottom w:val="nil"/>
              <w:right w:val="nil"/>
            </w:tcBorders>
            <w:shd w:val="clear" w:color="auto" w:fill="auto"/>
            <w:vAlign w:val="center"/>
            <w:hideMark/>
          </w:tcPr>
          <w:p w14:paraId="28DC894E" w14:textId="77777777" w:rsidR="00794EB9" w:rsidRPr="00794EB9" w:rsidRDefault="00794EB9" w:rsidP="00C307FB">
            <w:pPr>
              <w:jc w:val="cente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2F8C3E78" w14:textId="77777777" w:rsidR="00794EB9" w:rsidRPr="00794EB9" w:rsidRDefault="00794EB9" w:rsidP="00C307FB">
            <w:pPr>
              <w:jc w:val="center"/>
              <w:rPr>
                <w:rFonts w:ascii="Arial" w:hAnsi="Arial" w:cs="Arial"/>
                <w:sz w:val="22"/>
                <w:szCs w:val="22"/>
                <w:lang w:eastAsia="es-MX"/>
              </w:rPr>
            </w:pPr>
          </w:p>
        </w:tc>
        <w:tc>
          <w:tcPr>
            <w:tcW w:w="880" w:type="pct"/>
            <w:tcBorders>
              <w:top w:val="nil"/>
              <w:left w:val="nil"/>
              <w:bottom w:val="nil"/>
              <w:right w:val="nil"/>
            </w:tcBorders>
            <w:shd w:val="clear" w:color="auto" w:fill="auto"/>
            <w:vAlign w:val="center"/>
            <w:hideMark/>
          </w:tcPr>
          <w:p w14:paraId="32453FDC" w14:textId="77777777" w:rsidR="00794EB9" w:rsidRPr="00794EB9" w:rsidRDefault="00794EB9" w:rsidP="00C307FB">
            <w:pPr>
              <w:jc w:val="center"/>
              <w:rPr>
                <w:rFonts w:ascii="Arial" w:hAnsi="Arial" w:cs="Arial"/>
                <w:sz w:val="22"/>
                <w:szCs w:val="22"/>
                <w:lang w:eastAsia="es-MX"/>
              </w:rPr>
            </w:pPr>
          </w:p>
        </w:tc>
        <w:tc>
          <w:tcPr>
            <w:tcW w:w="107" w:type="pct"/>
            <w:tcBorders>
              <w:top w:val="nil"/>
              <w:left w:val="nil"/>
              <w:bottom w:val="nil"/>
              <w:right w:val="nil"/>
            </w:tcBorders>
            <w:shd w:val="clear" w:color="auto" w:fill="auto"/>
            <w:vAlign w:val="center"/>
            <w:hideMark/>
          </w:tcPr>
          <w:p w14:paraId="25AFB297" w14:textId="77777777" w:rsidR="00794EB9" w:rsidRPr="00794EB9" w:rsidRDefault="00794EB9" w:rsidP="00C307FB">
            <w:pPr>
              <w:jc w:val="center"/>
              <w:rPr>
                <w:rFonts w:ascii="Arial" w:hAnsi="Arial" w:cs="Arial"/>
                <w:sz w:val="22"/>
                <w:szCs w:val="22"/>
                <w:lang w:eastAsia="es-MX"/>
              </w:rPr>
            </w:pPr>
          </w:p>
        </w:tc>
        <w:tc>
          <w:tcPr>
            <w:tcW w:w="833" w:type="pct"/>
            <w:tcBorders>
              <w:top w:val="nil"/>
              <w:left w:val="nil"/>
              <w:bottom w:val="nil"/>
              <w:right w:val="nil"/>
            </w:tcBorders>
            <w:shd w:val="clear" w:color="auto" w:fill="auto"/>
            <w:noWrap/>
            <w:vAlign w:val="bottom"/>
            <w:hideMark/>
          </w:tcPr>
          <w:p w14:paraId="60631243" w14:textId="77777777" w:rsidR="00794EB9" w:rsidRPr="00794EB9" w:rsidRDefault="00794EB9" w:rsidP="00C307FB">
            <w:pPr>
              <w:jc w:val="cente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53C07226" w14:textId="77777777" w:rsidR="00794EB9" w:rsidRPr="00794EB9" w:rsidRDefault="00794EB9" w:rsidP="00C307FB">
            <w:pPr>
              <w:rPr>
                <w:rFonts w:ascii="Arial" w:hAnsi="Arial" w:cs="Arial"/>
                <w:sz w:val="22"/>
                <w:szCs w:val="22"/>
                <w:lang w:eastAsia="es-MX"/>
              </w:rPr>
            </w:pPr>
          </w:p>
        </w:tc>
        <w:tc>
          <w:tcPr>
            <w:tcW w:w="965" w:type="pct"/>
            <w:tcBorders>
              <w:top w:val="nil"/>
              <w:left w:val="nil"/>
              <w:bottom w:val="nil"/>
              <w:right w:val="nil"/>
            </w:tcBorders>
            <w:shd w:val="clear" w:color="auto" w:fill="auto"/>
            <w:vAlign w:val="center"/>
            <w:hideMark/>
          </w:tcPr>
          <w:p w14:paraId="18E80588" w14:textId="77777777" w:rsidR="00794EB9" w:rsidRPr="00794EB9" w:rsidRDefault="00794EB9" w:rsidP="00C307FB">
            <w:pPr>
              <w:jc w:val="center"/>
              <w:rPr>
                <w:rFonts w:ascii="Arial" w:hAnsi="Arial" w:cs="Arial"/>
                <w:sz w:val="22"/>
                <w:szCs w:val="22"/>
                <w:lang w:eastAsia="es-MX"/>
              </w:rPr>
            </w:pPr>
          </w:p>
        </w:tc>
      </w:tr>
      <w:tr w:rsidR="00794EB9" w:rsidRPr="00794EB9" w14:paraId="3E2D5A9D" w14:textId="77777777" w:rsidTr="00C307FB">
        <w:trPr>
          <w:trHeight w:val="1085"/>
        </w:trPr>
        <w:tc>
          <w:tcPr>
            <w:tcW w:w="768" w:type="pct"/>
            <w:tcBorders>
              <w:top w:val="nil"/>
              <w:left w:val="nil"/>
              <w:bottom w:val="nil"/>
              <w:right w:val="nil"/>
            </w:tcBorders>
            <w:shd w:val="clear" w:color="auto" w:fill="auto"/>
            <w:vAlign w:val="center"/>
            <w:hideMark/>
          </w:tcPr>
          <w:p w14:paraId="75B9ED3E" w14:textId="77777777" w:rsidR="00794EB9" w:rsidRPr="00794EB9" w:rsidRDefault="00794EB9" w:rsidP="00C307FB">
            <w:pPr>
              <w:jc w:val="center"/>
              <w:rPr>
                <w:rFonts w:ascii="Arial" w:hAnsi="Arial" w:cs="Arial"/>
                <w:sz w:val="22"/>
                <w:szCs w:val="22"/>
                <w:lang w:eastAsia="es-MX"/>
              </w:rPr>
            </w:pPr>
          </w:p>
        </w:tc>
        <w:tc>
          <w:tcPr>
            <w:tcW w:w="127" w:type="pct"/>
            <w:tcBorders>
              <w:top w:val="nil"/>
              <w:left w:val="nil"/>
              <w:bottom w:val="nil"/>
              <w:right w:val="nil"/>
            </w:tcBorders>
            <w:shd w:val="clear" w:color="auto" w:fill="auto"/>
            <w:vAlign w:val="center"/>
            <w:hideMark/>
          </w:tcPr>
          <w:p w14:paraId="78CF5ACE" w14:textId="77777777" w:rsidR="00794EB9" w:rsidRPr="00794EB9" w:rsidRDefault="00794EB9" w:rsidP="00C307FB">
            <w:pPr>
              <w:jc w:val="center"/>
              <w:rPr>
                <w:rFonts w:ascii="Arial" w:hAnsi="Arial" w:cs="Arial"/>
                <w:sz w:val="22"/>
                <w:szCs w:val="22"/>
                <w:lang w:eastAsia="es-MX"/>
              </w:rPr>
            </w:pPr>
          </w:p>
        </w:tc>
        <w:tc>
          <w:tcPr>
            <w:tcW w:w="785" w:type="pct"/>
            <w:tcBorders>
              <w:top w:val="nil"/>
              <w:left w:val="nil"/>
              <w:bottom w:val="nil"/>
              <w:right w:val="nil"/>
            </w:tcBorders>
            <w:shd w:val="clear" w:color="auto" w:fill="auto"/>
            <w:noWrap/>
            <w:vAlign w:val="bottom"/>
            <w:hideMark/>
          </w:tcPr>
          <w:p w14:paraId="45DB97A2" w14:textId="77777777" w:rsidR="00794EB9" w:rsidRPr="00794EB9" w:rsidRDefault="00794EB9" w:rsidP="00C307FB">
            <w:pPr>
              <w:jc w:val="cente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1454F300" w14:textId="77777777" w:rsidR="00794EB9" w:rsidRPr="00794EB9" w:rsidRDefault="00794EB9" w:rsidP="00C307FB">
            <w:pPr>
              <w:rPr>
                <w:rFonts w:ascii="Arial" w:hAnsi="Arial" w:cs="Arial"/>
                <w:sz w:val="22"/>
                <w:szCs w:val="22"/>
                <w:lang w:eastAsia="es-MX"/>
              </w:rPr>
            </w:pP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FB15FA" w14:textId="77777777" w:rsidR="00794EB9" w:rsidRPr="00794EB9" w:rsidRDefault="00794EB9" w:rsidP="00C307FB">
            <w:pPr>
              <w:jc w:val="center"/>
              <w:rPr>
                <w:rFonts w:ascii="Arial" w:hAnsi="Arial" w:cs="Arial"/>
                <w:bCs/>
                <w:sz w:val="22"/>
                <w:szCs w:val="22"/>
                <w:lang w:eastAsia="es-MX"/>
              </w:rPr>
            </w:pPr>
            <w:r w:rsidRPr="00794EB9">
              <w:rPr>
                <w:rFonts w:ascii="Arial" w:hAnsi="Arial" w:cs="Arial"/>
                <w:b/>
                <w:bCs/>
                <w:sz w:val="22"/>
                <w:szCs w:val="22"/>
                <w:lang w:eastAsia="es-MX"/>
              </w:rPr>
              <w:t>Baja densificación de parques industriales</w:t>
            </w:r>
            <w:r w:rsidRPr="00794EB9">
              <w:rPr>
                <w:rFonts w:ascii="Arial" w:hAnsi="Arial" w:cs="Arial"/>
                <w:bCs/>
                <w:sz w:val="22"/>
                <w:szCs w:val="22"/>
                <w:lang w:eastAsia="es-MX"/>
              </w:rPr>
              <w:t xml:space="preserve"> con sólo 45 empresas instaladas </w:t>
            </w:r>
          </w:p>
        </w:tc>
        <w:tc>
          <w:tcPr>
            <w:tcW w:w="107" w:type="pct"/>
            <w:tcBorders>
              <w:top w:val="nil"/>
              <w:left w:val="nil"/>
              <w:bottom w:val="nil"/>
              <w:right w:val="nil"/>
            </w:tcBorders>
            <w:shd w:val="clear" w:color="auto" w:fill="auto"/>
            <w:noWrap/>
            <w:vAlign w:val="bottom"/>
            <w:hideMark/>
          </w:tcPr>
          <w:p w14:paraId="5086DC87" w14:textId="77777777" w:rsidR="00794EB9" w:rsidRPr="00794EB9" w:rsidRDefault="00794EB9" w:rsidP="00C307FB">
            <w:pPr>
              <w:jc w:val="center"/>
              <w:rPr>
                <w:rFonts w:ascii="Arial" w:hAnsi="Arial" w:cs="Arial"/>
                <w:b/>
                <w:bCs/>
                <w:sz w:val="22"/>
                <w:szCs w:val="22"/>
                <w:lang w:eastAsia="es-MX"/>
              </w:rPr>
            </w:pPr>
          </w:p>
        </w:tc>
        <w:tc>
          <w:tcPr>
            <w:tcW w:w="833" w:type="pct"/>
            <w:tcBorders>
              <w:top w:val="nil"/>
              <w:left w:val="nil"/>
              <w:bottom w:val="nil"/>
              <w:right w:val="nil"/>
            </w:tcBorders>
            <w:shd w:val="clear" w:color="auto" w:fill="auto"/>
            <w:noWrap/>
            <w:vAlign w:val="bottom"/>
            <w:hideMark/>
          </w:tcPr>
          <w:p w14:paraId="60C71689" w14:textId="77777777" w:rsidR="00794EB9" w:rsidRPr="00794EB9" w:rsidRDefault="00794EB9" w:rsidP="00C307FB">
            <w:pP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50B86A66" w14:textId="77777777" w:rsidR="00794EB9" w:rsidRPr="00794EB9" w:rsidRDefault="00794EB9" w:rsidP="00C307FB">
            <w:pPr>
              <w:rPr>
                <w:rFonts w:ascii="Arial" w:hAnsi="Arial" w:cs="Arial"/>
                <w:sz w:val="22"/>
                <w:szCs w:val="22"/>
                <w:lang w:eastAsia="es-MX"/>
              </w:rPr>
            </w:pPr>
          </w:p>
        </w:tc>
        <w:tc>
          <w:tcPr>
            <w:tcW w:w="965" w:type="pct"/>
            <w:tcBorders>
              <w:top w:val="nil"/>
              <w:left w:val="nil"/>
              <w:bottom w:val="nil"/>
              <w:right w:val="nil"/>
            </w:tcBorders>
            <w:shd w:val="clear" w:color="auto" w:fill="auto"/>
            <w:vAlign w:val="center"/>
            <w:hideMark/>
          </w:tcPr>
          <w:p w14:paraId="4DD6A2B8" w14:textId="77777777" w:rsidR="00794EB9" w:rsidRPr="00794EB9" w:rsidRDefault="00794EB9" w:rsidP="00C307FB">
            <w:pPr>
              <w:jc w:val="center"/>
              <w:rPr>
                <w:rFonts w:ascii="Arial" w:hAnsi="Arial" w:cs="Arial"/>
                <w:sz w:val="22"/>
                <w:szCs w:val="22"/>
                <w:lang w:eastAsia="es-MX"/>
              </w:rPr>
            </w:pPr>
          </w:p>
        </w:tc>
      </w:tr>
    </w:tbl>
    <w:p w14:paraId="6CFA16D8" w14:textId="77777777" w:rsidR="00794EB9" w:rsidRPr="00794EB9" w:rsidRDefault="00794EB9" w:rsidP="00794EB9">
      <w:pPr>
        <w:ind w:hanging="2"/>
        <w:rPr>
          <w:rFonts w:ascii="Arial" w:hAnsi="Arial" w:cs="Arial"/>
          <w:b/>
          <w:sz w:val="22"/>
          <w:szCs w:val="22"/>
        </w:rPr>
      </w:pPr>
    </w:p>
    <w:p w14:paraId="514B4631" w14:textId="77777777" w:rsidR="00794EB9" w:rsidRPr="00794EB9" w:rsidRDefault="00794EB9" w:rsidP="00794EB9">
      <w:pPr>
        <w:ind w:hanging="2"/>
        <w:rPr>
          <w:rFonts w:ascii="Arial" w:hAnsi="Arial" w:cs="Arial"/>
          <w:b/>
          <w:sz w:val="22"/>
          <w:szCs w:val="22"/>
        </w:rPr>
      </w:pPr>
    </w:p>
    <w:p w14:paraId="4FD0AB07" w14:textId="77777777" w:rsidR="00794EB9" w:rsidRPr="00794EB9" w:rsidRDefault="00794EB9" w:rsidP="00794EB9">
      <w:pPr>
        <w:rPr>
          <w:rFonts w:ascii="Arial" w:hAnsi="Arial" w:cs="Arial"/>
          <w:b/>
          <w:sz w:val="22"/>
          <w:szCs w:val="22"/>
        </w:rPr>
      </w:pPr>
    </w:p>
    <w:p w14:paraId="133E1498" w14:textId="77777777" w:rsidR="00794EB9" w:rsidRPr="00794EB9" w:rsidRDefault="00794EB9" w:rsidP="00794EB9">
      <w:pPr>
        <w:rPr>
          <w:rFonts w:ascii="Arial" w:hAnsi="Arial" w:cs="Arial"/>
          <w:b/>
          <w:sz w:val="22"/>
          <w:szCs w:val="22"/>
        </w:rPr>
      </w:pPr>
      <w:r w:rsidRPr="00794EB9">
        <w:rPr>
          <w:rFonts w:ascii="Arial" w:hAnsi="Arial" w:cs="Arial"/>
          <w:b/>
          <w:sz w:val="22"/>
          <w:szCs w:val="22"/>
        </w:rPr>
        <w:br w:type="page"/>
      </w:r>
    </w:p>
    <w:p w14:paraId="4FA8D805" w14:textId="77777777" w:rsidR="00794EB9" w:rsidRPr="00794EB9" w:rsidRDefault="00794EB9" w:rsidP="00794EB9">
      <w:pPr>
        <w:ind w:hanging="2"/>
        <w:rPr>
          <w:rFonts w:ascii="Arial" w:hAnsi="Arial" w:cs="Arial"/>
          <w:b/>
          <w:sz w:val="22"/>
          <w:szCs w:val="22"/>
        </w:rPr>
      </w:pPr>
      <w:r w:rsidRPr="00794EB9">
        <w:rPr>
          <w:rFonts w:ascii="Arial" w:hAnsi="Arial" w:cs="Arial"/>
          <w:b/>
          <w:sz w:val="22"/>
          <w:szCs w:val="22"/>
        </w:rPr>
        <w:lastRenderedPageBreak/>
        <w:t>Árboles de objetivos – León 2021-2024</w:t>
      </w:r>
    </w:p>
    <w:p w14:paraId="1B7418A0" w14:textId="77777777" w:rsidR="00794EB9" w:rsidRPr="00794EB9" w:rsidRDefault="00794EB9" w:rsidP="00794EB9">
      <w:pPr>
        <w:ind w:hanging="2"/>
        <w:rPr>
          <w:rFonts w:ascii="Arial" w:hAnsi="Arial" w:cs="Arial"/>
          <w:b/>
          <w:sz w:val="22"/>
          <w:szCs w:val="22"/>
        </w:rPr>
      </w:pPr>
    </w:p>
    <w:p w14:paraId="4FE17FAD" w14:textId="77777777" w:rsidR="00794EB9" w:rsidRPr="00794EB9" w:rsidRDefault="00794EB9" w:rsidP="00794EB9">
      <w:pPr>
        <w:ind w:hanging="2"/>
        <w:rPr>
          <w:rFonts w:ascii="Arial" w:hAnsi="Arial" w:cs="Arial"/>
          <w:b/>
          <w:sz w:val="22"/>
          <w:szCs w:val="22"/>
        </w:rPr>
      </w:pPr>
    </w:p>
    <w:tbl>
      <w:tblPr>
        <w:tblW w:w="5000" w:type="pct"/>
        <w:tblCellMar>
          <w:left w:w="70" w:type="dxa"/>
          <w:right w:w="70" w:type="dxa"/>
        </w:tblCellMar>
        <w:tblLook w:val="04A0" w:firstRow="1" w:lastRow="0" w:firstColumn="1" w:lastColumn="0" w:noHBand="0" w:noVBand="1"/>
      </w:tblPr>
      <w:tblGrid>
        <w:gridCol w:w="915"/>
        <w:gridCol w:w="257"/>
        <w:gridCol w:w="1046"/>
        <w:gridCol w:w="250"/>
        <w:gridCol w:w="940"/>
        <w:gridCol w:w="294"/>
        <w:gridCol w:w="984"/>
        <w:gridCol w:w="349"/>
        <w:gridCol w:w="1748"/>
        <w:gridCol w:w="405"/>
        <w:gridCol w:w="1640"/>
      </w:tblGrid>
      <w:tr w:rsidR="00794EB9" w:rsidRPr="00794EB9" w14:paraId="2D6DF6BD" w14:textId="77777777" w:rsidTr="00C307FB">
        <w:trPr>
          <w:trHeight w:val="6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18EBE99D"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VIVIR TRANQUILO</w:t>
            </w:r>
          </w:p>
        </w:tc>
      </w:tr>
      <w:tr w:rsidR="00794EB9" w:rsidRPr="00794EB9" w14:paraId="70EF47BF" w14:textId="77777777" w:rsidTr="00C307FB">
        <w:trPr>
          <w:trHeight w:val="300"/>
        </w:trPr>
        <w:tc>
          <w:tcPr>
            <w:tcW w:w="512" w:type="pct"/>
            <w:tcBorders>
              <w:top w:val="nil"/>
              <w:left w:val="nil"/>
              <w:bottom w:val="nil"/>
              <w:right w:val="nil"/>
            </w:tcBorders>
            <w:shd w:val="clear" w:color="auto" w:fill="auto"/>
            <w:noWrap/>
            <w:vAlign w:val="bottom"/>
            <w:hideMark/>
          </w:tcPr>
          <w:p w14:paraId="6E9F8E2B" w14:textId="77777777" w:rsidR="00794EB9" w:rsidRPr="00794EB9" w:rsidRDefault="00794EB9" w:rsidP="00C307FB">
            <w:pPr>
              <w:jc w:val="center"/>
              <w:rPr>
                <w:rFonts w:ascii="Arial" w:hAnsi="Arial" w:cs="Arial"/>
                <w:b/>
                <w:bCs/>
                <w:sz w:val="22"/>
                <w:szCs w:val="22"/>
                <w:lang w:eastAsia="es-MX"/>
              </w:rPr>
            </w:pPr>
          </w:p>
        </w:tc>
        <w:tc>
          <w:tcPr>
            <w:tcW w:w="128" w:type="pct"/>
            <w:tcBorders>
              <w:top w:val="nil"/>
              <w:left w:val="nil"/>
              <w:bottom w:val="nil"/>
              <w:right w:val="nil"/>
            </w:tcBorders>
            <w:shd w:val="clear" w:color="auto" w:fill="auto"/>
            <w:noWrap/>
            <w:vAlign w:val="bottom"/>
            <w:hideMark/>
          </w:tcPr>
          <w:p w14:paraId="7A1DFBD5" w14:textId="77777777" w:rsidR="00794EB9" w:rsidRPr="00794EB9" w:rsidRDefault="00794EB9" w:rsidP="00C307FB">
            <w:pPr>
              <w:rPr>
                <w:rFonts w:ascii="Arial" w:hAnsi="Arial" w:cs="Arial"/>
                <w:sz w:val="22"/>
                <w:szCs w:val="22"/>
                <w:lang w:eastAsia="es-MX"/>
              </w:rPr>
            </w:pPr>
          </w:p>
        </w:tc>
        <w:tc>
          <w:tcPr>
            <w:tcW w:w="569" w:type="pct"/>
            <w:tcBorders>
              <w:top w:val="nil"/>
              <w:left w:val="nil"/>
              <w:bottom w:val="nil"/>
              <w:right w:val="nil"/>
            </w:tcBorders>
            <w:shd w:val="clear" w:color="auto" w:fill="auto"/>
            <w:noWrap/>
            <w:vAlign w:val="bottom"/>
            <w:hideMark/>
          </w:tcPr>
          <w:p w14:paraId="6B531017" w14:textId="77777777" w:rsidR="00794EB9" w:rsidRPr="00794EB9" w:rsidRDefault="00794EB9" w:rsidP="00C307FB">
            <w:pPr>
              <w:rPr>
                <w:rFonts w:ascii="Arial" w:hAnsi="Arial" w:cs="Arial"/>
                <w:sz w:val="22"/>
                <w:szCs w:val="22"/>
                <w:lang w:eastAsia="es-MX"/>
              </w:rPr>
            </w:pPr>
          </w:p>
        </w:tc>
        <w:tc>
          <w:tcPr>
            <w:tcW w:w="124" w:type="pct"/>
            <w:tcBorders>
              <w:top w:val="nil"/>
              <w:left w:val="nil"/>
              <w:bottom w:val="nil"/>
              <w:right w:val="nil"/>
            </w:tcBorders>
            <w:shd w:val="clear" w:color="auto" w:fill="auto"/>
            <w:noWrap/>
            <w:vAlign w:val="bottom"/>
            <w:hideMark/>
          </w:tcPr>
          <w:p w14:paraId="6C9D29FB" w14:textId="77777777" w:rsidR="00794EB9" w:rsidRPr="00794EB9" w:rsidRDefault="00794EB9" w:rsidP="00C307FB">
            <w:pPr>
              <w:rPr>
                <w:rFonts w:ascii="Arial" w:hAnsi="Arial" w:cs="Arial"/>
                <w:sz w:val="22"/>
                <w:szCs w:val="22"/>
                <w:lang w:eastAsia="es-MX"/>
              </w:rPr>
            </w:pPr>
          </w:p>
        </w:tc>
        <w:tc>
          <w:tcPr>
            <w:tcW w:w="552" w:type="pct"/>
            <w:tcBorders>
              <w:top w:val="nil"/>
              <w:left w:val="nil"/>
              <w:bottom w:val="nil"/>
              <w:right w:val="nil"/>
            </w:tcBorders>
            <w:shd w:val="clear" w:color="auto" w:fill="auto"/>
            <w:noWrap/>
            <w:vAlign w:val="bottom"/>
            <w:hideMark/>
          </w:tcPr>
          <w:p w14:paraId="6460641D" w14:textId="77777777" w:rsidR="00794EB9" w:rsidRPr="00794EB9" w:rsidRDefault="00794EB9" w:rsidP="00C307FB">
            <w:pPr>
              <w:rPr>
                <w:rFonts w:ascii="Arial" w:hAnsi="Arial" w:cs="Arial"/>
                <w:sz w:val="22"/>
                <w:szCs w:val="22"/>
                <w:lang w:eastAsia="es-MX"/>
              </w:rPr>
            </w:pPr>
          </w:p>
        </w:tc>
        <w:tc>
          <w:tcPr>
            <w:tcW w:w="151" w:type="pct"/>
            <w:tcBorders>
              <w:top w:val="nil"/>
              <w:left w:val="nil"/>
              <w:bottom w:val="nil"/>
              <w:right w:val="nil"/>
            </w:tcBorders>
            <w:shd w:val="clear" w:color="auto" w:fill="auto"/>
            <w:noWrap/>
            <w:vAlign w:val="bottom"/>
            <w:hideMark/>
          </w:tcPr>
          <w:p w14:paraId="60ED95F5" w14:textId="77777777" w:rsidR="00794EB9" w:rsidRPr="00794EB9" w:rsidRDefault="00794EB9" w:rsidP="00C307FB">
            <w:pPr>
              <w:rPr>
                <w:rFonts w:ascii="Arial" w:hAnsi="Arial" w:cs="Arial"/>
                <w:sz w:val="22"/>
                <w:szCs w:val="22"/>
                <w:lang w:eastAsia="es-MX"/>
              </w:rPr>
            </w:pPr>
          </w:p>
        </w:tc>
        <w:tc>
          <w:tcPr>
            <w:tcW w:w="520" w:type="pct"/>
            <w:tcBorders>
              <w:top w:val="nil"/>
              <w:left w:val="nil"/>
              <w:bottom w:val="nil"/>
              <w:right w:val="nil"/>
            </w:tcBorders>
            <w:shd w:val="clear" w:color="auto" w:fill="auto"/>
            <w:noWrap/>
            <w:vAlign w:val="bottom"/>
            <w:hideMark/>
          </w:tcPr>
          <w:p w14:paraId="159EC7A6" w14:textId="77777777" w:rsidR="00794EB9" w:rsidRPr="00794EB9" w:rsidRDefault="00794EB9" w:rsidP="00C307FB">
            <w:pPr>
              <w:rPr>
                <w:rFonts w:ascii="Arial" w:hAnsi="Arial" w:cs="Arial"/>
                <w:sz w:val="22"/>
                <w:szCs w:val="22"/>
                <w:lang w:eastAsia="es-MX"/>
              </w:rPr>
            </w:pPr>
          </w:p>
        </w:tc>
        <w:tc>
          <w:tcPr>
            <w:tcW w:w="185" w:type="pct"/>
            <w:tcBorders>
              <w:top w:val="nil"/>
              <w:left w:val="nil"/>
              <w:bottom w:val="nil"/>
              <w:right w:val="nil"/>
            </w:tcBorders>
            <w:shd w:val="clear" w:color="auto" w:fill="auto"/>
            <w:noWrap/>
            <w:vAlign w:val="bottom"/>
            <w:hideMark/>
          </w:tcPr>
          <w:p w14:paraId="075DF783" w14:textId="77777777" w:rsidR="00794EB9" w:rsidRPr="00794EB9" w:rsidRDefault="00794EB9" w:rsidP="00C307FB">
            <w:pPr>
              <w:rPr>
                <w:rFonts w:ascii="Arial" w:hAnsi="Arial" w:cs="Arial"/>
                <w:sz w:val="22"/>
                <w:szCs w:val="22"/>
                <w:lang w:eastAsia="es-MX"/>
              </w:rPr>
            </w:pPr>
          </w:p>
        </w:tc>
        <w:tc>
          <w:tcPr>
            <w:tcW w:w="1053" w:type="pct"/>
            <w:tcBorders>
              <w:top w:val="nil"/>
              <w:left w:val="nil"/>
              <w:bottom w:val="nil"/>
              <w:right w:val="nil"/>
            </w:tcBorders>
            <w:shd w:val="clear" w:color="auto" w:fill="auto"/>
            <w:noWrap/>
            <w:vAlign w:val="bottom"/>
            <w:hideMark/>
          </w:tcPr>
          <w:p w14:paraId="3AED05A7" w14:textId="77777777" w:rsidR="00794EB9" w:rsidRPr="00794EB9" w:rsidRDefault="00794EB9" w:rsidP="00C307FB">
            <w:pPr>
              <w:rPr>
                <w:rFonts w:ascii="Arial" w:hAnsi="Arial" w:cs="Arial"/>
                <w:sz w:val="22"/>
                <w:szCs w:val="22"/>
                <w:lang w:eastAsia="es-MX"/>
              </w:rPr>
            </w:pPr>
          </w:p>
        </w:tc>
        <w:tc>
          <w:tcPr>
            <w:tcW w:w="220" w:type="pct"/>
            <w:tcBorders>
              <w:top w:val="nil"/>
              <w:left w:val="nil"/>
              <w:bottom w:val="nil"/>
              <w:right w:val="nil"/>
            </w:tcBorders>
            <w:shd w:val="clear" w:color="auto" w:fill="auto"/>
            <w:noWrap/>
            <w:vAlign w:val="bottom"/>
            <w:hideMark/>
          </w:tcPr>
          <w:p w14:paraId="31FE9FD3" w14:textId="77777777" w:rsidR="00794EB9" w:rsidRPr="00794EB9" w:rsidRDefault="00794EB9" w:rsidP="00C307FB">
            <w:pPr>
              <w:rPr>
                <w:rFonts w:ascii="Arial" w:hAnsi="Arial" w:cs="Arial"/>
                <w:sz w:val="22"/>
                <w:szCs w:val="22"/>
                <w:lang w:eastAsia="es-MX"/>
              </w:rPr>
            </w:pPr>
          </w:p>
        </w:tc>
        <w:tc>
          <w:tcPr>
            <w:tcW w:w="986" w:type="pct"/>
            <w:tcBorders>
              <w:top w:val="nil"/>
              <w:left w:val="nil"/>
              <w:bottom w:val="nil"/>
              <w:right w:val="nil"/>
            </w:tcBorders>
            <w:shd w:val="clear" w:color="auto" w:fill="auto"/>
            <w:noWrap/>
            <w:vAlign w:val="bottom"/>
            <w:hideMark/>
          </w:tcPr>
          <w:p w14:paraId="1046386C" w14:textId="77777777" w:rsidR="00794EB9" w:rsidRPr="00794EB9" w:rsidRDefault="00794EB9" w:rsidP="00C307FB">
            <w:pPr>
              <w:rPr>
                <w:rFonts w:ascii="Arial" w:hAnsi="Arial" w:cs="Arial"/>
                <w:sz w:val="22"/>
                <w:szCs w:val="22"/>
                <w:lang w:eastAsia="es-MX"/>
              </w:rPr>
            </w:pPr>
          </w:p>
        </w:tc>
      </w:tr>
      <w:tr w:rsidR="00794EB9" w:rsidRPr="00794EB9" w14:paraId="5DB70051" w14:textId="77777777" w:rsidTr="00C307FB">
        <w:trPr>
          <w:trHeight w:val="3145"/>
        </w:trPr>
        <w:tc>
          <w:tcPr>
            <w:tcW w:w="1209"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6A0534A"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Desarrollar una forma de gobierno con mayor cercanía con la población que atienda sus demandas y solicitudes</w:t>
            </w:r>
            <w:r w:rsidRPr="00794EB9">
              <w:rPr>
                <w:rFonts w:ascii="Arial" w:hAnsi="Arial" w:cs="Arial"/>
                <w:sz w:val="22"/>
                <w:szCs w:val="22"/>
                <w:lang w:eastAsia="es-MX"/>
              </w:rPr>
              <w:t xml:space="preserve"> basada en  trámites digitales, un modelo de delegaciones, presupuesto participativo y una forma de atención ciudadana basada en la excelencia en el trato y el servicio</w:t>
            </w:r>
          </w:p>
        </w:tc>
        <w:tc>
          <w:tcPr>
            <w:tcW w:w="124" w:type="pct"/>
            <w:tcBorders>
              <w:top w:val="nil"/>
              <w:left w:val="nil"/>
              <w:bottom w:val="nil"/>
              <w:right w:val="nil"/>
            </w:tcBorders>
            <w:shd w:val="clear" w:color="auto" w:fill="auto"/>
            <w:noWrap/>
            <w:vAlign w:val="center"/>
            <w:hideMark/>
          </w:tcPr>
          <w:p w14:paraId="6FA7FCBF" w14:textId="77777777" w:rsidR="00794EB9" w:rsidRPr="00794EB9" w:rsidRDefault="00794EB9" w:rsidP="00C307FB">
            <w:pPr>
              <w:jc w:val="center"/>
              <w:rPr>
                <w:rFonts w:ascii="Arial" w:hAnsi="Arial" w:cs="Arial"/>
                <w:sz w:val="22"/>
                <w:szCs w:val="22"/>
                <w:lang w:eastAsia="es-MX"/>
              </w:rPr>
            </w:pPr>
          </w:p>
        </w:tc>
        <w:tc>
          <w:tcPr>
            <w:tcW w:w="1222"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A981470"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Impulsar de forma integral acciones para mejorar la movilidad urbana de forma sustentable y que se orientan a que los ciudadanos circulen de forma segura y ágil</w:t>
            </w:r>
            <w:r w:rsidRPr="00794EB9">
              <w:rPr>
                <w:rFonts w:ascii="Arial" w:hAnsi="Arial" w:cs="Arial"/>
                <w:sz w:val="22"/>
                <w:szCs w:val="22"/>
                <w:lang w:eastAsia="es-MX"/>
              </w:rPr>
              <w:t>, utilizando racionalmente las herramientas tecnológicas de última generación</w:t>
            </w:r>
          </w:p>
        </w:tc>
        <w:tc>
          <w:tcPr>
            <w:tcW w:w="185" w:type="pct"/>
            <w:tcBorders>
              <w:top w:val="nil"/>
              <w:left w:val="nil"/>
              <w:bottom w:val="nil"/>
              <w:right w:val="nil"/>
            </w:tcBorders>
            <w:shd w:val="clear" w:color="auto" w:fill="auto"/>
            <w:noWrap/>
            <w:vAlign w:val="center"/>
            <w:hideMark/>
          </w:tcPr>
          <w:p w14:paraId="5754D9A3" w14:textId="77777777" w:rsidR="00794EB9" w:rsidRPr="00794EB9" w:rsidRDefault="00794EB9" w:rsidP="00C307FB">
            <w:pPr>
              <w:jc w:val="center"/>
              <w:rPr>
                <w:rFonts w:ascii="Arial" w:hAnsi="Arial" w:cs="Arial"/>
                <w:sz w:val="22"/>
                <w:szCs w:val="22"/>
                <w:lang w:eastAsia="es-MX"/>
              </w:rPr>
            </w:pPr>
          </w:p>
        </w:tc>
        <w:tc>
          <w:tcPr>
            <w:tcW w:w="10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2E30F5"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Implementar un nuevo modelo de seguridad basado en los principios de Seguridad Máxima, Prevención Activa y Tolerancia Cero</w:t>
            </w:r>
            <w:r w:rsidRPr="00794EB9">
              <w:rPr>
                <w:rFonts w:ascii="Arial" w:hAnsi="Arial" w:cs="Arial"/>
                <w:sz w:val="22"/>
                <w:szCs w:val="22"/>
                <w:lang w:eastAsia="es-MX"/>
              </w:rPr>
              <w:t>, que implican mejoras sustantivas en la eficiencia de la policía para atender sus labores de prevención y acción, con mejores condiciones de preparación, elementos tecnológicos, norma ética de la corporación y colaboración con la ciudadanía, abonando a la cercanía y la capacidad de respuesta más efectiva</w:t>
            </w:r>
          </w:p>
        </w:tc>
        <w:tc>
          <w:tcPr>
            <w:tcW w:w="220" w:type="pct"/>
            <w:tcBorders>
              <w:top w:val="nil"/>
              <w:left w:val="nil"/>
              <w:bottom w:val="nil"/>
              <w:right w:val="nil"/>
            </w:tcBorders>
            <w:shd w:val="clear" w:color="auto" w:fill="auto"/>
            <w:noWrap/>
            <w:vAlign w:val="center"/>
            <w:hideMark/>
          </w:tcPr>
          <w:p w14:paraId="201912AE" w14:textId="77777777" w:rsidR="00794EB9" w:rsidRPr="00794EB9" w:rsidRDefault="00794EB9" w:rsidP="00C307FB">
            <w:pPr>
              <w:jc w:val="center"/>
              <w:rPr>
                <w:rFonts w:ascii="Arial" w:hAnsi="Arial" w:cs="Arial"/>
                <w:sz w:val="22"/>
                <w:szCs w:val="22"/>
                <w:lang w:eastAsia="es-MX"/>
              </w:rPr>
            </w:pP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EE516F"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Desarrollar una intensa promoción de actividades artísticas, culturales y científicas en colaboración con la iniciativa privada y organizaciones sociales</w:t>
            </w:r>
            <w:r w:rsidRPr="00794EB9">
              <w:rPr>
                <w:rFonts w:ascii="Arial" w:hAnsi="Arial" w:cs="Arial"/>
                <w:sz w:val="22"/>
                <w:szCs w:val="22"/>
                <w:lang w:eastAsia="es-MX"/>
              </w:rPr>
              <w:t>, que ayuden a mejorar las condiciones de convivencia social, la conservación del patrimonio cultural y el fortalecimiento de la identidad local; factores clave para generar una ciudad más segura e impulsar el desarrollo económico de este sector estratégico</w:t>
            </w:r>
          </w:p>
        </w:tc>
      </w:tr>
      <w:tr w:rsidR="00794EB9" w:rsidRPr="00794EB9" w14:paraId="2CD5C609" w14:textId="77777777" w:rsidTr="00C307FB">
        <w:trPr>
          <w:trHeight w:val="300"/>
        </w:trPr>
        <w:tc>
          <w:tcPr>
            <w:tcW w:w="512" w:type="pct"/>
            <w:tcBorders>
              <w:top w:val="nil"/>
              <w:left w:val="nil"/>
              <w:bottom w:val="nil"/>
              <w:right w:val="nil"/>
            </w:tcBorders>
            <w:shd w:val="clear" w:color="auto" w:fill="auto"/>
            <w:noWrap/>
            <w:vAlign w:val="bottom"/>
            <w:hideMark/>
          </w:tcPr>
          <w:p w14:paraId="5093F9F8" w14:textId="77777777" w:rsidR="00794EB9" w:rsidRPr="00794EB9" w:rsidRDefault="00794EB9" w:rsidP="00C307FB">
            <w:pPr>
              <w:jc w:val="center"/>
              <w:rPr>
                <w:rFonts w:ascii="Arial" w:hAnsi="Arial" w:cs="Arial"/>
                <w:sz w:val="22"/>
                <w:szCs w:val="22"/>
                <w:lang w:eastAsia="es-MX"/>
              </w:rPr>
            </w:pPr>
          </w:p>
        </w:tc>
        <w:tc>
          <w:tcPr>
            <w:tcW w:w="128" w:type="pct"/>
            <w:tcBorders>
              <w:top w:val="nil"/>
              <w:left w:val="nil"/>
              <w:bottom w:val="nil"/>
              <w:right w:val="nil"/>
            </w:tcBorders>
            <w:shd w:val="clear" w:color="auto" w:fill="auto"/>
            <w:noWrap/>
            <w:vAlign w:val="bottom"/>
            <w:hideMark/>
          </w:tcPr>
          <w:p w14:paraId="57E97110" w14:textId="77777777" w:rsidR="00794EB9" w:rsidRPr="00794EB9" w:rsidRDefault="00794EB9" w:rsidP="00C307FB">
            <w:pPr>
              <w:rPr>
                <w:rFonts w:ascii="Arial" w:hAnsi="Arial" w:cs="Arial"/>
                <w:sz w:val="22"/>
                <w:szCs w:val="22"/>
                <w:lang w:eastAsia="es-MX"/>
              </w:rPr>
            </w:pPr>
          </w:p>
        </w:tc>
        <w:tc>
          <w:tcPr>
            <w:tcW w:w="569" w:type="pct"/>
            <w:tcBorders>
              <w:top w:val="nil"/>
              <w:left w:val="nil"/>
              <w:bottom w:val="nil"/>
              <w:right w:val="nil"/>
            </w:tcBorders>
            <w:shd w:val="clear" w:color="auto" w:fill="auto"/>
            <w:noWrap/>
            <w:vAlign w:val="bottom"/>
            <w:hideMark/>
          </w:tcPr>
          <w:p w14:paraId="31A36814" w14:textId="77777777" w:rsidR="00794EB9" w:rsidRPr="00794EB9" w:rsidRDefault="00794EB9" w:rsidP="00C307FB">
            <w:pPr>
              <w:rPr>
                <w:rFonts w:ascii="Arial" w:hAnsi="Arial" w:cs="Arial"/>
                <w:sz w:val="22"/>
                <w:szCs w:val="22"/>
                <w:lang w:eastAsia="es-MX"/>
              </w:rPr>
            </w:pPr>
          </w:p>
        </w:tc>
        <w:tc>
          <w:tcPr>
            <w:tcW w:w="124" w:type="pct"/>
            <w:tcBorders>
              <w:top w:val="nil"/>
              <w:left w:val="nil"/>
              <w:bottom w:val="nil"/>
              <w:right w:val="nil"/>
            </w:tcBorders>
            <w:shd w:val="clear" w:color="auto" w:fill="auto"/>
            <w:noWrap/>
            <w:vAlign w:val="bottom"/>
            <w:hideMark/>
          </w:tcPr>
          <w:p w14:paraId="64DC8501" w14:textId="77777777" w:rsidR="00794EB9" w:rsidRPr="00794EB9" w:rsidRDefault="00794EB9" w:rsidP="00C307FB">
            <w:pPr>
              <w:rPr>
                <w:rFonts w:ascii="Arial" w:hAnsi="Arial" w:cs="Arial"/>
                <w:sz w:val="22"/>
                <w:szCs w:val="22"/>
                <w:lang w:eastAsia="es-MX"/>
              </w:rPr>
            </w:pPr>
          </w:p>
        </w:tc>
        <w:tc>
          <w:tcPr>
            <w:tcW w:w="552" w:type="pct"/>
            <w:tcBorders>
              <w:top w:val="nil"/>
              <w:left w:val="nil"/>
              <w:bottom w:val="nil"/>
              <w:right w:val="nil"/>
            </w:tcBorders>
            <w:shd w:val="clear" w:color="auto" w:fill="auto"/>
            <w:noWrap/>
            <w:vAlign w:val="bottom"/>
            <w:hideMark/>
          </w:tcPr>
          <w:p w14:paraId="7AE76AF9" w14:textId="77777777" w:rsidR="00794EB9" w:rsidRPr="00794EB9" w:rsidRDefault="00794EB9" w:rsidP="00C307FB">
            <w:pPr>
              <w:rPr>
                <w:rFonts w:ascii="Arial" w:hAnsi="Arial" w:cs="Arial"/>
                <w:sz w:val="22"/>
                <w:szCs w:val="22"/>
                <w:lang w:eastAsia="es-MX"/>
              </w:rPr>
            </w:pPr>
          </w:p>
        </w:tc>
        <w:tc>
          <w:tcPr>
            <w:tcW w:w="151" w:type="pct"/>
            <w:tcBorders>
              <w:top w:val="nil"/>
              <w:left w:val="nil"/>
              <w:bottom w:val="nil"/>
              <w:right w:val="nil"/>
            </w:tcBorders>
            <w:shd w:val="clear" w:color="auto" w:fill="auto"/>
            <w:noWrap/>
            <w:vAlign w:val="bottom"/>
            <w:hideMark/>
          </w:tcPr>
          <w:p w14:paraId="1AFFDD14" w14:textId="77777777" w:rsidR="00794EB9" w:rsidRPr="00794EB9" w:rsidRDefault="00794EB9" w:rsidP="00C307FB">
            <w:pPr>
              <w:rPr>
                <w:rFonts w:ascii="Arial" w:hAnsi="Arial" w:cs="Arial"/>
                <w:sz w:val="22"/>
                <w:szCs w:val="22"/>
                <w:lang w:eastAsia="es-MX"/>
              </w:rPr>
            </w:pPr>
          </w:p>
        </w:tc>
        <w:tc>
          <w:tcPr>
            <w:tcW w:w="520" w:type="pct"/>
            <w:tcBorders>
              <w:top w:val="nil"/>
              <w:left w:val="nil"/>
              <w:bottom w:val="nil"/>
              <w:right w:val="nil"/>
            </w:tcBorders>
            <w:shd w:val="clear" w:color="auto" w:fill="auto"/>
            <w:noWrap/>
            <w:vAlign w:val="bottom"/>
            <w:hideMark/>
          </w:tcPr>
          <w:p w14:paraId="64D0FD3D" w14:textId="77777777" w:rsidR="00794EB9" w:rsidRPr="00794EB9" w:rsidRDefault="00794EB9" w:rsidP="00C307FB">
            <w:pPr>
              <w:rPr>
                <w:rFonts w:ascii="Arial" w:hAnsi="Arial" w:cs="Arial"/>
                <w:sz w:val="22"/>
                <w:szCs w:val="22"/>
                <w:lang w:eastAsia="es-MX"/>
              </w:rPr>
            </w:pPr>
          </w:p>
        </w:tc>
        <w:tc>
          <w:tcPr>
            <w:tcW w:w="185" w:type="pct"/>
            <w:tcBorders>
              <w:top w:val="nil"/>
              <w:left w:val="nil"/>
              <w:bottom w:val="nil"/>
              <w:right w:val="nil"/>
            </w:tcBorders>
            <w:shd w:val="clear" w:color="auto" w:fill="auto"/>
            <w:noWrap/>
            <w:vAlign w:val="bottom"/>
            <w:hideMark/>
          </w:tcPr>
          <w:p w14:paraId="408FF71C" w14:textId="77777777" w:rsidR="00794EB9" w:rsidRPr="00794EB9" w:rsidRDefault="00794EB9" w:rsidP="00C307FB">
            <w:pPr>
              <w:rPr>
                <w:rFonts w:ascii="Arial" w:hAnsi="Arial" w:cs="Arial"/>
                <w:sz w:val="22"/>
                <w:szCs w:val="22"/>
                <w:lang w:eastAsia="es-MX"/>
              </w:rPr>
            </w:pPr>
          </w:p>
        </w:tc>
        <w:tc>
          <w:tcPr>
            <w:tcW w:w="1053" w:type="pct"/>
            <w:tcBorders>
              <w:top w:val="nil"/>
              <w:left w:val="nil"/>
              <w:bottom w:val="nil"/>
              <w:right w:val="nil"/>
            </w:tcBorders>
            <w:shd w:val="clear" w:color="auto" w:fill="auto"/>
            <w:noWrap/>
            <w:vAlign w:val="bottom"/>
            <w:hideMark/>
          </w:tcPr>
          <w:p w14:paraId="6E07C0DD" w14:textId="77777777" w:rsidR="00794EB9" w:rsidRPr="00794EB9" w:rsidRDefault="00794EB9" w:rsidP="00C307FB">
            <w:pPr>
              <w:rPr>
                <w:rFonts w:ascii="Arial" w:hAnsi="Arial" w:cs="Arial"/>
                <w:sz w:val="22"/>
                <w:szCs w:val="22"/>
                <w:lang w:eastAsia="es-MX"/>
              </w:rPr>
            </w:pPr>
          </w:p>
        </w:tc>
        <w:tc>
          <w:tcPr>
            <w:tcW w:w="220" w:type="pct"/>
            <w:tcBorders>
              <w:top w:val="nil"/>
              <w:left w:val="nil"/>
              <w:bottom w:val="nil"/>
              <w:right w:val="nil"/>
            </w:tcBorders>
            <w:shd w:val="clear" w:color="auto" w:fill="auto"/>
            <w:noWrap/>
            <w:vAlign w:val="bottom"/>
            <w:hideMark/>
          </w:tcPr>
          <w:p w14:paraId="3A7EDA5E" w14:textId="77777777" w:rsidR="00794EB9" w:rsidRPr="00794EB9" w:rsidRDefault="00794EB9" w:rsidP="00C307FB">
            <w:pPr>
              <w:rPr>
                <w:rFonts w:ascii="Arial" w:hAnsi="Arial" w:cs="Arial"/>
                <w:sz w:val="22"/>
                <w:szCs w:val="22"/>
                <w:lang w:eastAsia="es-MX"/>
              </w:rPr>
            </w:pPr>
          </w:p>
        </w:tc>
        <w:tc>
          <w:tcPr>
            <w:tcW w:w="986" w:type="pct"/>
            <w:tcBorders>
              <w:top w:val="nil"/>
              <w:left w:val="nil"/>
              <w:bottom w:val="nil"/>
              <w:right w:val="nil"/>
            </w:tcBorders>
            <w:shd w:val="clear" w:color="auto" w:fill="auto"/>
            <w:noWrap/>
            <w:vAlign w:val="bottom"/>
            <w:hideMark/>
          </w:tcPr>
          <w:p w14:paraId="2F8C1A32" w14:textId="77777777" w:rsidR="00794EB9" w:rsidRPr="00794EB9" w:rsidRDefault="00794EB9" w:rsidP="00C307FB">
            <w:pPr>
              <w:rPr>
                <w:rFonts w:ascii="Arial" w:hAnsi="Arial" w:cs="Arial"/>
                <w:sz w:val="22"/>
                <w:szCs w:val="22"/>
                <w:lang w:eastAsia="es-MX"/>
              </w:rPr>
            </w:pPr>
          </w:p>
        </w:tc>
      </w:tr>
      <w:tr w:rsidR="00794EB9" w:rsidRPr="00794EB9" w14:paraId="46FDF874" w14:textId="77777777" w:rsidTr="00C307FB">
        <w:trPr>
          <w:trHeight w:val="315"/>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1B00E4"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Generar un conjunto de políticas y proyectos para que todos los leoneses puedan sentirse tranquilos viviendo en León</w:t>
            </w:r>
          </w:p>
        </w:tc>
      </w:tr>
      <w:tr w:rsidR="00794EB9" w:rsidRPr="00794EB9" w14:paraId="58BE20D1" w14:textId="77777777" w:rsidTr="00C307FB">
        <w:trPr>
          <w:trHeight w:val="300"/>
        </w:trPr>
        <w:tc>
          <w:tcPr>
            <w:tcW w:w="512" w:type="pct"/>
            <w:tcBorders>
              <w:top w:val="nil"/>
              <w:left w:val="nil"/>
              <w:bottom w:val="nil"/>
              <w:right w:val="nil"/>
            </w:tcBorders>
            <w:shd w:val="clear" w:color="auto" w:fill="auto"/>
            <w:noWrap/>
            <w:vAlign w:val="bottom"/>
            <w:hideMark/>
          </w:tcPr>
          <w:p w14:paraId="18315AE0" w14:textId="77777777" w:rsidR="00794EB9" w:rsidRPr="00794EB9" w:rsidRDefault="00794EB9" w:rsidP="00C307FB">
            <w:pPr>
              <w:jc w:val="center"/>
              <w:rPr>
                <w:rFonts w:ascii="Arial" w:hAnsi="Arial" w:cs="Arial"/>
                <w:b/>
                <w:bCs/>
                <w:sz w:val="22"/>
                <w:szCs w:val="22"/>
                <w:lang w:eastAsia="es-MX"/>
              </w:rPr>
            </w:pPr>
          </w:p>
        </w:tc>
        <w:tc>
          <w:tcPr>
            <w:tcW w:w="128" w:type="pct"/>
            <w:tcBorders>
              <w:top w:val="nil"/>
              <w:left w:val="nil"/>
              <w:bottom w:val="nil"/>
              <w:right w:val="nil"/>
            </w:tcBorders>
            <w:shd w:val="clear" w:color="auto" w:fill="auto"/>
            <w:noWrap/>
            <w:vAlign w:val="bottom"/>
            <w:hideMark/>
          </w:tcPr>
          <w:p w14:paraId="387809F5" w14:textId="77777777" w:rsidR="00794EB9" w:rsidRPr="00794EB9" w:rsidRDefault="00794EB9" w:rsidP="00C307FB">
            <w:pPr>
              <w:rPr>
                <w:rFonts w:ascii="Arial" w:hAnsi="Arial" w:cs="Arial"/>
                <w:sz w:val="22"/>
                <w:szCs w:val="22"/>
                <w:lang w:eastAsia="es-MX"/>
              </w:rPr>
            </w:pPr>
          </w:p>
        </w:tc>
        <w:tc>
          <w:tcPr>
            <w:tcW w:w="569" w:type="pct"/>
            <w:tcBorders>
              <w:top w:val="nil"/>
              <w:left w:val="nil"/>
              <w:bottom w:val="nil"/>
              <w:right w:val="nil"/>
            </w:tcBorders>
            <w:shd w:val="clear" w:color="auto" w:fill="auto"/>
            <w:noWrap/>
            <w:vAlign w:val="bottom"/>
            <w:hideMark/>
          </w:tcPr>
          <w:p w14:paraId="7022D9E3" w14:textId="77777777" w:rsidR="00794EB9" w:rsidRPr="00794EB9" w:rsidRDefault="00794EB9" w:rsidP="00C307FB">
            <w:pPr>
              <w:rPr>
                <w:rFonts w:ascii="Arial" w:hAnsi="Arial" w:cs="Arial"/>
                <w:sz w:val="22"/>
                <w:szCs w:val="22"/>
                <w:lang w:eastAsia="es-MX"/>
              </w:rPr>
            </w:pPr>
          </w:p>
        </w:tc>
        <w:tc>
          <w:tcPr>
            <w:tcW w:w="124" w:type="pct"/>
            <w:tcBorders>
              <w:top w:val="nil"/>
              <w:left w:val="nil"/>
              <w:bottom w:val="nil"/>
              <w:right w:val="nil"/>
            </w:tcBorders>
            <w:shd w:val="clear" w:color="auto" w:fill="auto"/>
            <w:noWrap/>
            <w:vAlign w:val="bottom"/>
            <w:hideMark/>
          </w:tcPr>
          <w:p w14:paraId="040DCA29" w14:textId="77777777" w:rsidR="00794EB9" w:rsidRPr="00794EB9" w:rsidRDefault="00794EB9" w:rsidP="00C307FB">
            <w:pPr>
              <w:rPr>
                <w:rFonts w:ascii="Arial" w:hAnsi="Arial" w:cs="Arial"/>
                <w:sz w:val="22"/>
                <w:szCs w:val="22"/>
                <w:lang w:eastAsia="es-MX"/>
              </w:rPr>
            </w:pPr>
          </w:p>
        </w:tc>
        <w:tc>
          <w:tcPr>
            <w:tcW w:w="552" w:type="pct"/>
            <w:tcBorders>
              <w:top w:val="nil"/>
              <w:left w:val="nil"/>
              <w:bottom w:val="nil"/>
              <w:right w:val="nil"/>
            </w:tcBorders>
            <w:shd w:val="clear" w:color="auto" w:fill="auto"/>
            <w:noWrap/>
            <w:vAlign w:val="bottom"/>
            <w:hideMark/>
          </w:tcPr>
          <w:p w14:paraId="20114191" w14:textId="77777777" w:rsidR="00794EB9" w:rsidRPr="00794EB9" w:rsidRDefault="00794EB9" w:rsidP="00C307FB">
            <w:pPr>
              <w:rPr>
                <w:rFonts w:ascii="Arial" w:hAnsi="Arial" w:cs="Arial"/>
                <w:sz w:val="22"/>
                <w:szCs w:val="22"/>
                <w:lang w:eastAsia="es-MX"/>
              </w:rPr>
            </w:pPr>
          </w:p>
        </w:tc>
        <w:tc>
          <w:tcPr>
            <w:tcW w:w="151" w:type="pct"/>
            <w:tcBorders>
              <w:top w:val="nil"/>
              <w:left w:val="nil"/>
              <w:bottom w:val="nil"/>
              <w:right w:val="nil"/>
            </w:tcBorders>
            <w:shd w:val="clear" w:color="auto" w:fill="auto"/>
            <w:noWrap/>
            <w:vAlign w:val="bottom"/>
            <w:hideMark/>
          </w:tcPr>
          <w:p w14:paraId="510D13C4" w14:textId="77777777" w:rsidR="00794EB9" w:rsidRPr="00794EB9" w:rsidRDefault="00794EB9" w:rsidP="00C307FB">
            <w:pPr>
              <w:rPr>
                <w:rFonts w:ascii="Arial" w:hAnsi="Arial" w:cs="Arial"/>
                <w:sz w:val="22"/>
                <w:szCs w:val="22"/>
                <w:lang w:eastAsia="es-MX"/>
              </w:rPr>
            </w:pPr>
          </w:p>
        </w:tc>
        <w:tc>
          <w:tcPr>
            <w:tcW w:w="520" w:type="pct"/>
            <w:tcBorders>
              <w:top w:val="nil"/>
              <w:left w:val="nil"/>
              <w:bottom w:val="nil"/>
              <w:right w:val="nil"/>
            </w:tcBorders>
            <w:shd w:val="clear" w:color="auto" w:fill="auto"/>
            <w:noWrap/>
            <w:vAlign w:val="bottom"/>
            <w:hideMark/>
          </w:tcPr>
          <w:p w14:paraId="7DBC39F7" w14:textId="77777777" w:rsidR="00794EB9" w:rsidRPr="00794EB9" w:rsidRDefault="00794EB9" w:rsidP="00C307FB">
            <w:pPr>
              <w:rPr>
                <w:rFonts w:ascii="Arial" w:hAnsi="Arial" w:cs="Arial"/>
                <w:sz w:val="22"/>
                <w:szCs w:val="22"/>
                <w:lang w:eastAsia="es-MX"/>
              </w:rPr>
            </w:pPr>
          </w:p>
        </w:tc>
        <w:tc>
          <w:tcPr>
            <w:tcW w:w="185" w:type="pct"/>
            <w:tcBorders>
              <w:top w:val="nil"/>
              <w:left w:val="nil"/>
              <w:bottom w:val="nil"/>
              <w:right w:val="nil"/>
            </w:tcBorders>
            <w:shd w:val="clear" w:color="auto" w:fill="auto"/>
            <w:noWrap/>
            <w:vAlign w:val="bottom"/>
            <w:hideMark/>
          </w:tcPr>
          <w:p w14:paraId="3908AAEC" w14:textId="77777777" w:rsidR="00794EB9" w:rsidRPr="00794EB9" w:rsidRDefault="00794EB9" w:rsidP="00C307FB">
            <w:pPr>
              <w:rPr>
                <w:rFonts w:ascii="Arial" w:hAnsi="Arial" w:cs="Arial"/>
                <w:sz w:val="22"/>
                <w:szCs w:val="22"/>
                <w:lang w:eastAsia="es-MX"/>
              </w:rPr>
            </w:pPr>
          </w:p>
        </w:tc>
        <w:tc>
          <w:tcPr>
            <w:tcW w:w="1053" w:type="pct"/>
            <w:tcBorders>
              <w:top w:val="nil"/>
              <w:left w:val="nil"/>
              <w:bottom w:val="nil"/>
              <w:right w:val="nil"/>
            </w:tcBorders>
            <w:shd w:val="clear" w:color="auto" w:fill="auto"/>
            <w:noWrap/>
            <w:vAlign w:val="bottom"/>
            <w:hideMark/>
          </w:tcPr>
          <w:p w14:paraId="1C91F2AF" w14:textId="77777777" w:rsidR="00794EB9" w:rsidRPr="00794EB9" w:rsidRDefault="00794EB9" w:rsidP="00C307FB">
            <w:pPr>
              <w:rPr>
                <w:rFonts w:ascii="Arial" w:hAnsi="Arial" w:cs="Arial"/>
                <w:sz w:val="22"/>
                <w:szCs w:val="22"/>
                <w:lang w:eastAsia="es-MX"/>
              </w:rPr>
            </w:pPr>
          </w:p>
        </w:tc>
        <w:tc>
          <w:tcPr>
            <w:tcW w:w="220" w:type="pct"/>
            <w:tcBorders>
              <w:top w:val="nil"/>
              <w:left w:val="nil"/>
              <w:bottom w:val="nil"/>
              <w:right w:val="nil"/>
            </w:tcBorders>
            <w:shd w:val="clear" w:color="auto" w:fill="auto"/>
            <w:noWrap/>
            <w:vAlign w:val="bottom"/>
            <w:hideMark/>
          </w:tcPr>
          <w:p w14:paraId="2617D9F9" w14:textId="77777777" w:rsidR="00794EB9" w:rsidRPr="00794EB9" w:rsidRDefault="00794EB9" w:rsidP="00C307FB">
            <w:pPr>
              <w:rPr>
                <w:rFonts w:ascii="Arial" w:hAnsi="Arial" w:cs="Arial"/>
                <w:sz w:val="22"/>
                <w:szCs w:val="22"/>
                <w:lang w:eastAsia="es-MX"/>
              </w:rPr>
            </w:pPr>
          </w:p>
        </w:tc>
        <w:tc>
          <w:tcPr>
            <w:tcW w:w="986" w:type="pct"/>
            <w:tcBorders>
              <w:top w:val="nil"/>
              <w:left w:val="nil"/>
              <w:bottom w:val="nil"/>
              <w:right w:val="nil"/>
            </w:tcBorders>
            <w:shd w:val="clear" w:color="auto" w:fill="auto"/>
            <w:noWrap/>
            <w:vAlign w:val="bottom"/>
            <w:hideMark/>
          </w:tcPr>
          <w:p w14:paraId="7C11FA59" w14:textId="77777777" w:rsidR="00794EB9" w:rsidRPr="00794EB9" w:rsidRDefault="00794EB9" w:rsidP="00C307FB">
            <w:pPr>
              <w:rPr>
                <w:rFonts w:ascii="Arial" w:hAnsi="Arial" w:cs="Arial"/>
                <w:sz w:val="22"/>
                <w:szCs w:val="22"/>
                <w:lang w:eastAsia="es-MX"/>
              </w:rPr>
            </w:pPr>
          </w:p>
        </w:tc>
      </w:tr>
      <w:tr w:rsidR="00794EB9" w:rsidRPr="00794EB9" w14:paraId="17B73CEE" w14:textId="77777777" w:rsidTr="00C307FB">
        <w:trPr>
          <w:trHeight w:val="570"/>
        </w:trPr>
        <w:tc>
          <w:tcPr>
            <w:tcW w:w="1209"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0FDCEC4"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Gobierno Cercano 24/7</w:t>
            </w:r>
          </w:p>
        </w:tc>
        <w:tc>
          <w:tcPr>
            <w:tcW w:w="124" w:type="pct"/>
            <w:tcBorders>
              <w:top w:val="nil"/>
              <w:left w:val="nil"/>
              <w:bottom w:val="nil"/>
              <w:right w:val="nil"/>
            </w:tcBorders>
            <w:shd w:val="clear" w:color="auto" w:fill="auto"/>
            <w:noWrap/>
            <w:vAlign w:val="center"/>
            <w:hideMark/>
          </w:tcPr>
          <w:p w14:paraId="73F1EAB3" w14:textId="77777777" w:rsidR="00794EB9" w:rsidRPr="00794EB9" w:rsidRDefault="00794EB9" w:rsidP="00C307FB">
            <w:pPr>
              <w:jc w:val="center"/>
              <w:rPr>
                <w:rFonts w:ascii="Arial" w:hAnsi="Arial" w:cs="Arial"/>
                <w:b/>
                <w:bCs/>
                <w:sz w:val="22"/>
                <w:szCs w:val="22"/>
                <w:lang w:eastAsia="es-MX"/>
              </w:rPr>
            </w:pPr>
          </w:p>
        </w:tc>
        <w:tc>
          <w:tcPr>
            <w:tcW w:w="1222"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2C5C965"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Movilidad Segura</w:t>
            </w:r>
          </w:p>
        </w:tc>
        <w:tc>
          <w:tcPr>
            <w:tcW w:w="185" w:type="pct"/>
            <w:tcBorders>
              <w:top w:val="nil"/>
              <w:left w:val="nil"/>
              <w:bottom w:val="nil"/>
              <w:right w:val="nil"/>
            </w:tcBorders>
            <w:shd w:val="clear" w:color="auto" w:fill="auto"/>
            <w:noWrap/>
            <w:vAlign w:val="center"/>
            <w:hideMark/>
          </w:tcPr>
          <w:p w14:paraId="18CBDE9E" w14:textId="77777777" w:rsidR="00794EB9" w:rsidRPr="00794EB9" w:rsidRDefault="00794EB9" w:rsidP="00C307FB">
            <w:pPr>
              <w:jc w:val="center"/>
              <w:rPr>
                <w:rFonts w:ascii="Arial" w:hAnsi="Arial" w:cs="Arial"/>
                <w:b/>
                <w:bCs/>
                <w:sz w:val="22"/>
                <w:szCs w:val="22"/>
                <w:lang w:eastAsia="es-MX"/>
              </w:rPr>
            </w:pPr>
          </w:p>
        </w:tc>
        <w:tc>
          <w:tcPr>
            <w:tcW w:w="10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280C58"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Nuevo Modelo de Seguridad</w:t>
            </w:r>
          </w:p>
        </w:tc>
        <w:tc>
          <w:tcPr>
            <w:tcW w:w="220" w:type="pct"/>
            <w:tcBorders>
              <w:top w:val="nil"/>
              <w:left w:val="nil"/>
              <w:bottom w:val="nil"/>
              <w:right w:val="nil"/>
            </w:tcBorders>
            <w:shd w:val="clear" w:color="auto" w:fill="auto"/>
            <w:noWrap/>
            <w:vAlign w:val="center"/>
            <w:hideMark/>
          </w:tcPr>
          <w:p w14:paraId="7B6E679A" w14:textId="77777777" w:rsidR="00794EB9" w:rsidRPr="00794EB9" w:rsidRDefault="00794EB9" w:rsidP="00C307FB">
            <w:pPr>
              <w:jc w:val="center"/>
              <w:rPr>
                <w:rFonts w:ascii="Arial" w:hAnsi="Arial" w:cs="Arial"/>
                <w:b/>
                <w:bCs/>
                <w:sz w:val="22"/>
                <w:szCs w:val="22"/>
                <w:lang w:eastAsia="es-MX"/>
              </w:rPr>
            </w:pP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8984C4"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León Ciudad Emoción</w:t>
            </w:r>
          </w:p>
        </w:tc>
      </w:tr>
      <w:tr w:rsidR="00794EB9" w:rsidRPr="00794EB9" w14:paraId="44790DCA" w14:textId="77777777" w:rsidTr="00C307FB">
        <w:trPr>
          <w:trHeight w:val="300"/>
        </w:trPr>
        <w:tc>
          <w:tcPr>
            <w:tcW w:w="512" w:type="pct"/>
            <w:tcBorders>
              <w:top w:val="nil"/>
              <w:left w:val="nil"/>
              <w:bottom w:val="nil"/>
              <w:right w:val="nil"/>
            </w:tcBorders>
            <w:shd w:val="clear" w:color="auto" w:fill="auto"/>
            <w:noWrap/>
            <w:vAlign w:val="bottom"/>
            <w:hideMark/>
          </w:tcPr>
          <w:p w14:paraId="6BA93540" w14:textId="77777777" w:rsidR="00794EB9" w:rsidRPr="00794EB9" w:rsidRDefault="00794EB9" w:rsidP="00C307FB">
            <w:pPr>
              <w:jc w:val="center"/>
              <w:rPr>
                <w:rFonts w:ascii="Arial" w:hAnsi="Arial" w:cs="Arial"/>
                <w:b/>
                <w:bCs/>
                <w:sz w:val="22"/>
                <w:szCs w:val="22"/>
                <w:lang w:eastAsia="es-MX"/>
              </w:rPr>
            </w:pPr>
          </w:p>
        </w:tc>
        <w:tc>
          <w:tcPr>
            <w:tcW w:w="128" w:type="pct"/>
            <w:tcBorders>
              <w:top w:val="nil"/>
              <w:left w:val="nil"/>
              <w:bottom w:val="nil"/>
              <w:right w:val="nil"/>
            </w:tcBorders>
            <w:shd w:val="clear" w:color="auto" w:fill="auto"/>
            <w:noWrap/>
            <w:vAlign w:val="bottom"/>
            <w:hideMark/>
          </w:tcPr>
          <w:p w14:paraId="556CBA55" w14:textId="77777777" w:rsidR="00794EB9" w:rsidRPr="00794EB9" w:rsidRDefault="00794EB9" w:rsidP="00C307FB">
            <w:pPr>
              <w:rPr>
                <w:rFonts w:ascii="Arial" w:hAnsi="Arial" w:cs="Arial"/>
                <w:sz w:val="22"/>
                <w:szCs w:val="22"/>
                <w:lang w:eastAsia="es-MX"/>
              </w:rPr>
            </w:pPr>
          </w:p>
        </w:tc>
        <w:tc>
          <w:tcPr>
            <w:tcW w:w="569" w:type="pct"/>
            <w:tcBorders>
              <w:top w:val="nil"/>
              <w:left w:val="nil"/>
              <w:bottom w:val="nil"/>
              <w:right w:val="nil"/>
            </w:tcBorders>
            <w:shd w:val="clear" w:color="auto" w:fill="auto"/>
            <w:noWrap/>
            <w:vAlign w:val="bottom"/>
            <w:hideMark/>
          </w:tcPr>
          <w:p w14:paraId="47351FE0" w14:textId="77777777" w:rsidR="00794EB9" w:rsidRPr="00794EB9" w:rsidRDefault="00794EB9" w:rsidP="00C307FB">
            <w:pPr>
              <w:rPr>
                <w:rFonts w:ascii="Arial" w:hAnsi="Arial" w:cs="Arial"/>
                <w:sz w:val="22"/>
                <w:szCs w:val="22"/>
                <w:lang w:eastAsia="es-MX"/>
              </w:rPr>
            </w:pPr>
          </w:p>
        </w:tc>
        <w:tc>
          <w:tcPr>
            <w:tcW w:w="124" w:type="pct"/>
            <w:tcBorders>
              <w:top w:val="nil"/>
              <w:left w:val="nil"/>
              <w:bottom w:val="nil"/>
              <w:right w:val="nil"/>
            </w:tcBorders>
            <w:shd w:val="clear" w:color="auto" w:fill="auto"/>
            <w:noWrap/>
            <w:vAlign w:val="bottom"/>
            <w:hideMark/>
          </w:tcPr>
          <w:p w14:paraId="5C14BBC6" w14:textId="77777777" w:rsidR="00794EB9" w:rsidRPr="00794EB9" w:rsidRDefault="00794EB9" w:rsidP="00C307FB">
            <w:pPr>
              <w:rPr>
                <w:rFonts w:ascii="Arial" w:hAnsi="Arial" w:cs="Arial"/>
                <w:sz w:val="22"/>
                <w:szCs w:val="22"/>
                <w:lang w:eastAsia="es-MX"/>
              </w:rPr>
            </w:pPr>
          </w:p>
        </w:tc>
        <w:tc>
          <w:tcPr>
            <w:tcW w:w="552" w:type="pct"/>
            <w:tcBorders>
              <w:top w:val="nil"/>
              <w:left w:val="nil"/>
              <w:bottom w:val="nil"/>
              <w:right w:val="nil"/>
            </w:tcBorders>
            <w:shd w:val="clear" w:color="auto" w:fill="auto"/>
            <w:noWrap/>
            <w:vAlign w:val="bottom"/>
            <w:hideMark/>
          </w:tcPr>
          <w:p w14:paraId="22748E3F" w14:textId="77777777" w:rsidR="00794EB9" w:rsidRPr="00794EB9" w:rsidRDefault="00794EB9" w:rsidP="00C307FB">
            <w:pPr>
              <w:rPr>
                <w:rFonts w:ascii="Arial" w:hAnsi="Arial" w:cs="Arial"/>
                <w:sz w:val="22"/>
                <w:szCs w:val="22"/>
                <w:lang w:eastAsia="es-MX"/>
              </w:rPr>
            </w:pPr>
          </w:p>
        </w:tc>
        <w:tc>
          <w:tcPr>
            <w:tcW w:w="151" w:type="pct"/>
            <w:tcBorders>
              <w:top w:val="nil"/>
              <w:left w:val="nil"/>
              <w:bottom w:val="nil"/>
              <w:right w:val="nil"/>
            </w:tcBorders>
            <w:shd w:val="clear" w:color="auto" w:fill="auto"/>
            <w:noWrap/>
            <w:vAlign w:val="bottom"/>
            <w:hideMark/>
          </w:tcPr>
          <w:p w14:paraId="6C81CF44" w14:textId="77777777" w:rsidR="00794EB9" w:rsidRPr="00794EB9" w:rsidRDefault="00794EB9" w:rsidP="00C307FB">
            <w:pPr>
              <w:rPr>
                <w:rFonts w:ascii="Arial" w:hAnsi="Arial" w:cs="Arial"/>
                <w:sz w:val="22"/>
                <w:szCs w:val="22"/>
                <w:lang w:eastAsia="es-MX"/>
              </w:rPr>
            </w:pPr>
          </w:p>
        </w:tc>
        <w:tc>
          <w:tcPr>
            <w:tcW w:w="520" w:type="pct"/>
            <w:tcBorders>
              <w:top w:val="nil"/>
              <w:left w:val="nil"/>
              <w:bottom w:val="nil"/>
              <w:right w:val="nil"/>
            </w:tcBorders>
            <w:shd w:val="clear" w:color="auto" w:fill="auto"/>
            <w:noWrap/>
            <w:vAlign w:val="bottom"/>
            <w:hideMark/>
          </w:tcPr>
          <w:p w14:paraId="4AF94F60" w14:textId="77777777" w:rsidR="00794EB9" w:rsidRPr="00794EB9" w:rsidRDefault="00794EB9" w:rsidP="00C307FB">
            <w:pPr>
              <w:rPr>
                <w:rFonts w:ascii="Arial" w:hAnsi="Arial" w:cs="Arial"/>
                <w:sz w:val="22"/>
                <w:szCs w:val="22"/>
                <w:lang w:eastAsia="es-MX"/>
              </w:rPr>
            </w:pPr>
          </w:p>
        </w:tc>
        <w:tc>
          <w:tcPr>
            <w:tcW w:w="185" w:type="pct"/>
            <w:tcBorders>
              <w:top w:val="nil"/>
              <w:left w:val="nil"/>
              <w:bottom w:val="nil"/>
              <w:right w:val="nil"/>
            </w:tcBorders>
            <w:shd w:val="clear" w:color="auto" w:fill="auto"/>
            <w:noWrap/>
            <w:vAlign w:val="bottom"/>
            <w:hideMark/>
          </w:tcPr>
          <w:p w14:paraId="5966F076" w14:textId="77777777" w:rsidR="00794EB9" w:rsidRPr="00794EB9" w:rsidRDefault="00794EB9" w:rsidP="00C307FB">
            <w:pPr>
              <w:rPr>
                <w:rFonts w:ascii="Arial" w:hAnsi="Arial" w:cs="Arial"/>
                <w:sz w:val="22"/>
                <w:szCs w:val="22"/>
                <w:lang w:eastAsia="es-MX"/>
              </w:rPr>
            </w:pPr>
          </w:p>
        </w:tc>
        <w:tc>
          <w:tcPr>
            <w:tcW w:w="1053" w:type="pct"/>
            <w:tcBorders>
              <w:top w:val="nil"/>
              <w:left w:val="nil"/>
              <w:bottom w:val="nil"/>
              <w:right w:val="nil"/>
            </w:tcBorders>
            <w:shd w:val="clear" w:color="auto" w:fill="auto"/>
            <w:noWrap/>
            <w:vAlign w:val="bottom"/>
            <w:hideMark/>
          </w:tcPr>
          <w:p w14:paraId="5D23CFDC" w14:textId="77777777" w:rsidR="00794EB9" w:rsidRPr="00794EB9" w:rsidRDefault="00794EB9" w:rsidP="00C307FB">
            <w:pPr>
              <w:rPr>
                <w:rFonts w:ascii="Arial" w:hAnsi="Arial" w:cs="Arial"/>
                <w:sz w:val="22"/>
                <w:szCs w:val="22"/>
                <w:lang w:eastAsia="es-MX"/>
              </w:rPr>
            </w:pPr>
          </w:p>
        </w:tc>
        <w:tc>
          <w:tcPr>
            <w:tcW w:w="220" w:type="pct"/>
            <w:tcBorders>
              <w:top w:val="nil"/>
              <w:left w:val="nil"/>
              <w:bottom w:val="nil"/>
              <w:right w:val="nil"/>
            </w:tcBorders>
            <w:shd w:val="clear" w:color="auto" w:fill="auto"/>
            <w:noWrap/>
            <w:vAlign w:val="bottom"/>
            <w:hideMark/>
          </w:tcPr>
          <w:p w14:paraId="41EA0177" w14:textId="77777777" w:rsidR="00794EB9" w:rsidRPr="00794EB9" w:rsidRDefault="00794EB9" w:rsidP="00C307FB">
            <w:pPr>
              <w:rPr>
                <w:rFonts w:ascii="Arial" w:hAnsi="Arial" w:cs="Arial"/>
                <w:sz w:val="22"/>
                <w:szCs w:val="22"/>
                <w:lang w:eastAsia="es-MX"/>
              </w:rPr>
            </w:pPr>
          </w:p>
        </w:tc>
        <w:tc>
          <w:tcPr>
            <w:tcW w:w="986" w:type="pct"/>
            <w:tcBorders>
              <w:top w:val="nil"/>
              <w:left w:val="nil"/>
              <w:bottom w:val="nil"/>
              <w:right w:val="nil"/>
            </w:tcBorders>
            <w:shd w:val="clear" w:color="auto" w:fill="auto"/>
            <w:noWrap/>
            <w:vAlign w:val="bottom"/>
            <w:hideMark/>
          </w:tcPr>
          <w:p w14:paraId="49470434" w14:textId="77777777" w:rsidR="00794EB9" w:rsidRPr="00794EB9" w:rsidRDefault="00794EB9" w:rsidP="00C307FB">
            <w:pPr>
              <w:rPr>
                <w:rFonts w:ascii="Arial" w:hAnsi="Arial" w:cs="Arial"/>
                <w:sz w:val="22"/>
                <w:szCs w:val="22"/>
                <w:lang w:eastAsia="es-MX"/>
              </w:rPr>
            </w:pPr>
          </w:p>
        </w:tc>
      </w:tr>
      <w:tr w:rsidR="00794EB9" w:rsidRPr="00794EB9" w14:paraId="3737B1EF" w14:textId="77777777" w:rsidTr="00C307FB">
        <w:trPr>
          <w:trHeight w:val="615"/>
        </w:trPr>
        <w:tc>
          <w:tcPr>
            <w:tcW w:w="5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2E27C"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lastRenderedPageBreak/>
              <w:t>Gobierno Digital León</w:t>
            </w:r>
          </w:p>
        </w:tc>
        <w:tc>
          <w:tcPr>
            <w:tcW w:w="128" w:type="pct"/>
            <w:tcBorders>
              <w:top w:val="nil"/>
              <w:left w:val="nil"/>
              <w:bottom w:val="nil"/>
              <w:right w:val="nil"/>
            </w:tcBorders>
            <w:shd w:val="clear" w:color="auto" w:fill="auto"/>
            <w:noWrap/>
            <w:vAlign w:val="center"/>
            <w:hideMark/>
          </w:tcPr>
          <w:p w14:paraId="3687A2AA" w14:textId="77777777" w:rsidR="00794EB9" w:rsidRPr="00794EB9" w:rsidRDefault="00794EB9" w:rsidP="00C307FB">
            <w:pPr>
              <w:jc w:val="center"/>
              <w:rPr>
                <w:rFonts w:ascii="Arial" w:hAnsi="Arial" w:cs="Arial"/>
                <w:b/>
                <w:bCs/>
                <w:sz w:val="22"/>
                <w:szCs w:val="22"/>
                <w:lang w:eastAsia="es-MX"/>
              </w:rPr>
            </w:pP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7811BA"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Presupuesto Participativo</w:t>
            </w:r>
          </w:p>
        </w:tc>
        <w:tc>
          <w:tcPr>
            <w:tcW w:w="124" w:type="pct"/>
            <w:tcBorders>
              <w:top w:val="nil"/>
              <w:left w:val="nil"/>
              <w:bottom w:val="nil"/>
              <w:right w:val="nil"/>
            </w:tcBorders>
            <w:shd w:val="clear" w:color="auto" w:fill="auto"/>
            <w:noWrap/>
            <w:vAlign w:val="bottom"/>
            <w:hideMark/>
          </w:tcPr>
          <w:p w14:paraId="754CC85C" w14:textId="77777777" w:rsidR="00794EB9" w:rsidRPr="00794EB9" w:rsidRDefault="00794EB9" w:rsidP="00C307FB">
            <w:pPr>
              <w:jc w:val="center"/>
              <w:rPr>
                <w:rFonts w:ascii="Arial" w:hAnsi="Arial" w:cs="Arial"/>
                <w:b/>
                <w:bCs/>
                <w:sz w:val="22"/>
                <w:szCs w:val="22"/>
                <w:lang w:eastAsia="es-MX"/>
              </w:rPr>
            </w:pPr>
          </w:p>
        </w:tc>
        <w:tc>
          <w:tcPr>
            <w:tcW w:w="1222"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DAF6FAE"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Ciclo-ciudad</w:t>
            </w:r>
          </w:p>
        </w:tc>
        <w:tc>
          <w:tcPr>
            <w:tcW w:w="185" w:type="pct"/>
            <w:tcBorders>
              <w:top w:val="nil"/>
              <w:left w:val="nil"/>
              <w:bottom w:val="nil"/>
              <w:right w:val="nil"/>
            </w:tcBorders>
            <w:shd w:val="clear" w:color="auto" w:fill="auto"/>
            <w:vAlign w:val="center"/>
            <w:hideMark/>
          </w:tcPr>
          <w:p w14:paraId="6E5C1C3B" w14:textId="77777777" w:rsidR="00794EB9" w:rsidRPr="00794EB9" w:rsidRDefault="00794EB9" w:rsidP="00C307FB">
            <w:pPr>
              <w:jc w:val="center"/>
              <w:rPr>
                <w:rFonts w:ascii="Arial" w:hAnsi="Arial" w:cs="Arial"/>
                <w:b/>
                <w:bCs/>
                <w:sz w:val="22"/>
                <w:szCs w:val="22"/>
                <w:lang w:eastAsia="es-MX"/>
              </w:rPr>
            </w:pPr>
          </w:p>
        </w:tc>
        <w:tc>
          <w:tcPr>
            <w:tcW w:w="10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B40236"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Tolerancia Cero</w:t>
            </w:r>
          </w:p>
        </w:tc>
        <w:tc>
          <w:tcPr>
            <w:tcW w:w="220" w:type="pct"/>
            <w:tcBorders>
              <w:top w:val="nil"/>
              <w:left w:val="nil"/>
              <w:bottom w:val="nil"/>
              <w:right w:val="nil"/>
            </w:tcBorders>
            <w:shd w:val="clear" w:color="auto" w:fill="auto"/>
            <w:vAlign w:val="center"/>
            <w:hideMark/>
          </w:tcPr>
          <w:p w14:paraId="3AC5B858" w14:textId="77777777" w:rsidR="00794EB9" w:rsidRPr="00794EB9" w:rsidRDefault="00794EB9" w:rsidP="00C307FB">
            <w:pPr>
              <w:jc w:val="center"/>
              <w:rPr>
                <w:rFonts w:ascii="Arial" w:hAnsi="Arial" w:cs="Arial"/>
                <w:b/>
                <w:bCs/>
                <w:sz w:val="22"/>
                <w:szCs w:val="22"/>
                <w:lang w:eastAsia="es-MX"/>
              </w:rPr>
            </w:pP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3DE2EE"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Marca Ciudad</w:t>
            </w:r>
          </w:p>
        </w:tc>
      </w:tr>
      <w:tr w:rsidR="00794EB9" w:rsidRPr="00794EB9" w14:paraId="69B3DC1C" w14:textId="77777777" w:rsidTr="00C307FB">
        <w:trPr>
          <w:trHeight w:val="308"/>
        </w:trPr>
        <w:tc>
          <w:tcPr>
            <w:tcW w:w="512" w:type="pct"/>
            <w:tcBorders>
              <w:top w:val="nil"/>
              <w:left w:val="nil"/>
              <w:bottom w:val="nil"/>
              <w:right w:val="nil"/>
            </w:tcBorders>
            <w:shd w:val="clear" w:color="auto" w:fill="auto"/>
            <w:vAlign w:val="center"/>
            <w:hideMark/>
          </w:tcPr>
          <w:p w14:paraId="6EB1DFC2" w14:textId="77777777" w:rsidR="00794EB9" w:rsidRPr="00794EB9" w:rsidRDefault="00794EB9" w:rsidP="00C307FB">
            <w:pPr>
              <w:jc w:val="center"/>
              <w:rPr>
                <w:rFonts w:ascii="Arial" w:hAnsi="Arial" w:cs="Arial"/>
                <w:b/>
                <w:bCs/>
                <w:sz w:val="22"/>
                <w:szCs w:val="22"/>
                <w:lang w:eastAsia="es-MX"/>
              </w:rPr>
            </w:pPr>
          </w:p>
        </w:tc>
        <w:tc>
          <w:tcPr>
            <w:tcW w:w="128" w:type="pct"/>
            <w:tcBorders>
              <w:top w:val="nil"/>
              <w:left w:val="nil"/>
              <w:bottom w:val="nil"/>
              <w:right w:val="nil"/>
            </w:tcBorders>
            <w:shd w:val="clear" w:color="auto" w:fill="auto"/>
            <w:noWrap/>
            <w:vAlign w:val="center"/>
            <w:hideMark/>
          </w:tcPr>
          <w:p w14:paraId="38E20FAF" w14:textId="77777777" w:rsidR="00794EB9" w:rsidRPr="00794EB9" w:rsidRDefault="00794EB9" w:rsidP="00C307FB">
            <w:pPr>
              <w:jc w:val="center"/>
              <w:rPr>
                <w:rFonts w:ascii="Arial" w:hAnsi="Arial" w:cs="Arial"/>
                <w:sz w:val="22"/>
                <w:szCs w:val="22"/>
                <w:lang w:eastAsia="es-MX"/>
              </w:rPr>
            </w:pPr>
          </w:p>
        </w:tc>
        <w:tc>
          <w:tcPr>
            <w:tcW w:w="569" w:type="pct"/>
            <w:tcBorders>
              <w:top w:val="nil"/>
              <w:left w:val="nil"/>
              <w:bottom w:val="nil"/>
              <w:right w:val="nil"/>
            </w:tcBorders>
            <w:shd w:val="clear" w:color="auto" w:fill="auto"/>
            <w:vAlign w:val="center"/>
            <w:hideMark/>
          </w:tcPr>
          <w:p w14:paraId="5380904E" w14:textId="77777777" w:rsidR="00794EB9" w:rsidRPr="00794EB9" w:rsidRDefault="00794EB9" w:rsidP="00C307FB">
            <w:pPr>
              <w:jc w:val="center"/>
              <w:rPr>
                <w:rFonts w:ascii="Arial" w:hAnsi="Arial" w:cs="Arial"/>
                <w:sz w:val="22"/>
                <w:szCs w:val="22"/>
                <w:lang w:eastAsia="es-MX"/>
              </w:rPr>
            </w:pPr>
          </w:p>
        </w:tc>
        <w:tc>
          <w:tcPr>
            <w:tcW w:w="124" w:type="pct"/>
            <w:tcBorders>
              <w:top w:val="nil"/>
              <w:left w:val="nil"/>
              <w:bottom w:val="nil"/>
              <w:right w:val="nil"/>
            </w:tcBorders>
            <w:shd w:val="clear" w:color="auto" w:fill="auto"/>
            <w:noWrap/>
            <w:vAlign w:val="bottom"/>
            <w:hideMark/>
          </w:tcPr>
          <w:p w14:paraId="062CD11D" w14:textId="77777777" w:rsidR="00794EB9" w:rsidRPr="00794EB9" w:rsidRDefault="00794EB9" w:rsidP="00C307FB">
            <w:pPr>
              <w:jc w:val="center"/>
              <w:rPr>
                <w:rFonts w:ascii="Arial" w:hAnsi="Arial" w:cs="Arial"/>
                <w:sz w:val="22"/>
                <w:szCs w:val="22"/>
                <w:lang w:eastAsia="es-MX"/>
              </w:rPr>
            </w:pPr>
          </w:p>
        </w:tc>
        <w:tc>
          <w:tcPr>
            <w:tcW w:w="552" w:type="pct"/>
            <w:tcBorders>
              <w:top w:val="nil"/>
              <w:left w:val="nil"/>
              <w:bottom w:val="nil"/>
              <w:right w:val="nil"/>
            </w:tcBorders>
            <w:shd w:val="clear" w:color="auto" w:fill="auto"/>
            <w:vAlign w:val="center"/>
            <w:hideMark/>
          </w:tcPr>
          <w:p w14:paraId="005EF1AC" w14:textId="77777777" w:rsidR="00794EB9" w:rsidRPr="00794EB9" w:rsidRDefault="00794EB9" w:rsidP="00C307FB">
            <w:pPr>
              <w:rPr>
                <w:rFonts w:ascii="Arial" w:hAnsi="Arial" w:cs="Arial"/>
                <w:sz w:val="22"/>
                <w:szCs w:val="22"/>
                <w:lang w:eastAsia="es-MX"/>
              </w:rPr>
            </w:pPr>
          </w:p>
        </w:tc>
        <w:tc>
          <w:tcPr>
            <w:tcW w:w="151" w:type="pct"/>
            <w:tcBorders>
              <w:top w:val="nil"/>
              <w:left w:val="nil"/>
              <w:bottom w:val="nil"/>
              <w:right w:val="nil"/>
            </w:tcBorders>
            <w:shd w:val="clear" w:color="auto" w:fill="auto"/>
            <w:vAlign w:val="center"/>
            <w:hideMark/>
          </w:tcPr>
          <w:p w14:paraId="556A066F" w14:textId="77777777" w:rsidR="00794EB9" w:rsidRPr="00794EB9" w:rsidRDefault="00794EB9" w:rsidP="00C307FB">
            <w:pPr>
              <w:jc w:val="center"/>
              <w:rPr>
                <w:rFonts w:ascii="Arial" w:hAnsi="Arial" w:cs="Arial"/>
                <w:sz w:val="22"/>
                <w:szCs w:val="22"/>
                <w:lang w:eastAsia="es-MX"/>
              </w:rPr>
            </w:pPr>
          </w:p>
        </w:tc>
        <w:tc>
          <w:tcPr>
            <w:tcW w:w="520" w:type="pct"/>
            <w:tcBorders>
              <w:top w:val="nil"/>
              <w:left w:val="nil"/>
              <w:bottom w:val="nil"/>
              <w:right w:val="nil"/>
            </w:tcBorders>
            <w:shd w:val="clear" w:color="auto" w:fill="auto"/>
            <w:vAlign w:val="center"/>
            <w:hideMark/>
          </w:tcPr>
          <w:p w14:paraId="5F85BDF2" w14:textId="77777777" w:rsidR="00794EB9" w:rsidRPr="00794EB9" w:rsidRDefault="00794EB9" w:rsidP="00C307FB">
            <w:pPr>
              <w:jc w:val="center"/>
              <w:rPr>
                <w:rFonts w:ascii="Arial" w:hAnsi="Arial" w:cs="Arial"/>
                <w:sz w:val="22"/>
                <w:szCs w:val="22"/>
                <w:lang w:eastAsia="es-MX"/>
              </w:rPr>
            </w:pPr>
          </w:p>
        </w:tc>
        <w:tc>
          <w:tcPr>
            <w:tcW w:w="185" w:type="pct"/>
            <w:tcBorders>
              <w:top w:val="nil"/>
              <w:left w:val="nil"/>
              <w:bottom w:val="nil"/>
              <w:right w:val="nil"/>
            </w:tcBorders>
            <w:shd w:val="clear" w:color="auto" w:fill="auto"/>
            <w:vAlign w:val="center"/>
            <w:hideMark/>
          </w:tcPr>
          <w:p w14:paraId="28D4CB2D" w14:textId="77777777" w:rsidR="00794EB9" w:rsidRPr="00794EB9" w:rsidRDefault="00794EB9" w:rsidP="00C307FB">
            <w:pPr>
              <w:jc w:val="center"/>
              <w:rPr>
                <w:rFonts w:ascii="Arial" w:hAnsi="Arial" w:cs="Arial"/>
                <w:sz w:val="22"/>
                <w:szCs w:val="22"/>
                <w:lang w:eastAsia="es-MX"/>
              </w:rPr>
            </w:pPr>
          </w:p>
        </w:tc>
        <w:tc>
          <w:tcPr>
            <w:tcW w:w="1053" w:type="pct"/>
            <w:tcBorders>
              <w:top w:val="nil"/>
              <w:left w:val="nil"/>
              <w:bottom w:val="nil"/>
              <w:right w:val="nil"/>
            </w:tcBorders>
            <w:shd w:val="clear" w:color="auto" w:fill="auto"/>
            <w:vAlign w:val="center"/>
            <w:hideMark/>
          </w:tcPr>
          <w:p w14:paraId="06834429" w14:textId="77777777" w:rsidR="00794EB9" w:rsidRPr="00794EB9" w:rsidRDefault="00794EB9" w:rsidP="00C307FB">
            <w:pPr>
              <w:jc w:val="center"/>
              <w:rPr>
                <w:rFonts w:ascii="Arial" w:hAnsi="Arial" w:cs="Arial"/>
                <w:sz w:val="22"/>
                <w:szCs w:val="22"/>
                <w:lang w:eastAsia="es-MX"/>
              </w:rPr>
            </w:pPr>
          </w:p>
        </w:tc>
        <w:tc>
          <w:tcPr>
            <w:tcW w:w="220" w:type="pct"/>
            <w:tcBorders>
              <w:top w:val="nil"/>
              <w:left w:val="nil"/>
              <w:bottom w:val="nil"/>
              <w:right w:val="nil"/>
            </w:tcBorders>
            <w:shd w:val="clear" w:color="auto" w:fill="auto"/>
            <w:vAlign w:val="center"/>
            <w:hideMark/>
          </w:tcPr>
          <w:p w14:paraId="74DA7EF5" w14:textId="77777777" w:rsidR="00794EB9" w:rsidRPr="00794EB9" w:rsidRDefault="00794EB9" w:rsidP="00C307FB">
            <w:pPr>
              <w:jc w:val="center"/>
              <w:rPr>
                <w:rFonts w:ascii="Arial" w:hAnsi="Arial" w:cs="Arial"/>
                <w:sz w:val="22"/>
                <w:szCs w:val="22"/>
                <w:lang w:eastAsia="es-MX"/>
              </w:rPr>
            </w:pPr>
          </w:p>
        </w:tc>
        <w:tc>
          <w:tcPr>
            <w:tcW w:w="986" w:type="pct"/>
            <w:tcBorders>
              <w:top w:val="nil"/>
              <w:left w:val="nil"/>
              <w:bottom w:val="nil"/>
              <w:right w:val="nil"/>
            </w:tcBorders>
            <w:shd w:val="clear" w:color="auto" w:fill="auto"/>
            <w:vAlign w:val="center"/>
            <w:hideMark/>
          </w:tcPr>
          <w:p w14:paraId="7D456154" w14:textId="77777777" w:rsidR="00794EB9" w:rsidRPr="00794EB9" w:rsidRDefault="00794EB9" w:rsidP="00C307FB">
            <w:pPr>
              <w:jc w:val="center"/>
              <w:rPr>
                <w:rFonts w:ascii="Arial" w:hAnsi="Arial" w:cs="Arial"/>
                <w:sz w:val="22"/>
                <w:szCs w:val="22"/>
                <w:lang w:eastAsia="es-MX"/>
              </w:rPr>
            </w:pPr>
          </w:p>
        </w:tc>
      </w:tr>
      <w:tr w:rsidR="00794EB9" w:rsidRPr="00794EB9" w14:paraId="72E8B865" w14:textId="77777777" w:rsidTr="00C307FB">
        <w:trPr>
          <w:trHeight w:val="945"/>
        </w:trPr>
        <w:tc>
          <w:tcPr>
            <w:tcW w:w="5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0FFD1B"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Servidores Públicos al 100</w:t>
            </w:r>
          </w:p>
        </w:tc>
        <w:tc>
          <w:tcPr>
            <w:tcW w:w="128" w:type="pct"/>
            <w:tcBorders>
              <w:top w:val="nil"/>
              <w:left w:val="nil"/>
              <w:bottom w:val="nil"/>
              <w:right w:val="nil"/>
            </w:tcBorders>
            <w:shd w:val="clear" w:color="auto" w:fill="auto"/>
            <w:vAlign w:val="center"/>
            <w:hideMark/>
          </w:tcPr>
          <w:p w14:paraId="646DD3F7" w14:textId="77777777" w:rsidR="00794EB9" w:rsidRPr="00794EB9" w:rsidRDefault="00794EB9" w:rsidP="00C307FB">
            <w:pPr>
              <w:jc w:val="center"/>
              <w:rPr>
                <w:rFonts w:ascii="Arial" w:hAnsi="Arial" w:cs="Arial"/>
                <w:b/>
                <w:bCs/>
                <w:sz w:val="22"/>
                <w:szCs w:val="22"/>
                <w:lang w:eastAsia="es-MX"/>
              </w:rPr>
            </w:pP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699ECB"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Modelo de Delegaciones</w:t>
            </w:r>
          </w:p>
        </w:tc>
        <w:tc>
          <w:tcPr>
            <w:tcW w:w="124" w:type="pct"/>
            <w:tcBorders>
              <w:top w:val="nil"/>
              <w:left w:val="nil"/>
              <w:bottom w:val="nil"/>
              <w:right w:val="nil"/>
            </w:tcBorders>
            <w:shd w:val="clear" w:color="auto" w:fill="auto"/>
            <w:noWrap/>
            <w:vAlign w:val="bottom"/>
            <w:hideMark/>
          </w:tcPr>
          <w:p w14:paraId="42FDB972" w14:textId="77777777" w:rsidR="00794EB9" w:rsidRPr="00794EB9" w:rsidRDefault="00794EB9" w:rsidP="00C307FB">
            <w:pPr>
              <w:jc w:val="center"/>
              <w:rPr>
                <w:rFonts w:ascii="Arial" w:hAnsi="Arial" w:cs="Arial"/>
                <w:b/>
                <w:bCs/>
                <w:sz w:val="22"/>
                <w:szCs w:val="22"/>
                <w:lang w:eastAsia="es-MX"/>
              </w:rPr>
            </w:pP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C0333E"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Red de Corredores Seguros</w:t>
            </w:r>
          </w:p>
        </w:tc>
        <w:tc>
          <w:tcPr>
            <w:tcW w:w="151" w:type="pct"/>
            <w:tcBorders>
              <w:top w:val="nil"/>
              <w:left w:val="nil"/>
              <w:bottom w:val="nil"/>
              <w:right w:val="nil"/>
            </w:tcBorders>
            <w:shd w:val="clear" w:color="auto" w:fill="auto"/>
            <w:vAlign w:val="center"/>
            <w:hideMark/>
          </w:tcPr>
          <w:p w14:paraId="5A7A896B" w14:textId="77777777" w:rsidR="00794EB9" w:rsidRPr="00794EB9" w:rsidRDefault="00794EB9" w:rsidP="00C307FB">
            <w:pPr>
              <w:jc w:val="center"/>
              <w:rPr>
                <w:rFonts w:ascii="Arial" w:hAnsi="Arial" w:cs="Arial"/>
                <w:b/>
                <w:bCs/>
                <w:sz w:val="22"/>
                <w:szCs w:val="22"/>
                <w:lang w:eastAsia="es-MX"/>
              </w:rPr>
            </w:pP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F6BB0B"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Circuito de Rutas Exprés Perimetrales</w:t>
            </w:r>
          </w:p>
        </w:tc>
        <w:tc>
          <w:tcPr>
            <w:tcW w:w="185" w:type="pct"/>
            <w:tcBorders>
              <w:top w:val="nil"/>
              <w:left w:val="nil"/>
              <w:bottom w:val="nil"/>
              <w:right w:val="nil"/>
            </w:tcBorders>
            <w:shd w:val="clear" w:color="auto" w:fill="auto"/>
            <w:vAlign w:val="center"/>
            <w:hideMark/>
          </w:tcPr>
          <w:p w14:paraId="7972616B" w14:textId="77777777" w:rsidR="00794EB9" w:rsidRPr="00794EB9" w:rsidRDefault="00794EB9" w:rsidP="00C307FB">
            <w:pPr>
              <w:jc w:val="center"/>
              <w:rPr>
                <w:rFonts w:ascii="Arial" w:hAnsi="Arial" w:cs="Arial"/>
                <w:b/>
                <w:bCs/>
                <w:sz w:val="22"/>
                <w:szCs w:val="22"/>
                <w:lang w:eastAsia="es-MX"/>
              </w:rPr>
            </w:pPr>
          </w:p>
        </w:tc>
        <w:tc>
          <w:tcPr>
            <w:tcW w:w="10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105090"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Prevención Activa </w:t>
            </w:r>
          </w:p>
        </w:tc>
        <w:tc>
          <w:tcPr>
            <w:tcW w:w="220" w:type="pct"/>
            <w:tcBorders>
              <w:top w:val="nil"/>
              <w:left w:val="nil"/>
              <w:bottom w:val="nil"/>
              <w:right w:val="nil"/>
            </w:tcBorders>
            <w:shd w:val="clear" w:color="auto" w:fill="auto"/>
            <w:vAlign w:val="center"/>
            <w:hideMark/>
          </w:tcPr>
          <w:p w14:paraId="70EF868A" w14:textId="77777777" w:rsidR="00794EB9" w:rsidRPr="00794EB9" w:rsidRDefault="00794EB9" w:rsidP="00C307FB">
            <w:pPr>
              <w:jc w:val="center"/>
              <w:rPr>
                <w:rFonts w:ascii="Arial" w:hAnsi="Arial" w:cs="Arial"/>
                <w:b/>
                <w:bCs/>
                <w:sz w:val="22"/>
                <w:szCs w:val="22"/>
                <w:lang w:eastAsia="es-MX"/>
              </w:rPr>
            </w:pP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09615B"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Atracción y Promoción de Eventos Turísticos, Artísticos y Culturales</w:t>
            </w:r>
          </w:p>
        </w:tc>
      </w:tr>
      <w:tr w:rsidR="00794EB9" w:rsidRPr="00794EB9" w14:paraId="54DAFAFD" w14:textId="77777777" w:rsidTr="00C307FB">
        <w:trPr>
          <w:trHeight w:val="378"/>
        </w:trPr>
        <w:tc>
          <w:tcPr>
            <w:tcW w:w="512" w:type="pct"/>
            <w:tcBorders>
              <w:top w:val="nil"/>
              <w:left w:val="nil"/>
              <w:bottom w:val="nil"/>
              <w:right w:val="nil"/>
            </w:tcBorders>
            <w:shd w:val="clear" w:color="auto" w:fill="auto"/>
            <w:vAlign w:val="center"/>
            <w:hideMark/>
          </w:tcPr>
          <w:p w14:paraId="64F700D0" w14:textId="77777777" w:rsidR="00794EB9" w:rsidRPr="00794EB9" w:rsidRDefault="00794EB9" w:rsidP="00C307FB">
            <w:pPr>
              <w:jc w:val="center"/>
              <w:rPr>
                <w:rFonts w:ascii="Arial" w:hAnsi="Arial" w:cs="Arial"/>
                <w:b/>
                <w:bCs/>
                <w:sz w:val="22"/>
                <w:szCs w:val="22"/>
                <w:lang w:eastAsia="es-MX"/>
              </w:rPr>
            </w:pPr>
          </w:p>
        </w:tc>
        <w:tc>
          <w:tcPr>
            <w:tcW w:w="128" w:type="pct"/>
            <w:tcBorders>
              <w:top w:val="nil"/>
              <w:left w:val="nil"/>
              <w:bottom w:val="nil"/>
              <w:right w:val="nil"/>
            </w:tcBorders>
            <w:shd w:val="clear" w:color="auto" w:fill="auto"/>
            <w:vAlign w:val="center"/>
            <w:hideMark/>
          </w:tcPr>
          <w:p w14:paraId="72E70ACB" w14:textId="77777777" w:rsidR="00794EB9" w:rsidRPr="00794EB9" w:rsidRDefault="00794EB9" w:rsidP="00C307FB">
            <w:pPr>
              <w:jc w:val="center"/>
              <w:rPr>
                <w:rFonts w:ascii="Arial" w:hAnsi="Arial" w:cs="Arial"/>
                <w:sz w:val="22"/>
                <w:szCs w:val="22"/>
                <w:lang w:eastAsia="es-MX"/>
              </w:rPr>
            </w:pPr>
          </w:p>
        </w:tc>
        <w:tc>
          <w:tcPr>
            <w:tcW w:w="569" w:type="pct"/>
            <w:tcBorders>
              <w:top w:val="nil"/>
              <w:left w:val="nil"/>
              <w:bottom w:val="nil"/>
              <w:right w:val="nil"/>
            </w:tcBorders>
            <w:shd w:val="clear" w:color="auto" w:fill="auto"/>
            <w:vAlign w:val="center"/>
            <w:hideMark/>
          </w:tcPr>
          <w:p w14:paraId="249608C8" w14:textId="77777777" w:rsidR="00794EB9" w:rsidRPr="00794EB9" w:rsidRDefault="00794EB9" w:rsidP="00C307FB">
            <w:pPr>
              <w:jc w:val="center"/>
              <w:rPr>
                <w:rFonts w:ascii="Arial" w:hAnsi="Arial" w:cs="Arial"/>
                <w:sz w:val="22"/>
                <w:szCs w:val="22"/>
                <w:lang w:eastAsia="es-MX"/>
              </w:rPr>
            </w:pPr>
          </w:p>
        </w:tc>
        <w:tc>
          <w:tcPr>
            <w:tcW w:w="124" w:type="pct"/>
            <w:tcBorders>
              <w:top w:val="nil"/>
              <w:left w:val="nil"/>
              <w:bottom w:val="nil"/>
              <w:right w:val="nil"/>
            </w:tcBorders>
            <w:shd w:val="clear" w:color="auto" w:fill="auto"/>
            <w:noWrap/>
            <w:vAlign w:val="bottom"/>
            <w:hideMark/>
          </w:tcPr>
          <w:p w14:paraId="2ADB9E06" w14:textId="77777777" w:rsidR="00794EB9" w:rsidRPr="00794EB9" w:rsidRDefault="00794EB9" w:rsidP="00C307FB">
            <w:pPr>
              <w:jc w:val="center"/>
              <w:rPr>
                <w:rFonts w:ascii="Arial" w:hAnsi="Arial" w:cs="Arial"/>
                <w:sz w:val="22"/>
                <w:szCs w:val="22"/>
                <w:lang w:eastAsia="es-MX"/>
              </w:rPr>
            </w:pPr>
          </w:p>
        </w:tc>
        <w:tc>
          <w:tcPr>
            <w:tcW w:w="552" w:type="pct"/>
            <w:tcBorders>
              <w:top w:val="nil"/>
              <w:left w:val="nil"/>
              <w:bottom w:val="nil"/>
              <w:right w:val="nil"/>
            </w:tcBorders>
            <w:shd w:val="clear" w:color="auto" w:fill="auto"/>
            <w:vAlign w:val="center"/>
            <w:hideMark/>
          </w:tcPr>
          <w:p w14:paraId="464A1CF4" w14:textId="77777777" w:rsidR="00794EB9" w:rsidRPr="00794EB9" w:rsidRDefault="00794EB9" w:rsidP="00C307FB">
            <w:pPr>
              <w:rPr>
                <w:rFonts w:ascii="Arial" w:hAnsi="Arial" w:cs="Arial"/>
                <w:sz w:val="22"/>
                <w:szCs w:val="22"/>
                <w:lang w:eastAsia="es-MX"/>
              </w:rPr>
            </w:pPr>
          </w:p>
        </w:tc>
        <w:tc>
          <w:tcPr>
            <w:tcW w:w="151" w:type="pct"/>
            <w:tcBorders>
              <w:top w:val="nil"/>
              <w:left w:val="nil"/>
              <w:bottom w:val="nil"/>
              <w:right w:val="nil"/>
            </w:tcBorders>
            <w:shd w:val="clear" w:color="auto" w:fill="auto"/>
            <w:vAlign w:val="center"/>
            <w:hideMark/>
          </w:tcPr>
          <w:p w14:paraId="24458F24" w14:textId="77777777" w:rsidR="00794EB9" w:rsidRPr="00794EB9" w:rsidRDefault="00794EB9" w:rsidP="00C307FB">
            <w:pPr>
              <w:jc w:val="center"/>
              <w:rPr>
                <w:rFonts w:ascii="Arial" w:hAnsi="Arial" w:cs="Arial"/>
                <w:sz w:val="22"/>
                <w:szCs w:val="22"/>
                <w:lang w:eastAsia="es-MX"/>
              </w:rPr>
            </w:pPr>
          </w:p>
        </w:tc>
        <w:tc>
          <w:tcPr>
            <w:tcW w:w="520" w:type="pct"/>
            <w:tcBorders>
              <w:top w:val="nil"/>
              <w:left w:val="nil"/>
              <w:bottom w:val="nil"/>
              <w:right w:val="nil"/>
            </w:tcBorders>
            <w:shd w:val="clear" w:color="auto" w:fill="auto"/>
            <w:vAlign w:val="center"/>
            <w:hideMark/>
          </w:tcPr>
          <w:p w14:paraId="1B910B08" w14:textId="77777777" w:rsidR="00794EB9" w:rsidRPr="00794EB9" w:rsidRDefault="00794EB9" w:rsidP="00C307FB">
            <w:pPr>
              <w:jc w:val="center"/>
              <w:rPr>
                <w:rFonts w:ascii="Arial" w:hAnsi="Arial" w:cs="Arial"/>
                <w:sz w:val="22"/>
                <w:szCs w:val="22"/>
                <w:lang w:eastAsia="es-MX"/>
              </w:rPr>
            </w:pPr>
          </w:p>
        </w:tc>
        <w:tc>
          <w:tcPr>
            <w:tcW w:w="185" w:type="pct"/>
            <w:tcBorders>
              <w:top w:val="nil"/>
              <w:left w:val="nil"/>
              <w:bottom w:val="nil"/>
              <w:right w:val="nil"/>
            </w:tcBorders>
            <w:shd w:val="clear" w:color="auto" w:fill="auto"/>
            <w:vAlign w:val="center"/>
            <w:hideMark/>
          </w:tcPr>
          <w:p w14:paraId="2660F92A" w14:textId="77777777" w:rsidR="00794EB9" w:rsidRPr="00794EB9" w:rsidRDefault="00794EB9" w:rsidP="00C307FB">
            <w:pPr>
              <w:jc w:val="center"/>
              <w:rPr>
                <w:rFonts w:ascii="Arial" w:hAnsi="Arial" w:cs="Arial"/>
                <w:sz w:val="22"/>
                <w:szCs w:val="22"/>
                <w:lang w:eastAsia="es-MX"/>
              </w:rPr>
            </w:pPr>
          </w:p>
        </w:tc>
        <w:tc>
          <w:tcPr>
            <w:tcW w:w="1053" w:type="pct"/>
            <w:tcBorders>
              <w:top w:val="nil"/>
              <w:left w:val="nil"/>
              <w:bottom w:val="nil"/>
              <w:right w:val="nil"/>
            </w:tcBorders>
            <w:shd w:val="clear" w:color="auto" w:fill="auto"/>
            <w:vAlign w:val="center"/>
            <w:hideMark/>
          </w:tcPr>
          <w:p w14:paraId="71439021" w14:textId="77777777" w:rsidR="00794EB9" w:rsidRPr="00794EB9" w:rsidRDefault="00794EB9" w:rsidP="00C307FB">
            <w:pPr>
              <w:jc w:val="center"/>
              <w:rPr>
                <w:rFonts w:ascii="Arial" w:hAnsi="Arial" w:cs="Arial"/>
                <w:sz w:val="22"/>
                <w:szCs w:val="22"/>
                <w:lang w:eastAsia="es-MX"/>
              </w:rPr>
            </w:pPr>
          </w:p>
        </w:tc>
        <w:tc>
          <w:tcPr>
            <w:tcW w:w="220" w:type="pct"/>
            <w:tcBorders>
              <w:top w:val="nil"/>
              <w:left w:val="nil"/>
              <w:bottom w:val="nil"/>
              <w:right w:val="nil"/>
            </w:tcBorders>
            <w:shd w:val="clear" w:color="auto" w:fill="auto"/>
            <w:vAlign w:val="center"/>
            <w:hideMark/>
          </w:tcPr>
          <w:p w14:paraId="47FD33F4" w14:textId="77777777" w:rsidR="00794EB9" w:rsidRPr="00794EB9" w:rsidRDefault="00794EB9" w:rsidP="00C307FB">
            <w:pPr>
              <w:jc w:val="center"/>
              <w:rPr>
                <w:rFonts w:ascii="Arial" w:hAnsi="Arial" w:cs="Arial"/>
                <w:sz w:val="22"/>
                <w:szCs w:val="22"/>
                <w:lang w:eastAsia="es-MX"/>
              </w:rPr>
            </w:pPr>
          </w:p>
        </w:tc>
        <w:tc>
          <w:tcPr>
            <w:tcW w:w="986" w:type="pct"/>
            <w:tcBorders>
              <w:top w:val="nil"/>
              <w:left w:val="nil"/>
              <w:bottom w:val="nil"/>
              <w:right w:val="nil"/>
            </w:tcBorders>
            <w:shd w:val="clear" w:color="auto" w:fill="auto"/>
            <w:vAlign w:val="center"/>
            <w:hideMark/>
          </w:tcPr>
          <w:p w14:paraId="57BEFC1E" w14:textId="77777777" w:rsidR="00794EB9" w:rsidRPr="00794EB9" w:rsidRDefault="00794EB9" w:rsidP="00C307FB">
            <w:pPr>
              <w:jc w:val="center"/>
              <w:rPr>
                <w:rFonts w:ascii="Arial" w:hAnsi="Arial" w:cs="Arial"/>
                <w:sz w:val="22"/>
                <w:szCs w:val="22"/>
                <w:lang w:eastAsia="es-MX"/>
              </w:rPr>
            </w:pPr>
          </w:p>
        </w:tc>
      </w:tr>
      <w:tr w:rsidR="00794EB9" w:rsidRPr="00794EB9" w14:paraId="099DC06C" w14:textId="77777777" w:rsidTr="00C307FB">
        <w:trPr>
          <w:trHeight w:val="1200"/>
        </w:trPr>
        <w:tc>
          <w:tcPr>
            <w:tcW w:w="5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DBB1EB"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Sistema de Inteligencia Municipal (SIM)</w:t>
            </w:r>
          </w:p>
        </w:tc>
        <w:tc>
          <w:tcPr>
            <w:tcW w:w="128" w:type="pct"/>
            <w:tcBorders>
              <w:top w:val="nil"/>
              <w:left w:val="nil"/>
              <w:bottom w:val="nil"/>
              <w:right w:val="nil"/>
            </w:tcBorders>
            <w:shd w:val="clear" w:color="auto" w:fill="auto"/>
            <w:vAlign w:val="center"/>
            <w:hideMark/>
          </w:tcPr>
          <w:p w14:paraId="5A4587CB" w14:textId="77777777" w:rsidR="00794EB9" w:rsidRPr="00794EB9" w:rsidRDefault="00794EB9" w:rsidP="00C307FB">
            <w:pPr>
              <w:jc w:val="center"/>
              <w:rPr>
                <w:rFonts w:ascii="Arial" w:hAnsi="Arial" w:cs="Arial"/>
                <w:b/>
                <w:bCs/>
                <w:sz w:val="22"/>
                <w:szCs w:val="22"/>
                <w:lang w:eastAsia="es-MX"/>
              </w:rPr>
            </w:pP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7767AA"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Nuevo Modelo de Atención Ciudadana</w:t>
            </w:r>
          </w:p>
        </w:tc>
        <w:tc>
          <w:tcPr>
            <w:tcW w:w="124" w:type="pct"/>
            <w:tcBorders>
              <w:top w:val="nil"/>
              <w:left w:val="nil"/>
              <w:bottom w:val="nil"/>
              <w:right w:val="nil"/>
            </w:tcBorders>
            <w:shd w:val="clear" w:color="auto" w:fill="auto"/>
            <w:noWrap/>
            <w:vAlign w:val="bottom"/>
            <w:hideMark/>
          </w:tcPr>
          <w:p w14:paraId="57D0B455" w14:textId="77777777" w:rsidR="00794EB9" w:rsidRPr="00794EB9" w:rsidRDefault="00794EB9" w:rsidP="00C307FB">
            <w:pPr>
              <w:jc w:val="center"/>
              <w:rPr>
                <w:rFonts w:ascii="Arial" w:hAnsi="Arial" w:cs="Arial"/>
                <w:b/>
                <w:bCs/>
                <w:sz w:val="22"/>
                <w:szCs w:val="22"/>
                <w:lang w:eastAsia="es-MX"/>
              </w:rPr>
            </w:pP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A2F6F8"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Urbanismo Táctico</w:t>
            </w:r>
          </w:p>
        </w:tc>
        <w:tc>
          <w:tcPr>
            <w:tcW w:w="151" w:type="pct"/>
            <w:tcBorders>
              <w:top w:val="nil"/>
              <w:left w:val="nil"/>
              <w:bottom w:val="nil"/>
              <w:right w:val="nil"/>
            </w:tcBorders>
            <w:shd w:val="clear" w:color="auto" w:fill="auto"/>
            <w:vAlign w:val="center"/>
            <w:hideMark/>
          </w:tcPr>
          <w:p w14:paraId="12E97CFC" w14:textId="77777777" w:rsidR="00794EB9" w:rsidRPr="00794EB9" w:rsidRDefault="00794EB9" w:rsidP="00C307FB">
            <w:pPr>
              <w:jc w:val="center"/>
              <w:rPr>
                <w:rFonts w:ascii="Arial" w:hAnsi="Arial" w:cs="Arial"/>
                <w:b/>
                <w:bCs/>
                <w:sz w:val="22"/>
                <w:szCs w:val="22"/>
                <w:lang w:eastAsia="es-MX"/>
              </w:rPr>
            </w:pP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6C90D0"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Evolución del SIT</w:t>
            </w:r>
          </w:p>
        </w:tc>
        <w:tc>
          <w:tcPr>
            <w:tcW w:w="185" w:type="pct"/>
            <w:tcBorders>
              <w:top w:val="nil"/>
              <w:left w:val="nil"/>
              <w:bottom w:val="nil"/>
              <w:right w:val="nil"/>
            </w:tcBorders>
            <w:shd w:val="clear" w:color="auto" w:fill="auto"/>
            <w:vAlign w:val="center"/>
            <w:hideMark/>
          </w:tcPr>
          <w:p w14:paraId="39FC370E" w14:textId="77777777" w:rsidR="00794EB9" w:rsidRPr="00794EB9" w:rsidRDefault="00794EB9" w:rsidP="00C307FB">
            <w:pPr>
              <w:jc w:val="center"/>
              <w:rPr>
                <w:rFonts w:ascii="Arial" w:hAnsi="Arial" w:cs="Arial"/>
                <w:b/>
                <w:bCs/>
                <w:sz w:val="22"/>
                <w:szCs w:val="22"/>
                <w:lang w:eastAsia="es-MX"/>
              </w:rPr>
            </w:pPr>
          </w:p>
        </w:tc>
        <w:tc>
          <w:tcPr>
            <w:tcW w:w="10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D8F678"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Calidad Máxima</w:t>
            </w:r>
          </w:p>
        </w:tc>
        <w:tc>
          <w:tcPr>
            <w:tcW w:w="220" w:type="pct"/>
            <w:tcBorders>
              <w:top w:val="nil"/>
              <w:left w:val="nil"/>
              <w:bottom w:val="nil"/>
              <w:right w:val="nil"/>
            </w:tcBorders>
            <w:shd w:val="clear" w:color="auto" w:fill="auto"/>
            <w:vAlign w:val="center"/>
            <w:hideMark/>
          </w:tcPr>
          <w:p w14:paraId="6D742006" w14:textId="77777777" w:rsidR="00794EB9" w:rsidRPr="00794EB9" w:rsidRDefault="00794EB9" w:rsidP="00C307FB">
            <w:pPr>
              <w:jc w:val="center"/>
              <w:rPr>
                <w:rFonts w:ascii="Arial" w:hAnsi="Arial" w:cs="Arial"/>
                <w:b/>
                <w:bCs/>
                <w:sz w:val="22"/>
                <w:szCs w:val="22"/>
                <w:lang w:eastAsia="es-MX"/>
              </w:rPr>
            </w:pP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FD7C7E"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Patrimonio Cultural e Identidad Leonesa</w:t>
            </w:r>
          </w:p>
        </w:tc>
      </w:tr>
    </w:tbl>
    <w:p w14:paraId="03EBB020" w14:textId="77777777" w:rsidR="00794EB9" w:rsidRPr="00794EB9" w:rsidRDefault="00794EB9" w:rsidP="00794EB9">
      <w:pPr>
        <w:rPr>
          <w:rFonts w:ascii="Arial" w:hAnsi="Arial" w:cs="Arial"/>
          <w:b/>
          <w:bCs/>
          <w:sz w:val="22"/>
          <w:szCs w:val="22"/>
        </w:rPr>
      </w:pPr>
    </w:p>
    <w:p w14:paraId="03D07AA5" w14:textId="77777777" w:rsidR="00794EB9" w:rsidRPr="00794EB9" w:rsidRDefault="00794EB9" w:rsidP="00794EB9">
      <w:pPr>
        <w:rPr>
          <w:rFonts w:ascii="Arial" w:hAnsi="Arial" w:cs="Arial"/>
          <w:b/>
          <w:bCs/>
          <w:sz w:val="22"/>
          <w:szCs w:val="22"/>
        </w:rPr>
      </w:pPr>
    </w:p>
    <w:p w14:paraId="6FFDB633" w14:textId="77777777" w:rsidR="00794EB9" w:rsidRPr="00794EB9" w:rsidRDefault="00794EB9" w:rsidP="00794EB9">
      <w:pPr>
        <w:rPr>
          <w:rFonts w:ascii="Arial" w:hAnsi="Arial" w:cs="Arial"/>
          <w:b/>
          <w:bCs/>
          <w:sz w:val="22"/>
          <w:szCs w:val="22"/>
        </w:rPr>
      </w:pPr>
    </w:p>
    <w:p w14:paraId="7343AD72" w14:textId="77777777" w:rsidR="00794EB9" w:rsidRPr="00794EB9" w:rsidRDefault="00794EB9" w:rsidP="00794EB9">
      <w:pPr>
        <w:rPr>
          <w:rFonts w:ascii="Arial" w:hAnsi="Arial" w:cs="Arial"/>
          <w:b/>
          <w:bCs/>
          <w:sz w:val="22"/>
          <w:szCs w:val="22"/>
        </w:rPr>
      </w:pPr>
    </w:p>
    <w:p w14:paraId="0661F66A" w14:textId="77777777" w:rsidR="00794EB9" w:rsidRPr="00794EB9" w:rsidRDefault="00794EB9" w:rsidP="00794EB9">
      <w:pPr>
        <w:rPr>
          <w:rFonts w:ascii="Arial" w:hAnsi="Arial" w:cs="Arial"/>
          <w:b/>
          <w:bCs/>
          <w:sz w:val="22"/>
          <w:szCs w:val="22"/>
        </w:rPr>
      </w:pPr>
    </w:p>
    <w:p w14:paraId="7736E7B1" w14:textId="77777777" w:rsidR="00794EB9" w:rsidRPr="00794EB9" w:rsidRDefault="00794EB9" w:rsidP="00794EB9">
      <w:pPr>
        <w:rPr>
          <w:rFonts w:ascii="Arial" w:hAnsi="Arial" w:cs="Arial"/>
          <w:b/>
          <w:bCs/>
          <w:sz w:val="22"/>
          <w:szCs w:val="22"/>
        </w:rPr>
      </w:pPr>
    </w:p>
    <w:p w14:paraId="1063716E" w14:textId="77777777" w:rsidR="00794EB9" w:rsidRPr="00794EB9" w:rsidRDefault="00794EB9" w:rsidP="00794EB9">
      <w:pPr>
        <w:ind w:hanging="2"/>
        <w:rPr>
          <w:rFonts w:ascii="Arial" w:hAnsi="Arial" w:cs="Arial"/>
          <w:sz w:val="22"/>
          <w:szCs w:val="22"/>
        </w:rPr>
      </w:pPr>
      <w:r w:rsidRPr="00794EB9">
        <w:rPr>
          <w:rFonts w:ascii="Arial" w:hAnsi="Arial" w:cs="Arial"/>
          <w:sz w:val="22"/>
          <w:szCs w:val="22"/>
        </w:rPr>
        <w:br w:type="page"/>
      </w:r>
    </w:p>
    <w:p w14:paraId="520353D0" w14:textId="77777777" w:rsidR="00794EB9" w:rsidRPr="00794EB9" w:rsidRDefault="00794EB9" w:rsidP="00794EB9">
      <w:pPr>
        <w:rPr>
          <w:rFonts w:ascii="Arial" w:hAnsi="Arial" w:cs="Arial"/>
          <w:sz w:val="22"/>
          <w:szCs w:val="22"/>
        </w:rPr>
      </w:pPr>
    </w:p>
    <w:p w14:paraId="64B33E02" w14:textId="77777777" w:rsidR="00794EB9" w:rsidRPr="00794EB9" w:rsidRDefault="00794EB9" w:rsidP="00794EB9">
      <w:pPr>
        <w:rPr>
          <w:rFonts w:ascii="Arial" w:hAnsi="Arial" w:cs="Arial"/>
          <w:sz w:val="22"/>
          <w:szCs w:val="22"/>
        </w:rPr>
      </w:pPr>
    </w:p>
    <w:p w14:paraId="4B5EBEB3" w14:textId="77777777" w:rsidR="00794EB9" w:rsidRPr="00794EB9" w:rsidRDefault="00794EB9" w:rsidP="00794EB9">
      <w:pPr>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444"/>
        <w:gridCol w:w="204"/>
        <w:gridCol w:w="1180"/>
        <w:gridCol w:w="329"/>
        <w:gridCol w:w="1588"/>
        <w:gridCol w:w="329"/>
        <w:gridCol w:w="1698"/>
        <w:gridCol w:w="360"/>
        <w:gridCol w:w="1696"/>
      </w:tblGrid>
      <w:tr w:rsidR="00794EB9" w:rsidRPr="00794EB9" w14:paraId="3C503143" w14:textId="77777777" w:rsidTr="00C307FB">
        <w:trPr>
          <w:trHeight w:val="6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CC6A90E"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VIVIR SANO</w:t>
            </w:r>
          </w:p>
        </w:tc>
      </w:tr>
      <w:tr w:rsidR="00794EB9" w:rsidRPr="00794EB9" w14:paraId="42893A22" w14:textId="77777777" w:rsidTr="00C307FB">
        <w:trPr>
          <w:trHeight w:val="300"/>
        </w:trPr>
        <w:tc>
          <w:tcPr>
            <w:tcW w:w="690" w:type="pct"/>
            <w:tcBorders>
              <w:top w:val="nil"/>
              <w:left w:val="nil"/>
              <w:bottom w:val="nil"/>
              <w:right w:val="nil"/>
            </w:tcBorders>
            <w:shd w:val="clear" w:color="auto" w:fill="auto"/>
            <w:noWrap/>
            <w:vAlign w:val="bottom"/>
            <w:hideMark/>
          </w:tcPr>
          <w:p w14:paraId="6B7EB380" w14:textId="77777777" w:rsidR="00794EB9" w:rsidRPr="00794EB9" w:rsidRDefault="00794EB9" w:rsidP="00C307FB">
            <w:pPr>
              <w:jc w:val="center"/>
              <w:rPr>
                <w:rFonts w:ascii="Arial" w:hAnsi="Arial" w:cs="Arial"/>
                <w:b/>
                <w:bCs/>
                <w:sz w:val="22"/>
                <w:szCs w:val="22"/>
                <w:lang w:eastAsia="es-MX"/>
              </w:rPr>
            </w:pPr>
          </w:p>
        </w:tc>
        <w:tc>
          <w:tcPr>
            <w:tcW w:w="112" w:type="pct"/>
            <w:tcBorders>
              <w:top w:val="nil"/>
              <w:left w:val="nil"/>
              <w:bottom w:val="nil"/>
              <w:right w:val="nil"/>
            </w:tcBorders>
            <w:shd w:val="clear" w:color="auto" w:fill="auto"/>
            <w:noWrap/>
            <w:vAlign w:val="bottom"/>
            <w:hideMark/>
          </w:tcPr>
          <w:p w14:paraId="76B91F5F" w14:textId="77777777" w:rsidR="00794EB9" w:rsidRPr="00794EB9" w:rsidRDefault="00794EB9" w:rsidP="00C307FB">
            <w:pPr>
              <w:rPr>
                <w:rFonts w:ascii="Arial" w:hAnsi="Arial" w:cs="Arial"/>
                <w:sz w:val="22"/>
                <w:szCs w:val="22"/>
                <w:lang w:eastAsia="es-MX"/>
              </w:rPr>
            </w:pPr>
          </w:p>
        </w:tc>
        <w:tc>
          <w:tcPr>
            <w:tcW w:w="691" w:type="pct"/>
            <w:tcBorders>
              <w:top w:val="nil"/>
              <w:left w:val="nil"/>
              <w:bottom w:val="nil"/>
              <w:right w:val="nil"/>
            </w:tcBorders>
            <w:shd w:val="clear" w:color="auto" w:fill="auto"/>
            <w:noWrap/>
            <w:vAlign w:val="bottom"/>
            <w:hideMark/>
          </w:tcPr>
          <w:p w14:paraId="36F572AD" w14:textId="77777777" w:rsidR="00794EB9" w:rsidRPr="00794EB9" w:rsidRDefault="00794EB9" w:rsidP="00C307FB">
            <w:pPr>
              <w:rPr>
                <w:rFonts w:ascii="Arial" w:hAnsi="Arial" w:cs="Arial"/>
                <w:sz w:val="22"/>
                <w:szCs w:val="22"/>
                <w:lang w:eastAsia="es-MX"/>
              </w:rPr>
            </w:pPr>
          </w:p>
        </w:tc>
        <w:tc>
          <w:tcPr>
            <w:tcW w:w="187" w:type="pct"/>
            <w:tcBorders>
              <w:top w:val="nil"/>
              <w:left w:val="nil"/>
              <w:bottom w:val="nil"/>
              <w:right w:val="nil"/>
            </w:tcBorders>
            <w:shd w:val="clear" w:color="auto" w:fill="auto"/>
            <w:noWrap/>
            <w:vAlign w:val="bottom"/>
            <w:hideMark/>
          </w:tcPr>
          <w:p w14:paraId="013D37BC" w14:textId="77777777" w:rsidR="00794EB9" w:rsidRPr="00794EB9" w:rsidRDefault="00794EB9" w:rsidP="00C307FB">
            <w:pPr>
              <w:rPr>
                <w:rFonts w:ascii="Arial" w:hAnsi="Arial" w:cs="Arial"/>
                <w:sz w:val="22"/>
                <w:szCs w:val="22"/>
                <w:lang w:eastAsia="es-MX"/>
              </w:rPr>
            </w:pPr>
          </w:p>
        </w:tc>
        <w:tc>
          <w:tcPr>
            <w:tcW w:w="933" w:type="pct"/>
            <w:tcBorders>
              <w:top w:val="nil"/>
              <w:left w:val="nil"/>
              <w:bottom w:val="nil"/>
              <w:right w:val="nil"/>
            </w:tcBorders>
            <w:shd w:val="clear" w:color="auto" w:fill="auto"/>
            <w:noWrap/>
            <w:vAlign w:val="bottom"/>
            <w:hideMark/>
          </w:tcPr>
          <w:p w14:paraId="248FD574" w14:textId="77777777" w:rsidR="00794EB9" w:rsidRPr="00794EB9" w:rsidRDefault="00794EB9" w:rsidP="00C307FB">
            <w:pPr>
              <w:rPr>
                <w:rFonts w:ascii="Arial" w:hAnsi="Arial" w:cs="Arial"/>
                <w:sz w:val="22"/>
                <w:szCs w:val="22"/>
                <w:lang w:eastAsia="es-MX"/>
              </w:rPr>
            </w:pPr>
          </w:p>
        </w:tc>
        <w:tc>
          <w:tcPr>
            <w:tcW w:w="187" w:type="pct"/>
            <w:tcBorders>
              <w:top w:val="nil"/>
              <w:left w:val="nil"/>
              <w:bottom w:val="nil"/>
              <w:right w:val="nil"/>
            </w:tcBorders>
            <w:shd w:val="clear" w:color="auto" w:fill="auto"/>
            <w:noWrap/>
            <w:vAlign w:val="bottom"/>
            <w:hideMark/>
          </w:tcPr>
          <w:p w14:paraId="3CFC98C9" w14:textId="77777777" w:rsidR="00794EB9" w:rsidRPr="00794EB9" w:rsidRDefault="00794EB9" w:rsidP="00C307FB">
            <w:pPr>
              <w:rPr>
                <w:rFonts w:ascii="Arial" w:hAnsi="Arial" w:cs="Arial"/>
                <w:sz w:val="22"/>
                <w:szCs w:val="22"/>
                <w:lang w:eastAsia="es-MX"/>
              </w:rPr>
            </w:pPr>
          </w:p>
        </w:tc>
        <w:tc>
          <w:tcPr>
            <w:tcW w:w="998" w:type="pct"/>
            <w:tcBorders>
              <w:top w:val="nil"/>
              <w:left w:val="nil"/>
              <w:bottom w:val="nil"/>
              <w:right w:val="nil"/>
            </w:tcBorders>
            <w:shd w:val="clear" w:color="auto" w:fill="auto"/>
            <w:noWrap/>
            <w:vAlign w:val="bottom"/>
            <w:hideMark/>
          </w:tcPr>
          <w:p w14:paraId="417E2D99" w14:textId="77777777" w:rsidR="00794EB9" w:rsidRPr="00794EB9" w:rsidRDefault="00794EB9" w:rsidP="00C307FB">
            <w:pPr>
              <w:rPr>
                <w:rFonts w:ascii="Arial" w:hAnsi="Arial" w:cs="Arial"/>
                <w:sz w:val="22"/>
                <w:szCs w:val="22"/>
                <w:lang w:eastAsia="es-MX"/>
              </w:rPr>
            </w:pPr>
          </w:p>
        </w:tc>
        <w:tc>
          <w:tcPr>
            <w:tcW w:w="205" w:type="pct"/>
            <w:tcBorders>
              <w:top w:val="nil"/>
              <w:left w:val="nil"/>
              <w:bottom w:val="nil"/>
              <w:right w:val="nil"/>
            </w:tcBorders>
            <w:shd w:val="clear" w:color="auto" w:fill="auto"/>
            <w:noWrap/>
            <w:vAlign w:val="bottom"/>
            <w:hideMark/>
          </w:tcPr>
          <w:p w14:paraId="20A82F2F" w14:textId="77777777" w:rsidR="00794EB9" w:rsidRPr="00794EB9" w:rsidRDefault="00794EB9" w:rsidP="00C307FB">
            <w:pPr>
              <w:rPr>
                <w:rFonts w:ascii="Arial" w:hAnsi="Arial" w:cs="Arial"/>
                <w:sz w:val="22"/>
                <w:szCs w:val="22"/>
                <w:lang w:eastAsia="es-MX"/>
              </w:rPr>
            </w:pPr>
          </w:p>
        </w:tc>
        <w:tc>
          <w:tcPr>
            <w:tcW w:w="997" w:type="pct"/>
            <w:tcBorders>
              <w:top w:val="nil"/>
              <w:left w:val="nil"/>
              <w:bottom w:val="nil"/>
              <w:right w:val="nil"/>
            </w:tcBorders>
            <w:shd w:val="clear" w:color="auto" w:fill="auto"/>
            <w:noWrap/>
            <w:vAlign w:val="bottom"/>
            <w:hideMark/>
          </w:tcPr>
          <w:p w14:paraId="6F26E76D" w14:textId="77777777" w:rsidR="00794EB9" w:rsidRPr="00794EB9" w:rsidRDefault="00794EB9" w:rsidP="00C307FB">
            <w:pPr>
              <w:rPr>
                <w:rFonts w:ascii="Arial" w:hAnsi="Arial" w:cs="Arial"/>
                <w:sz w:val="22"/>
                <w:szCs w:val="22"/>
                <w:lang w:eastAsia="es-MX"/>
              </w:rPr>
            </w:pPr>
          </w:p>
        </w:tc>
      </w:tr>
      <w:tr w:rsidR="00794EB9" w:rsidRPr="00794EB9" w14:paraId="13C2CAB6" w14:textId="77777777" w:rsidTr="00C307FB">
        <w:trPr>
          <w:trHeight w:val="567"/>
        </w:trPr>
        <w:tc>
          <w:tcPr>
            <w:tcW w:w="1493"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587F5CE"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Lograr que León sea referente como Ciudad Sostenible por el la Red de Parques Urbanos e Infraestructura Verde</w:t>
            </w:r>
            <w:r w:rsidRPr="00794EB9">
              <w:rPr>
                <w:rFonts w:ascii="Arial" w:hAnsi="Arial" w:cs="Arial"/>
                <w:sz w:val="22"/>
                <w:szCs w:val="22"/>
                <w:lang w:eastAsia="es-MX"/>
              </w:rPr>
              <w:t>, sus Parques Metropolitanos, el rescate de sus espacios públicos, la protección a mascotas y fauna, la gestión del agua y el manejo integral de los residuos sólidos, con una base fuerte e colaboración ciudadana</w:t>
            </w:r>
          </w:p>
        </w:tc>
        <w:tc>
          <w:tcPr>
            <w:tcW w:w="187" w:type="pct"/>
            <w:tcBorders>
              <w:top w:val="nil"/>
              <w:left w:val="nil"/>
              <w:bottom w:val="nil"/>
              <w:right w:val="nil"/>
            </w:tcBorders>
            <w:shd w:val="clear" w:color="auto" w:fill="auto"/>
            <w:noWrap/>
            <w:vAlign w:val="center"/>
            <w:hideMark/>
          </w:tcPr>
          <w:p w14:paraId="6BEDB64D" w14:textId="77777777" w:rsidR="00794EB9" w:rsidRPr="00794EB9" w:rsidRDefault="00794EB9" w:rsidP="00C307FB">
            <w:pPr>
              <w:jc w:val="center"/>
              <w:rPr>
                <w:rFonts w:ascii="Arial" w:hAnsi="Arial" w:cs="Arial"/>
                <w:sz w:val="22"/>
                <w:szCs w:val="22"/>
                <w:lang w:eastAsia="es-MX"/>
              </w:rPr>
            </w:pP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779958"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 xml:space="preserve">Lograr disminuir la pobreza alimentaria en la población en situación de vulnerabilidad </w:t>
            </w:r>
            <w:r w:rsidRPr="00794EB9">
              <w:rPr>
                <w:rFonts w:ascii="Arial" w:hAnsi="Arial" w:cs="Arial"/>
                <w:sz w:val="22"/>
                <w:szCs w:val="22"/>
                <w:lang w:eastAsia="es-MX"/>
              </w:rPr>
              <w:t>mediante apoyos alimenticios, alianzas institucionales y un proyecto integral de asistencia social</w:t>
            </w:r>
          </w:p>
        </w:tc>
        <w:tc>
          <w:tcPr>
            <w:tcW w:w="187" w:type="pct"/>
            <w:tcBorders>
              <w:top w:val="nil"/>
              <w:left w:val="nil"/>
              <w:bottom w:val="nil"/>
              <w:right w:val="nil"/>
            </w:tcBorders>
            <w:shd w:val="clear" w:color="auto" w:fill="auto"/>
            <w:noWrap/>
            <w:vAlign w:val="center"/>
            <w:hideMark/>
          </w:tcPr>
          <w:p w14:paraId="1C4271B4" w14:textId="77777777" w:rsidR="00794EB9" w:rsidRPr="00794EB9" w:rsidRDefault="00794EB9" w:rsidP="00C307FB">
            <w:pPr>
              <w:jc w:val="center"/>
              <w:rPr>
                <w:rFonts w:ascii="Arial" w:hAnsi="Arial" w:cs="Arial"/>
                <w:sz w:val="22"/>
                <w:szCs w:val="22"/>
                <w:lang w:eastAsia="es-MX"/>
              </w:rPr>
            </w:pPr>
          </w:p>
        </w:tc>
        <w:tc>
          <w:tcPr>
            <w:tcW w:w="9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10CABA"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Apoya a población en situación de vulnerabilidad, en especial adultos mayores, personas con discapacidad o con movilidad comprometida</w:t>
            </w:r>
            <w:r w:rsidRPr="00794EB9">
              <w:rPr>
                <w:rFonts w:ascii="Arial" w:hAnsi="Arial" w:cs="Arial"/>
                <w:sz w:val="22"/>
                <w:szCs w:val="22"/>
                <w:lang w:eastAsia="es-MX"/>
              </w:rPr>
              <w:t xml:space="preserve"> con unidades móviles de atención médica, así como acciones preventivas en materia de hábitos saludables y nutricionales, que sean complementados con cuadros básicos de medicamentos</w:t>
            </w:r>
          </w:p>
        </w:tc>
        <w:tc>
          <w:tcPr>
            <w:tcW w:w="205" w:type="pct"/>
            <w:tcBorders>
              <w:top w:val="nil"/>
              <w:left w:val="nil"/>
              <w:bottom w:val="nil"/>
              <w:right w:val="nil"/>
            </w:tcBorders>
            <w:shd w:val="clear" w:color="auto" w:fill="auto"/>
            <w:vAlign w:val="center"/>
            <w:hideMark/>
          </w:tcPr>
          <w:p w14:paraId="6B3E0E38" w14:textId="77777777" w:rsidR="00794EB9" w:rsidRPr="00794EB9" w:rsidRDefault="00794EB9" w:rsidP="00C307FB">
            <w:pPr>
              <w:jc w:val="center"/>
              <w:rPr>
                <w:rFonts w:ascii="Arial" w:hAnsi="Arial" w:cs="Arial"/>
                <w:sz w:val="22"/>
                <w:szCs w:val="22"/>
                <w:lang w:eastAsia="es-MX"/>
              </w:rPr>
            </w:pPr>
          </w:p>
        </w:tc>
        <w:tc>
          <w:tcPr>
            <w:tcW w:w="9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B47394"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 xml:space="preserve">Brindar protección a mujeres en situación de riesgo, así como a jóvenes y otros grupos en situación de vulnerabilidad </w:t>
            </w:r>
            <w:r w:rsidRPr="00794EB9">
              <w:rPr>
                <w:rFonts w:ascii="Arial" w:hAnsi="Arial" w:cs="Arial"/>
                <w:sz w:val="22"/>
                <w:szCs w:val="22"/>
                <w:lang w:eastAsia="es-MX"/>
              </w:rPr>
              <w:t>mediante acciones integrales para el desarrollo humano y la inclusión social</w:t>
            </w:r>
          </w:p>
        </w:tc>
      </w:tr>
      <w:tr w:rsidR="00794EB9" w:rsidRPr="00794EB9" w14:paraId="7185A3B3" w14:textId="77777777" w:rsidTr="00C307FB">
        <w:trPr>
          <w:trHeight w:val="300"/>
        </w:trPr>
        <w:tc>
          <w:tcPr>
            <w:tcW w:w="690" w:type="pct"/>
            <w:tcBorders>
              <w:top w:val="nil"/>
              <w:left w:val="nil"/>
              <w:bottom w:val="nil"/>
              <w:right w:val="nil"/>
            </w:tcBorders>
            <w:shd w:val="clear" w:color="auto" w:fill="auto"/>
            <w:noWrap/>
            <w:vAlign w:val="bottom"/>
            <w:hideMark/>
          </w:tcPr>
          <w:p w14:paraId="32E768B5" w14:textId="77777777" w:rsidR="00794EB9" w:rsidRPr="00794EB9" w:rsidRDefault="00794EB9" w:rsidP="00C307FB">
            <w:pPr>
              <w:jc w:val="center"/>
              <w:rPr>
                <w:rFonts w:ascii="Arial" w:hAnsi="Arial" w:cs="Arial"/>
                <w:sz w:val="22"/>
                <w:szCs w:val="22"/>
                <w:lang w:eastAsia="es-MX"/>
              </w:rPr>
            </w:pPr>
          </w:p>
        </w:tc>
        <w:tc>
          <w:tcPr>
            <w:tcW w:w="112" w:type="pct"/>
            <w:tcBorders>
              <w:top w:val="nil"/>
              <w:left w:val="nil"/>
              <w:bottom w:val="nil"/>
              <w:right w:val="nil"/>
            </w:tcBorders>
            <w:shd w:val="clear" w:color="auto" w:fill="auto"/>
            <w:noWrap/>
            <w:vAlign w:val="bottom"/>
            <w:hideMark/>
          </w:tcPr>
          <w:p w14:paraId="72A8B141" w14:textId="77777777" w:rsidR="00794EB9" w:rsidRPr="00794EB9" w:rsidRDefault="00794EB9" w:rsidP="00C307FB">
            <w:pPr>
              <w:rPr>
                <w:rFonts w:ascii="Arial" w:hAnsi="Arial" w:cs="Arial"/>
                <w:sz w:val="22"/>
                <w:szCs w:val="22"/>
                <w:lang w:eastAsia="es-MX"/>
              </w:rPr>
            </w:pPr>
          </w:p>
        </w:tc>
        <w:tc>
          <w:tcPr>
            <w:tcW w:w="691" w:type="pct"/>
            <w:tcBorders>
              <w:top w:val="nil"/>
              <w:left w:val="nil"/>
              <w:bottom w:val="nil"/>
              <w:right w:val="nil"/>
            </w:tcBorders>
            <w:shd w:val="clear" w:color="auto" w:fill="auto"/>
            <w:noWrap/>
            <w:vAlign w:val="bottom"/>
            <w:hideMark/>
          </w:tcPr>
          <w:p w14:paraId="4CA51215" w14:textId="77777777" w:rsidR="00794EB9" w:rsidRPr="00794EB9" w:rsidRDefault="00794EB9" w:rsidP="00C307FB">
            <w:pPr>
              <w:rPr>
                <w:rFonts w:ascii="Arial" w:hAnsi="Arial" w:cs="Arial"/>
                <w:sz w:val="22"/>
                <w:szCs w:val="22"/>
                <w:lang w:eastAsia="es-MX"/>
              </w:rPr>
            </w:pPr>
          </w:p>
        </w:tc>
        <w:tc>
          <w:tcPr>
            <w:tcW w:w="187" w:type="pct"/>
            <w:tcBorders>
              <w:top w:val="nil"/>
              <w:left w:val="nil"/>
              <w:bottom w:val="nil"/>
              <w:right w:val="nil"/>
            </w:tcBorders>
            <w:shd w:val="clear" w:color="auto" w:fill="auto"/>
            <w:noWrap/>
            <w:vAlign w:val="bottom"/>
            <w:hideMark/>
          </w:tcPr>
          <w:p w14:paraId="73B3990D" w14:textId="77777777" w:rsidR="00794EB9" w:rsidRPr="00794EB9" w:rsidRDefault="00794EB9" w:rsidP="00C307FB">
            <w:pPr>
              <w:rPr>
                <w:rFonts w:ascii="Arial" w:hAnsi="Arial" w:cs="Arial"/>
                <w:sz w:val="22"/>
                <w:szCs w:val="22"/>
                <w:lang w:eastAsia="es-MX"/>
              </w:rPr>
            </w:pPr>
          </w:p>
        </w:tc>
        <w:tc>
          <w:tcPr>
            <w:tcW w:w="933" w:type="pct"/>
            <w:tcBorders>
              <w:top w:val="nil"/>
              <w:left w:val="nil"/>
              <w:bottom w:val="nil"/>
              <w:right w:val="nil"/>
            </w:tcBorders>
            <w:shd w:val="clear" w:color="auto" w:fill="auto"/>
            <w:noWrap/>
            <w:vAlign w:val="bottom"/>
            <w:hideMark/>
          </w:tcPr>
          <w:p w14:paraId="4C03775E" w14:textId="77777777" w:rsidR="00794EB9" w:rsidRPr="00794EB9" w:rsidRDefault="00794EB9" w:rsidP="00C307FB">
            <w:pPr>
              <w:rPr>
                <w:rFonts w:ascii="Arial" w:hAnsi="Arial" w:cs="Arial"/>
                <w:sz w:val="22"/>
                <w:szCs w:val="22"/>
                <w:lang w:eastAsia="es-MX"/>
              </w:rPr>
            </w:pPr>
          </w:p>
        </w:tc>
        <w:tc>
          <w:tcPr>
            <w:tcW w:w="187" w:type="pct"/>
            <w:tcBorders>
              <w:top w:val="nil"/>
              <w:left w:val="nil"/>
              <w:bottom w:val="nil"/>
              <w:right w:val="nil"/>
            </w:tcBorders>
            <w:shd w:val="clear" w:color="auto" w:fill="auto"/>
            <w:noWrap/>
            <w:vAlign w:val="bottom"/>
            <w:hideMark/>
          </w:tcPr>
          <w:p w14:paraId="3C071D80" w14:textId="77777777" w:rsidR="00794EB9" w:rsidRPr="00794EB9" w:rsidRDefault="00794EB9" w:rsidP="00C307FB">
            <w:pPr>
              <w:rPr>
                <w:rFonts w:ascii="Arial" w:hAnsi="Arial" w:cs="Arial"/>
                <w:sz w:val="22"/>
                <w:szCs w:val="22"/>
                <w:lang w:eastAsia="es-MX"/>
              </w:rPr>
            </w:pPr>
          </w:p>
        </w:tc>
        <w:tc>
          <w:tcPr>
            <w:tcW w:w="998" w:type="pct"/>
            <w:tcBorders>
              <w:top w:val="nil"/>
              <w:left w:val="nil"/>
              <w:bottom w:val="nil"/>
              <w:right w:val="nil"/>
            </w:tcBorders>
            <w:shd w:val="clear" w:color="auto" w:fill="auto"/>
            <w:noWrap/>
            <w:vAlign w:val="bottom"/>
            <w:hideMark/>
          </w:tcPr>
          <w:p w14:paraId="780394DC" w14:textId="77777777" w:rsidR="00794EB9" w:rsidRPr="00794EB9" w:rsidRDefault="00794EB9" w:rsidP="00C307FB">
            <w:pPr>
              <w:rPr>
                <w:rFonts w:ascii="Arial" w:hAnsi="Arial" w:cs="Arial"/>
                <w:sz w:val="22"/>
                <w:szCs w:val="22"/>
                <w:lang w:eastAsia="es-MX"/>
              </w:rPr>
            </w:pPr>
          </w:p>
        </w:tc>
        <w:tc>
          <w:tcPr>
            <w:tcW w:w="205" w:type="pct"/>
            <w:tcBorders>
              <w:top w:val="nil"/>
              <w:left w:val="nil"/>
              <w:bottom w:val="nil"/>
              <w:right w:val="nil"/>
            </w:tcBorders>
            <w:shd w:val="clear" w:color="auto" w:fill="auto"/>
            <w:noWrap/>
            <w:vAlign w:val="bottom"/>
            <w:hideMark/>
          </w:tcPr>
          <w:p w14:paraId="3C72A233" w14:textId="77777777" w:rsidR="00794EB9" w:rsidRPr="00794EB9" w:rsidRDefault="00794EB9" w:rsidP="00C307FB">
            <w:pPr>
              <w:rPr>
                <w:rFonts w:ascii="Arial" w:hAnsi="Arial" w:cs="Arial"/>
                <w:sz w:val="22"/>
                <w:szCs w:val="22"/>
                <w:lang w:eastAsia="es-MX"/>
              </w:rPr>
            </w:pPr>
          </w:p>
        </w:tc>
        <w:tc>
          <w:tcPr>
            <w:tcW w:w="997" w:type="pct"/>
            <w:tcBorders>
              <w:top w:val="nil"/>
              <w:left w:val="nil"/>
              <w:bottom w:val="nil"/>
              <w:right w:val="nil"/>
            </w:tcBorders>
            <w:shd w:val="clear" w:color="auto" w:fill="auto"/>
            <w:noWrap/>
            <w:vAlign w:val="bottom"/>
            <w:hideMark/>
          </w:tcPr>
          <w:p w14:paraId="14C5561F" w14:textId="77777777" w:rsidR="00794EB9" w:rsidRPr="00794EB9" w:rsidRDefault="00794EB9" w:rsidP="00C307FB">
            <w:pPr>
              <w:rPr>
                <w:rFonts w:ascii="Arial" w:hAnsi="Arial" w:cs="Arial"/>
                <w:sz w:val="22"/>
                <w:szCs w:val="22"/>
                <w:lang w:eastAsia="es-MX"/>
              </w:rPr>
            </w:pPr>
          </w:p>
        </w:tc>
      </w:tr>
      <w:tr w:rsidR="00794EB9" w:rsidRPr="00794EB9" w14:paraId="4599FF6E" w14:textId="77777777" w:rsidTr="00C307FB">
        <w:trPr>
          <w:trHeight w:val="315"/>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5EBF6"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Promover estilos de vida y servicios para que las y los leoneses puedan vivir más sanos</w:t>
            </w:r>
          </w:p>
        </w:tc>
      </w:tr>
      <w:tr w:rsidR="00794EB9" w:rsidRPr="00794EB9" w14:paraId="0072FDDC" w14:textId="77777777" w:rsidTr="00C307FB">
        <w:trPr>
          <w:trHeight w:val="300"/>
        </w:trPr>
        <w:tc>
          <w:tcPr>
            <w:tcW w:w="690" w:type="pct"/>
            <w:tcBorders>
              <w:top w:val="nil"/>
              <w:left w:val="nil"/>
              <w:bottom w:val="nil"/>
              <w:right w:val="nil"/>
            </w:tcBorders>
            <w:shd w:val="clear" w:color="auto" w:fill="auto"/>
            <w:noWrap/>
            <w:vAlign w:val="bottom"/>
            <w:hideMark/>
          </w:tcPr>
          <w:p w14:paraId="3FE8E83E" w14:textId="77777777" w:rsidR="00794EB9" w:rsidRPr="00794EB9" w:rsidRDefault="00794EB9" w:rsidP="00C307FB">
            <w:pPr>
              <w:jc w:val="center"/>
              <w:rPr>
                <w:rFonts w:ascii="Arial" w:hAnsi="Arial" w:cs="Arial"/>
                <w:b/>
                <w:bCs/>
                <w:sz w:val="22"/>
                <w:szCs w:val="22"/>
                <w:lang w:eastAsia="es-MX"/>
              </w:rPr>
            </w:pPr>
          </w:p>
        </w:tc>
        <w:tc>
          <w:tcPr>
            <w:tcW w:w="112" w:type="pct"/>
            <w:tcBorders>
              <w:top w:val="nil"/>
              <w:left w:val="nil"/>
              <w:bottom w:val="nil"/>
              <w:right w:val="nil"/>
            </w:tcBorders>
            <w:shd w:val="clear" w:color="auto" w:fill="auto"/>
            <w:noWrap/>
            <w:vAlign w:val="bottom"/>
            <w:hideMark/>
          </w:tcPr>
          <w:p w14:paraId="65225EB9" w14:textId="77777777" w:rsidR="00794EB9" w:rsidRPr="00794EB9" w:rsidRDefault="00794EB9" w:rsidP="00C307FB">
            <w:pPr>
              <w:rPr>
                <w:rFonts w:ascii="Arial" w:hAnsi="Arial" w:cs="Arial"/>
                <w:sz w:val="22"/>
                <w:szCs w:val="22"/>
                <w:lang w:eastAsia="es-MX"/>
              </w:rPr>
            </w:pPr>
          </w:p>
        </w:tc>
        <w:tc>
          <w:tcPr>
            <w:tcW w:w="691" w:type="pct"/>
            <w:tcBorders>
              <w:top w:val="nil"/>
              <w:left w:val="nil"/>
              <w:bottom w:val="nil"/>
              <w:right w:val="nil"/>
            </w:tcBorders>
            <w:shd w:val="clear" w:color="auto" w:fill="auto"/>
            <w:noWrap/>
            <w:vAlign w:val="bottom"/>
            <w:hideMark/>
          </w:tcPr>
          <w:p w14:paraId="7298D4FE" w14:textId="77777777" w:rsidR="00794EB9" w:rsidRPr="00794EB9" w:rsidRDefault="00794EB9" w:rsidP="00C307FB">
            <w:pPr>
              <w:rPr>
                <w:rFonts w:ascii="Arial" w:hAnsi="Arial" w:cs="Arial"/>
                <w:sz w:val="22"/>
                <w:szCs w:val="22"/>
                <w:lang w:eastAsia="es-MX"/>
              </w:rPr>
            </w:pPr>
          </w:p>
        </w:tc>
        <w:tc>
          <w:tcPr>
            <w:tcW w:w="187" w:type="pct"/>
            <w:tcBorders>
              <w:top w:val="nil"/>
              <w:left w:val="nil"/>
              <w:bottom w:val="nil"/>
              <w:right w:val="nil"/>
            </w:tcBorders>
            <w:shd w:val="clear" w:color="auto" w:fill="auto"/>
            <w:noWrap/>
            <w:vAlign w:val="bottom"/>
            <w:hideMark/>
          </w:tcPr>
          <w:p w14:paraId="6C3002CA" w14:textId="77777777" w:rsidR="00794EB9" w:rsidRPr="00794EB9" w:rsidRDefault="00794EB9" w:rsidP="00C307FB">
            <w:pPr>
              <w:rPr>
                <w:rFonts w:ascii="Arial" w:hAnsi="Arial" w:cs="Arial"/>
                <w:sz w:val="22"/>
                <w:szCs w:val="22"/>
                <w:lang w:eastAsia="es-MX"/>
              </w:rPr>
            </w:pPr>
          </w:p>
        </w:tc>
        <w:tc>
          <w:tcPr>
            <w:tcW w:w="933" w:type="pct"/>
            <w:tcBorders>
              <w:top w:val="nil"/>
              <w:left w:val="nil"/>
              <w:bottom w:val="nil"/>
              <w:right w:val="nil"/>
            </w:tcBorders>
            <w:shd w:val="clear" w:color="auto" w:fill="auto"/>
            <w:noWrap/>
            <w:vAlign w:val="bottom"/>
            <w:hideMark/>
          </w:tcPr>
          <w:p w14:paraId="08E7FC97" w14:textId="77777777" w:rsidR="00794EB9" w:rsidRPr="00794EB9" w:rsidRDefault="00794EB9" w:rsidP="00C307FB">
            <w:pPr>
              <w:rPr>
                <w:rFonts w:ascii="Arial" w:hAnsi="Arial" w:cs="Arial"/>
                <w:sz w:val="22"/>
                <w:szCs w:val="22"/>
                <w:lang w:eastAsia="es-MX"/>
              </w:rPr>
            </w:pPr>
          </w:p>
        </w:tc>
        <w:tc>
          <w:tcPr>
            <w:tcW w:w="187" w:type="pct"/>
            <w:tcBorders>
              <w:top w:val="nil"/>
              <w:left w:val="nil"/>
              <w:bottom w:val="nil"/>
              <w:right w:val="nil"/>
            </w:tcBorders>
            <w:shd w:val="clear" w:color="auto" w:fill="auto"/>
            <w:noWrap/>
            <w:vAlign w:val="bottom"/>
            <w:hideMark/>
          </w:tcPr>
          <w:p w14:paraId="46D1F469" w14:textId="77777777" w:rsidR="00794EB9" w:rsidRPr="00794EB9" w:rsidRDefault="00794EB9" w:rsidP="00C307FB">
            <w:pPr>
              <w:rPr>
                <w:rFonts w:ascii="Arial" w:hAnsi="Arial" w:cs="Arial"/>
                <w:sz w:val="22"/>
                <w:szCs w:val="22"/>
                <w:lang w:eastAsia="es-MX"/>
              </w:rPr>
            </w:pPr>
          </w:p>
        </w:tc>
        <w:tc>
          <w:tcPr>
            <w:tcW w:w="998" w:type="pct"/>
            <w:tcBorders>
              <w:top w:val="nil"/>
              <w:left w:val="nil"/>
              <w:bottom w:val="nil"/>
              <w:right w:val="nil"/>
            </w:tcBorders>
            <w:shd w:val="clear" w:color="auto" w:fill="auto"/>
            <w:noWrap/>
            <w:vAlign w:val="bottom"/>
            <w:hideMark/>
          </w:tcPr>
          <w:p w14:paraId="7F9A4BE3" w14:textId="77777777" w:rsidR="00794EB9" w:rsidRPr="00794EB9" w:rsidRDefault="00794EB9" w:rsidP="00C307FB">
            <w:pPr>
              <w:rPr>
                <w:rFonts w:ascii="Arial" w:hAnsi="Arial" w:cs="Arial"/>
                <w:sz w:val="22"/>
                <w:szCs w:val="22"/>
                <w:lang w:eastAsia="es-MX"/>
              </w:rPr>
            </w:pPr>
          </w:p>
        </w:tc>
        <w:tc>
          <w:tcPr>
            <w:tcW w:w="205" w:type="pct"/>
            <w:tcBorders>
              <w:top w:val="nil"/>
              <w:left w:val="nil"/>
              <w:bottom w:val="nil"/>
              <w:right w:val="nil"/>
            </w:tcBorders>
            <w:shd w:val="clear" w:color="auto" w:fill="auto"/>
            <w:noWrap/>
            <w:vAlign w:val="bottom"/>
            <w:hideMark/>
          </w:tcPr>
          <w:p w14:paraId="5D5E4B4F" w14:textId="77777777" w:rsidR="00794EB9" w:rsidRPr="00794EB9" w:rsidRDefault="00794EB9" w:rsidP="00C307FB">
            <w:pPr>
              <w:rPr>
                <w:rFonts w:ascii="Arial" w:hAnsi="Arial" w:cs="Arial"/>
                <w:sz w:val="22"/>
                <w:szCs w:val="22"/>
                <w:lang w:eastAsia="es-MX"/>
              </w:rPr>
            </w:pPr>
          </w:p>
        </w:tc>
        <w:tc>
          <w:tcPr>
            <w:tcW w:w="997" w:type="pct"/>
            <w:tcBorders>
              <w:top w:val="nil"/>
              <w:left w:val="nil"/>
              <w:bottom w:val="nil"/>
              <w:right w:val="nil"/>
            </w:tcBorders>
            <w:shd w:val="clear" w:color="auto" w:fill="auto"/>
            <w:noWrap/>
            <w:vAlign w:val="bottom"/>
            <w:hideMark/>
          </w:tcPr>
          <w:p w14:paraId="057BFBAE" w14:textId="77777777" w:rsidR="00794EB9" w:rsidRPr="00794EB9" w:rsidRDefault="00794EB9" w:rsidP="00C307FB">
            <w:pPr>
              <w:rPr>
                <w:rFonts w:ascii="Arial" w:hAnsi="Arial" w:cs="Arial"/>
                <w:sz w:val="22"/>
                <w:szCs w:val="22"/>
                <w:lang w:eastAsia="es-MX"/>
              </w:rPr>
            </w:pPr>
          </w:p>
        </w:tc>
      </w:tr>
      <w:tr w:rsidR="00794EB9" w:rsidRPr="00794EB9" w14:paraId="147F9CC3" w14:textId="77777777" w:rsidTr="00C307FB">
        <w:trPr>
          <w:trHeight w:val="300"/>
        </w:trPr>
        <w:tc>
          <w:tcPr>
            <w:tcW w:w="1493"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6818483"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León Verde</w:t>
            </w:r>
          </w:p>
        </w:tc>
        <w:tc>
          <w:tcPr>
            <w:tcW w:w="187" w:type="pct"/>
            <w:tcBorders>
              <w:top w:val="nil"/>
              <w:left w:val="nil"/>
              <w:bottom w:val="nil"/>
              <w:right w:val="nil"/>
            </w:tcBorders>
            <w:shd w:val="clear" w:color="auto" w:fill="auto"/>
            <w:noWrap/>
            <w:vAlign w:val="center"/>
            <w:hideMark/>
          </w:tcPr>
          <w:p w14:paraId="41C57A25" w14:textId="77777777" w:rsidR="00794EB9" w:rsidRPr="00794EB9" w:rsidRDefault="00794EB9" w:rsidP="00C307FB">
            <w:pPr>
              <w:jc w:val="center"/>
              <w:rPr>
                <w:rFonts w:ascii="Arial" w:hAnsi="Arial" w:cs="Arial"/>
                <w:b/>
                <w:bCs/>
                <w:sz w:val="22"/>
                <w:szCs w:val="22"/>
                <w:lang w:eastAsia="es-MX"/>
              </w:rPr>
            </w:pP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EBB99A"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León sin hambre</w:t>
            </w:r>
          </w:p>
        </w:tc>
        <w:tc>
          <w:tcPr>
            <w:tcW w:w="187" w:type="pct"/>
            <w:tcBorders>
              <w:top w:val="nil"/>
              <w:left w:val="nil"/>
              <w:bottom w:val="nil"/>
              <w:right w:val="nil"/>
            </w:tcBorders>
            <w:shd w:val="clear" w:color="auto" w:fill="auto"/>
            <w:noWrap/>
            <w:vAlign w:val="center"/>
            <w:hideMark/>
          </w:tcPr>
          <w:p w14:paraId="213C32D2" w14:textId="77777777" w:rsidR="00794EB9" w:rsidRPr="00794EB9" w:rsidRDefault="00794EB9" w:rsidP="00C307FB">
            <w:pPr>
              <w:jc w:val="center"/>
              <w:rPr>
                <w:rFonts w:ascii="Arial" w:hAnsi="Arial" w:cs="Arial"/>
                <w:b/>
                <w:bCs/>
                <w:sz w:val="22"/>
                <w:szCs w:val="22"/>
                <w:lang w:eastAsia="es-MX"/>
              </w:rPr>
            </w:pPr>
          </w:p>
        </w:tc>
        <w:tc>
          <w:tcPr>
            <w:tcW w:w="9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766F05"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León Saludable</w:t>
            </w:r>
          </w:p>
        </w:tc>
        <w:tc>
          <w:tcPr>
            <w:tcW w:w="205" w:type="pct"/>
            <w:tcBorders>
              <w:top w:val="nil"/>
              <w:left w:val="nil"/>
              <w:bottom w:val="nil"/>
              <w:right w:val="nil"/>
            </w:tcBorders>
            <w:shd w:val="clear" w:color="auto" w:fill="auto"/>
            <w:vAlign w:val="center"/>
            <w:hideMark/>
          </w:tcPr>
          <w:p w14:paraId="638DC64A" w14:textId="77777777" w:rsidR="00794EB9" w:rsidRPr="00794EB9" w:rsidRDefault="00794EB9" w:rsidP="00C307FB">
            <w:pPr>
              <w:jc w:val="center"/>
              <w:rPr>
                <w:rFonts w:ascii="Arial" w:hAnsi="Arial" w:cs="Arial"/>
                <w:b/>
                <w:bCs/>
                <w:sz w:val="22"/>
                <w:szCs w:val="22"/>
                <w:lang w:eastAsia="es-MX"/>
              </w:rPr>
            </w:pPr>
          </w:p>
        </w:tc>
        <w:tc>
          <w:tcPr>
            <w:tcW w:w="9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FCFCEB"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León para todos</w:t>
            </w:r>
          </w:p>
        </w:tc>
      </w:tr>
      <w:tr w:rsidR="00794EB9" w:rsidRPr="00794EB9" w14:paraId="49ED24C2" w14:textId="77777777" w:rsidTr="00C307FB">
        <w:trPr>
          <w:trHeight w:val="300"/>
        </w:trPr>
        <w:tc>
          <w:tcPr>
            <w:tcW w:w="690" w:type="pct"/>
            <w:tcBorders>
              <w:top w:val="nil"/>
              <w:left w:val="nil"/>
              <w:bottom w:val="nil"/>
              <w:right w:val="nil"/>
            </w:tcBorders>
            <w:shd w:val="clear" w:color="auto" w:fill="auto"/>
            <w:vAlign w:val="center"/>
            <w:hideMark/>
          </w:tcPr>
          <w:p w14:paraId="7EADB310" w14:textId="77777777" w:rsidR="00794EB9" w:rsidRPr="00794EB9" w:rsidRDefault="00794EB9" w:rsidP="00C307FB">
            <w:pPr>
              <w:jc w:val="center"/>
              <w:rPr>
                <w:rFonts w:ascii="Arial" w:hAnsi="Arial" w:cs="Arial"/>
                <w:b/>
                <w:bCs/>
                <w:sz w:val="22"/>
                <w:szCs w:val="22"/>
                <w:lang w:eastAsia="es-MX"/>
              </w:rPr>
            </w:pPr>
          </w:p>
        </w:tc>
        <w:tc>
          <w:tcPr>
            <w:tcW w:w="112" w:type="pct"/>
            <w:tcBorders>
              <w:top w:val="nil"/>
              <w:left w:val="nil"/>
              <w:bottom w:val="nil"/>
              <w:right w:val="nil"/>
            </w:tcBorders>
            <w:shd w:val="clear" w:color="auto" w:fill="auto"/>
            <w:vAlign w:val="center"/>
            <w:hideMark/>
          </w:tcPr>
          <w:p w14:paraId="68BB5EED" w14:textId="77777777" w:rsidR="00794EB9" w:rsidRPr="00794EB9" w:rsidRDefault="00794EB9" w:rsidP="00C307FB">
            <w:pPr>
              <w:jc w:val="center"/>
              <w:rPr>
                <w:rFonts w:ascii="Arial" w:hAnsi="Arial" w:cs="Arial"/>
                <w:sz w:val="22"/>
                <w:szCs w:val="22"/>
                <w:lang w:eastAsia="es-MX"/>
              </w:rPr>
            </w:pPr>
          </w:p>
        </w:tc>
        <w:tc>
          <w:tcPr>
            <w:tcW w:w="691" w:type="pct"/>
            <w:tcBorders>
              <w:top w:val="nil"/>
              <w:left w:val="nil"/>
              <w:bottom w:val="nil"/>
              <w:right w:val="nil"/>
            </w:tcBorders>
            <w:shd w:val="clear" w:color="auto" w:fill="auto"/>
            <w:vAlign w:val="center"/>
            <w:hideMark/>
          </w:tcPr>
          <w:p w14:paraId="77359C83" w14:textId="77777777" w:rsidR="00794EB9" w:rsidRPr="00794EB9" w:rsidRDefault="00794EB9" w:rsidP="00C307FB">
            <w:pPr>
              <w:jc w:val="center"/>
              <w:rPr>
                <w:rFonts w:ascii="Arial" w:hAnsi="Arial" w:cs="Arial"/>
                <w:sz w:val="22"/>
                <w:szCs w:val="22"/>
                <w:lang w:eastAsia="es-MX"/>
              </w:rPr>
            </w:pPr>
          </w:p>
        </w:tc>
        <w:tc>
          <w:tcPr>
            <w:tcW w:w="187" w:type="pct"/>
            <w:tcBorders>
              <w:top w:val="nil"/>
              <w:left w:val="nil"/>
              <w:bottom w:val="nil"/>
              <w:right w:val="nil"/>
            </w:tcBorders>
            <w:shd w:val="clear" w:color="auto" w:fill="auto"/>
            <w:vAlign w:val="center"/>
            <w:hideMark/>
          </w:tcPr>
          <w:p w14:paraId="5EC23570" w14:textId="77777777" w:rsidR="00794EB9" w:rsidRPr="00794EB9" w:rsidRDefault="00794EB9" w:rsidP="00C307FB">
            <w:pPr>
              <w:jc w:val="center"/>
              <w:rPr>
                <w:rFonts w:ascii="Arial" w:hAnsi="Arial" w:cs="Arial"/>
                <w:sz w:val="22"/>
                <w:szCs w:val="22"/>
                <w:lang w:eastAsia="es-MX"/>
              </w:rPr>
            </w:pPr>
          </w:p>
        </w:tc>
        <w:tc>
          <w:tcPr>
            <w:tcW w:w="933" w:type="pct"/>
            <w:tcBorders>
              <w:top w:val="nil"/>
              <w:left w:val="nil"/>
              <w:bottom w:val="nil"/>
              <w:right w:val="nil"/>
            </w:tcBorders>
            <w:shd w:val="clear" w:color="auto" w:fill="auto"/>
            <w:vAlign w:val="center"/>
            <w:hideMark/>
          </w:tcPr>
          <w:p w14:paraId="5B890099" w14:textId="77777777" w:rsidR="00794EB9" w:rsidRPr="00794EB9" w:rsidRDefault="00794EB9" w:rsidP="00C307FB">
            <w:pPr>
              <w:jc w:val="center"/>
              <w:rPr>
                <w:rFonts w:ascii="Arial" w:hAnsi="Arial" w:cs="Arial"/>
                <w:sz w:val="22"/>
                <w:szCs w:val="22"/>
                <w:lang w:eastAsia="es-MX"/>
              </w:rPr>
            </w:pPr>
          </w:p>
        </w:tc>
        <w:tc>
          <w:tcPr>
            <w:tcW w:w="187" w:type="pct"/>
            <w:tcBorders>
              <w:top w:val="nil"/>
              <w:left w:val="nil"/>
              <w:bottom w:val="nil"/>
              <w:right w:val="nil"/>
            </w:tcBorders>
            <w:shd w:val="clear" w:color="auto" w:fill="auto"/>
            <w:vAlign w:val="center"/>
            <w:hideMark/>
          </w:tcPr>
          <w:p w14:paraId="31E8D18A" w14:textId="77777777" w:rsidR="00794EB9" w:rsidRPr="00794EB9" w:rsidRDefault="00794EB9" w:rsidP="00C307FB">
            <w:pPr>
              <w:jc w:val="center"/>
              <w:rPr>
                <w:rFonts w:ascii="Arial" w:hAnsi="Arial" w:cs="Arial"/>
                <w:sz w:val="22"/>
                <w:szCs w:val="22"/>
                <w:lang w:eastAsia="es-MX"/>
              </w:rPr>
            </w:pPr>
          </w:p>
        </w:tc>
        <w:tc>
          <w:tcPr>
            <w:tcW w:w="998" w:type="pct"/>
            <w:tcBorders>
              <w:top w:val="nil"/>
              <w:left w:val="nil"/>
              <w:bottom w:val="nil"/>
              <w:right w:val="nil"/>
            </w:tcBorders>
            <w:shd w:val="clear" w:color="auto" w:fill="auto"/>
            <w:vAlign w:val="center"/>
            <w:hideMark/>
          </w:tcPr>
          <w:p w14:paraId="4BBB5A72" w14:textId="77777777" w:rsidR="00794EB9" w:rsidRPr="00794EB9" w:rsidRDefault="00794EB9" w:rsidP="00C307FB">
            <w:pPr>
              <w:jc w:val="center"/>
              <w:rPr>
                <w:rFonts w:ascii="Arial" w:hAnsi="Arial" w:cs="Arial"/>
                <w:sz w:val="22"/>
                <w:szCs w:val="22"/>
                <w:lang w:eastAsia="es-MX"/>
              </w:rPr>
            </w:pPr>
          </w:p>
        </w:tc>
        <w:tc>
          <w:tcPr>
            <w:tcW w:w="205" w:type="pct"/>
            <w:tcBorders>
              <w:top w:val="nil"/>
              <w:left w:val="nil"/>
              <w:bottom w:val="nil"/>
              <w:right w:val="nil"/>
            </w:tcBorders>
            <w:shd w:val="clear" w:color="auto" w:fill="auto"/>
            <w:vAlign w:val="center"/>
            <w:hideMark/>
          </w:tcPr>
          <w:p w14:paraId="6D89B3E8" w14:textId="77777777" w:rsidR="00794EB9" w:rsidRPr="00794EB9" w:rsidRDefault="00794EB9" w:rsidP="00C307FB">
            <w:pPr>
              <w:jc w:val="center"/>
              <w:rPr>
                <w:rFonts w:ascii="Arial" w:hAnsi="Arial" w:cs="Arial"/>
                <w:sz w:val="22"/>
                <w:szCs w:val="22"/>
                <w:lang w:eastAsia="es-MX"/>
              </w:rPr>
            </w:pPr>
          </w:p>
        </w:tc>
        <w:tc>
          <w:tcPr>
            <w:tcW w:w="997" w:type="pct"/>
            <w:tcBorders>
              <w:top w:val="nil"/>
              <w:left w:val="nil"/>
              <w:bottom w:val="nil"/>
              <w:right w:val="nil"/>
            </w:tcBorders>
            <w:shd w:val="clear" w:color="auto" w:fill="auto"/>
            <w:vAlign w:val="center"/>
            <w:hideMark/>
          </w:tcPr>
          <w:p w14:paraId="56C7CC15" w14:textId="77777777" w:rsidR="00794EB9" w:rsidRPr="00794EB9" w:rsidRDefault="00794EB9" w:rsidP="00C307FB">
            <w:pPr>
              <w:jc w:val="center"/>
              <w:rPr>
                <w:rFonts w:ascii="Arial" w:hAnsi="Arial" w:cs="Arial"/>
                <w:sz w:val="22"/>
                <w:szCs w:val="22"/>
                <w:lang w:eastAsia="es-MX"/>
              </w:rPr>
            </w:pPr>
          </w:p>
        </w:tc>
      </w:tr>
      <w:tr w:rsidR="00794EB9" w:rsidRPr="00794EB9" w14:paraId="4899C211" w14:textId="77777777" w:rsidTr="00C307FB">
        <w:trPr>
          <w:trHeight w:val="1575"/>
        </w:trPr>
        <w:tc>
          <w:tcPr>
            <w:tcW w:w="6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A80C3B"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Amigos del Planeta</w:t>
            </w:r>
          </w:p>
        </w:tc>
        <w:tc>
          <w:tcPr>
            <w:tcW w:w="112" w:type="pct"/>
            <w:tcBorders>
              <w:top w:val="nil"/>
              <w:left w:val="nil"/>
              <w:bottom w:val="nil"/>
              <w:right w:val="nil"/>
            </w:tcBorders>
            <w:shd w:val="clear" w:color="auto" w:fill="auto"/>
            <w:vAlign w:val="center"/>
            <w:hideMark/>
          </w:tcPr>
          <w:p w14:paraId="2EEA0089" w14:textId="77777777" w:rsidR="00794EB9" w:rsidRPr="00794EB9" w:rsidRDefault="00794EB9" w:rsidP="00C307FB">
            <w:pPr>
              <w:jc w:val="center"/>
              <w:rPr>
                <w:rFonts w:ascii="Arial" w:hAnsi="Arial" w:cs="Arial"/>
                <w:b/>
                <w:bCs/>
                <w:sz w:val="22"/>
                <w:szCs w:val="22"/>
                <w:lang w:eastAsia="es-MX"/>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235E16"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León protector de mascotas y animales en riesgo</w:t>
            </w:r>
          </w:p>
        </w:tc>
        <w:tc>
          <w:tcPr>
            <w:tcW w:w="187" w:type="pct"/>
            <w:tcBorders>
              <w:top w:val="nil"/>
              <w:left w:val="nil"/>
              <w:bottom w:val="nil"/>
              <w:right w:val="nil"/>
            </w:tcBorders>
            <w:shd w:val="clear" w:color="auto" w:fill="auto"/>
            <w:vAlign w:val="center"/>
            <w:hideMark/>
          </w:tcPr>
          <w:p w14:paraId="01DD556D" w14:textId="77777777" w:rsidR="00794EB9" w:rsidRPr="00794EB9" w:rsidRDefault="00794EB9" w:rsidP="00C307FB">
            <w:pPr>
              <w:jc w:val="center"/>
              <w:rPr>
                <w:rFonts w:ascii="Arial" w:hAnsi="Arial" w:cs="Arial"/>
                <w:b/>
                <w:bCs/>
                <w:sz w:val="22"/>
                <w:szCs w:val="22"/>
                <w:lang w:eastAsia="es-MX"/>
              </w:rPr>
            </w:pP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22EB80"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Comedores comunitarios</w:t>
            </w:r>
          </w:p>
        </w:tc>
        <w:tc>
          <w:tcPr>
            <w:tcW w:w="187" w:type="pct"/>
            <w:tcBorders>
              <w:top w:val="nil"/>
              <w:left w:val="nil"/>
              <w:bottom w:val="nil"/>
              <w:right w:val="nil"/>
            </w:tcBorders>
            <w:shd w:val="clear" w:color="auto" w:fill="auto"/>
            <w:vAlign w:val="center"/>
            <w:hideMark/>
          </w:tcPr>
          <w:p w14:paraId="0DB14A1F" w14:textId="77777777" w:rsidR="00794EB9" w:rsidRPr="00794EB9" w:rsidRDefault="00794EB9" w:rsidP="00C307FB">
            <w:pPr>
              <w:jc w:val="center"/>
              <w:rPr>
                <w:rFonts w:ascii="Arial" w:hAnsi="Arial" w:cs="Arial"/>
                <w:b/>
                <w:bCs/>
                <w:sz w:val="22"/>
                <w:szCs w:val="22"/>
                <w:lang w:eastAsia="es-MX"/>
              </w:rPr>
            </w:pPr>
          </w:p>
        </w:tc>
        <w:tc>
          <w:tcPr>
            <w:tcW w:w="9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754FB7"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Médico en tu casa</w:t>
            </w:r>
          </w:p>
        </w:tc>
        <w:tc>
          <w:tcPr>
            <w:tcW w:w="205" w:type="pct"/>
            <w:tcBorders>
              <w:top w:val="nil"/>
              <w:left w:val="nil"/>
              <w:bottom w:val="nil"/>
              <w:right w:val="nil"/>
            </w:tcBorders>
            <w:shd w:val="clear" w:color="auto" w:fill="auto"/>
            <w:vAlign w:val="center"/>
            <w:hideMark/>
          </w:tcPr>
          <w:p w14:paraId="6080121E" w14:textId="77777777" w:rsidR="00794EB9" w:rsidRPr="00794EB9" w:rsidRDefault="00794EB9" w:rsidP="00C307FB">
            <w:pPr>
              <w:jc w:val="center"/>
              <w:rPr>
                <w:rFonts w:ascii="Arial" w:hAnsi="Arial" w:cs="Arial"/>
                <w:b/>
                <w:bCs/>
                <w:sz w:val="22"/>
                <w:szCs w:val="22"/>
                <w:lang w:eastAsia="es-MX"/>
              </w:rPr>
            </w:pPr>
          </w:p>
        </w:tc>
        <w:tc>
          <w:tcPr>
            <w:tcW w:w="9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4405A8"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Modelo de casas de transición para mujeres víctimas de la violencia</w:t>
            </w:r>
          </w:p>
        </w:tc>
      </w:tr>
      <w:tr w:rsidR="00794EB9" w:rsidRPr="00794EB9" w14:paraId="2CC415AC" w14:textId="77777777" w:rsidTr="00C307FB">
        <w:trPr>
          <w:trHeight w:val="300"/>
        </w:trPr>
        <w:tc>
          <w:tcPr>
            <w:tcW w:w="690" w:type="pct"/>
            <w:tcBorders>
              <w:top w:val="nil"/>
              <w:left w:val="nil"/>
              <w:bottom w:val="nil"/>
              <w:right w:val="nil"/>
            </w:tcBorders>
            <w:shd w:val="clear" w:color="auto" w:fill="auto"/>
            <w:vAlign w:val="center"/>
            <w:hideMark/>
          </w:tcPr>
          <w:p w14:paraId="4DB6DD51" w14:textId="77777777" w:rsidR="00794EB9" w:rsidRPr="00794EB9" w:rsidRDefault="00794EB9" w:rsidP="00C307FB">
            <w:pPr>
              <w:jc w:val="center"/>
              <w:rPr>
                <w:rFonts w:ascii="Arial" w:hAnsi="Arial" w:cs="Arial"/>
                <w:b/>
                <w:bCs/>
                <w:sz w:val="22"/>
                <w:szCs w:val="22"/>
                <w:lang w:eastAsia="es-MX"/>
              </w:rPr>
            </w:pPr>
          </w:p>
        </w:tc>
        <w:tc>
          <w:tcPr>
            <w:tcW w:w="112" w:type="pct"/>
            <w:tcBorders>
              <w:top w:val="nil"/>
              <w:left w:val="nil"/>
              <w:bottom w:val="nil"/>
              <w:right w:val="nil"/>
            </w:tcBorders>
            <w:shd w:val="clear" w:color="auto" w:fill="auto"/>
            <w:vAlign w:val="center"/>
            <w:hideMark/>
          </w:tcPr>
          <w:p w14:paraId="7B554FC7" w14:textId="77777777" w:rsidR="00794EB9" w:rsidRPr="00794EB9" w:rsidRDefault="00794EB9" w:rsidP="00C307FB">
            <w:pPr>
              <w:jc w:val="center"/>
              <w:rPr>
                <w:rFonts w:ascii="Arial" w:hAnsi="Arial" w:cs="Arial"/>
                <w:sz w:val="22"/>
                <w:szCs w:val="22"/>
                <w:lang w:eastAsia="es-MX"/>
              </w:rPr>
            </w:pPr>
          </w:p>
        </w:tc>
        <w:tc>
          <w:tcPr>
            <w:tcW w:w="691" w:type="pct"/>
            <w:tcBorders>
              <w:top w:val="nil"/>
              <w:left w:val="nil"/>
              <w:bottom w:val="nil"/>
              <w:right w:val="nil"/>
            </w:tcBorders>
            <w:shd w:val="clear" w:color="auto" w:fill="auto"/>
            <w:vAlign w:val="center"/>
            <w:hideMark/>
          </w:tcPr>
          <w:p w14:paraId="12E27FF4" w14:textId="77777777" w:rsidR="00794EB9" w:rsidRPr="00794EB9" w:rsidRDefault="00794EB9" w:rsidP="00C307FB">
            <w:pPr>
              <w:jc w:val="center"/>
              <w:rPr>
                <w:rFonts w:ascii="Arial" w:hAnsi="Arial" w:cs="Arial"/>
                <w:sz w:val="22"/>
                <w:szCs w:val="22"/>
                <w:lang w:eastAsia="es-MX"/>
              </w:rPr>
            </w:pPr>
          </w:p>
        </w:tc>
        <w:tc>
          <w:tcPr>
            <w:tcW w:w="187" w:type="pct"/>
            <w:tcBorders>
              <w:top w:val="nil"/>
              <w:left w:val="nil"/>
              <w:bottom w:val="nil"/>
              <w:right w:val="nil"/>
            </w:tcBorders>
            <w:shd w:val="clear" w:color="auto" w:fill="auto"/>
            <w:vAlign w:val="center"/>
            <w:hideMark/>
          </w:tcPr>
          <w:p w14:paraId="16537475" w14:textId="77777777" w:rsidR="00794EB9" w:rsidRPr="00794EB9" w:rsidRDefault="00794EB9" w:rsidP="00C307FB">
            <w:pPr>
              <w:jc w:val="center"/>
              <w:rPr>
                <w:rFonts w:ascii="Arial" w:hAnsi="Arial" w:cs="Arial"/>
                <w:sz w:val="22"/>
                <w:szCs w:val="22"/>
                <w:lang w:eastAsia="es-MX"/>
              </w:rPr>
            </w:pPr>
          </w:p>
        </w:tc>
        <w:tc>
          <w:tcPr>
            <w:tcW w:w="933" w:type="pct"/>
            <w:tcBorders>
              <w:top w:val="nil"/>
              <w:left w:val="nil"/>
              <w:bottom w:val="nil"/>
              <w:right w:val="nil"/>
            </w:tcBorders>
            <w:shd w:val="clear" w:color="auto" w:fill="auto"/>
            <w:vAlign w:val="center"/>
            <w:hideMark/>
          </w:tcPr>
          <w:p w14:paraId="1AA7648E" w14:textId="77777777" w:rsidR="00794EB9" w:rsidRPr="00794EB9" w:rsidRDefault="00794EB9" w:rsidP="00C307FB">
            <w:pPr>
              <w:jc w:val="center"/>
              <w:rPr>
                <w:rFonts w:ascii="Arial" w:hAnsi="Arial" w:cs="Arial"/>
                <w:sz w:val="22"/>
                <w:szCs w:val="22"/>
                <w:lang w:eastAsia="es-MX"/>
              </w:rPr>
            </w:pPr>
          </w:p>
        </w:tc>
        <w:tc>
          <w:tcPr>
            <w:tcW w:w="187" w:type="pct"/>
            <w:tcBorders>
              <w:top w:val="nil"/>
              <w:left w:val="nil"/>
              <w:bottom w:val="nil"/>
              <w:right w:val="nil"/>
            </w:tcBorders>
            <w:shd w:val="clear" w:color="auto" w:fill="auto"/>
            <w:vAlign w:val="center"/>
            <w:hideMark/>
          </w:tcPr>
          <w:p w14:paraId="22C949F8" w14:textId="77777777" w:rsidR="00794EB9" w:rsidRPr="00794EB9" w:rsidRDefault="00794EB9" w:rsidP="00C307FB">
            <w:pPr>
              <w:jc w:val="center"/>
              <w:rPr>
                <w:rFonts w:ascii="Arial" w:hAnsi="Arial" w:cs="Arial"/>
                <w:sz w:val="22"/>
                <w:szCs w:val="22"/>
                <w:lang w:eastAsia="es-MX"/>
              </w:rPr>
            </w:pPr>
          </w:p>
        </w:tc>
        <w:tc>
          <w:tcPr>
            <w:tcW w:w="998" w:type="pct"/>
            <w:tcBorders>
              <w:top w:val="nil"/>
              <w:left w:val="nil"/>
              <w:bottom w:val="nil"/>
              <w:right w:val="nil"/>
            </w:tcBorders>
            <w:shd w:val="clear" w:color="auto" w:fill="auto"/>
            <w:vAlign w:val="center"/>
            <w:hideMark/>
          </w:tcPr>
          <w:p w14:paraId="1F277348" w14:textId="77777777" w:rsidR="00794EB9" w:rsidRPr="00794EB9" w:rsidRDefault="00794EB9" w:rsidP="00C307FB">
            <w:pPr>
              <w:jc w:val="center"/>
              <w:rPr>
                <w:rFonts w:ascii="Arial" w:hAnsi="Arial" w:cs="Arial"/>
                <w:sz w:val="22"/>
                <w:szCs w:val="22"/>
                <w:lang w:eastAsia="es-MX"/>
              </w:rPr>
            </w:pPr>
          </w:p>
        </w:tc>
        <w:tc>
          <w:tcPr>
            <w:tcW w:w="205" w:type="pct"/>
            <w:tcBorders>
              <w:top w:val="nil"/>
              <w:left w:val="nil"/>
              <w:bottom w:val="nil"/>
              <w:right w:val="nil"/>
            </w:tcBorders>
            <w:shd w:val="clear" w:color="auto" w:fill="auto"/>
            <w:vAlign w:val="center"/>
            <w:hideMark/>
          </w:tcPr>
          <w:p w14:paraId="477E4FDF" w14:textId="77777777" w:rsidR="00794EB9" w:rsidRPr="00794EB9" w:rsidRDefault="00794EB9" w:rsidP="00C307FB">
            <w:pPr>
              <w:jc w:val="center"/>
              <w:rPr>
                <w:rFonts w:ascii="Arial" w:hAnsi="Arial" w:cs="Arial"/>
                <w:sz w:val="22"/>
                <w:szCs w:val="22"/>
                <w:lang w:eastAsia="es-MX"/>
              </w:rPr>
            </w:pPr>
          </w:p>
        </w:tc>
        <w:tc>
          <w:tcPr>
            <w:tcW w:w="997" w:type="pct"/>
            <w:tcBorders>
              <w:top w:val="nil"/>
              <w:left w:val="nil"/>
              <w:bottom w:val="nil"/>
              <w:right w:val="nil"/>
            </w:tcBorders>
            <w:shd w:val="clear" w:color="auto" w:fill="auto"/>
            <w:vAlign w:val="center"/>
            <w:hideMark/>
          </w:tcPr>
          <w:p w14:paraId="53CAF920" w14:textId="77777777" w:rsidR="00794EB9" w:rsidRPr="00794EB9" w:rsidRDefault="00794EB9" w:rsidP="00C307FB">
            <w:pPr>
              <w:jc w:val="center"/>
              <w:rPr>
                <w:rFonts w:ascii="Arial" w:hAnsi="Arial" w:cs="Arial"/>
                <w:sz w:val="22"/>
                <w:szCs w:val="22"/>
                <w:lang w:eastAsia="es-MX"/>
              </w:rPr>
            </w:pPr>
          </w:p>
        </w:tc>
      </w:tr>
      <w:tr w:rsidR="00794EB9" w:rsidRPr="00794EB9" w14:paraId="2412872D" w14:textId="77777777" w:rsidTr="00C307FB">
        <w:trPr>
          <w:trHeight w:val="1020"/>
        </w:trPr>
        <w:tc>
          <w:tcPr>
            <w:tcW w:w="6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80212D"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lastRenderedPageBreak/>
              <w:t>Nuevo Parque Metropolitano</w:t>
            </w:r>
          </w:p>
        </w:tc>
        <w:tc>
          <w:tcPr>
            <w:tcW w:w="112" w:type="pct"/>
            <w:tcBorders>
              <w:top w:val="nil"/>
              <w:left w:val="nil"/>
              <w:bottom w:val="nil"/>
              <w:right w:val="nil"/>
            </w:tcBorders>
            <w:shd w:val="clear" w:color="auto" w:fill="auto"/>
            <w:vAlign w:val="center"/>
            <w:hideMark/>
          </w:tcPr>
          <w:p w14:paraId="4385B64E" w14:textId="77777777" w:rsidR="00794EB9" w:rsidRPr="00794EB9" w:rsidRDefault="00794EB9" w:rsidP="00C307FB">
            <w:pPr>
              <w:jc w:val="center"/>
              <w:rPr>
                <w:rFonts w:ascii="Arial" w:hAnsi="Arial" w:cs="Arial"/>
                <w:b/>
                <w:bCs/>
                <w:sz w:val="22"/>
                <w:szCs w:val="22"/>
                <w:lang w:eastAsia="es-MX"/>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AFAB05"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León siempre limpio</w:t>
            </w:r>
          </w:p>
        </w:tc>
        <w:tc>
          <w:tcPr>
            <w:tcW w:w="187" w:type="pct"/>
            <w:tcBorders>
              <w:top w:val="nil"/>
              <w:left w:val="nil"/>
              <w:bottom w:val="nil"/>
              <w:right w:val="nil"/>
            </w:tcBorders>
            <w:shd w:val="clear" w:color="auto" w:fill="auto"/>
            <w:vAlign w:val="center"/>
            <w:hideMark/>
          </w:tcPr>
          <w:p w14:paraId="1D40D31C" w14:textId="77777777" w:rsidR="00794EB9" w:rsidRPr="00794EB9" w:rsidRDefault="00794EB9" w:rsidP="00C307FB">
            <w:pPr>
              <w:jc w:val="center"/>
              <w:rPr>
                <w:rFonts w:ascii="Arial" w:hAnsi="Arial" w:cs="Arial"/>
                <w:b/>
                <w:bCs/>
                <w:sz w:val="22"/>
                <w:szCs w:val="22"/>
                <w:lang w:eastAsia="es-MX"/>
              </w:rPr>
            </w:pP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EF890D"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Alianzas por un León sin hambre</w:t>
            </w:r>
          </w:p>
        </w:tc>
        <w:tc>
          <w:tcPr>
            <w:tcW w:w="187" w:type="pct"/>
            <w:tcBorders>
              <w:top w:val="nil"/>
              <w:left w:val="nil"/>
              <w:bottom w:val="nil"/>
              <w:right w:val="nil"/>
            </w:tcBorders>
            <w:shd w:val="clear" w:color="auto" w:fill="auto"/>
            <w:vAlign w:val="center"/>
            <w:hideMark/>
          </w:tcPr>
          <w:p w14:paraId="3269942F" w14:textId="77777777" w:rsidR="00794EB9" w:rsidRPr="00794EB9" w:rsidRDefault="00794EB9" w:rsidP="00C307FB">
            <w:pPr>
              <w:jc w:val="center"/>
              <w:rPr>
                <w:rFonts w:ascii="Arial" w:hAnsi="Arial" w:cs="Arial"/>
                <w:b/>
                <w:bCs/>
                <w:sz w:val="22"/>
                <w:szCs w:val="22"/>
                <w:lang w:eastAsia="es-MX"/>
              </w:rPr>
            </w:pPr>
          </w:p>
        </w:tc>
        <w:tc>
          <w:tcPr>
            <w:tcW w:w="9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66AE76"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Apoyos para la salud familiar</w:t>
            </w:r>
          </w:p>
        </w:tc>
        <w:tc>
          <w:tcPr>
            <w:tcW w:w="205" w:type="pct"/>
            <w:tcBorders>
              <w:top w:val="nil"/>
              <w:left w:val="nil"/>
              <w:bottom w:val="nil"/>
              <w:right w:val="nil"/>
            </w:tcBorders>
            <w:shd w:val="clear" w:color="auto" w:fill="auto"/>
            <w:vAlign w:val="center"/>
            <w:hideMark/>
          </w:tcPr>
          <w:p w14:paraId="593FA11C" w14:textId="77777777" w:rsidR="00794EB9" w:rsidRPr="00794EB9" w:rsidRDefault="00794EB9" w:rsidP="00C307FB">
            <w:pPr>
              <w:jc w:val="center"/>
              <w:rPr>
                <w:rFonts w:ascii="Arial" w:hAnsi="Arial" w:cs="Arial"/>
                <w:b/>
                <w:bCs/>
                <w:sz w:val="22"/>
                <w:szCs w:val="22"/>
                <w:lang w:eastAsia="es-MX"/>
              </w:rPr>
            </w:pPr>
          </w:p>
        </w:tc>
        <w:tc>
          <w:tcPr>
            <w:tcW w:w="9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148A82"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Red de espacios seguros para mujeres en situación de riesgo</w:t>
            </w:r>
          </w:p>
        </w:tc>
      </w:tr>
      <w:tr w:rsidR="00794EB9" w:rsidRPr="00794EB9" w14:paraId="5249F6ED" w14:textId="77777777" w:rsidTr="00C307FB">
        <w:trPr>
          <w:trHeight w:val="300"/>
        </w:trPr>
        <w:tc>
          <w:tcPr>
            <w:tcW w:w="690" w:type="pct"/>
            <w:tcBorders>
              <w:top w:val="nil"/>
              <w:left w:val="nil"/>
              <w:bottom w:val="nil"/>
              <w:right w:val="nil"/>
            </w:tcBorders>
            <w:shd w:val="clear" w:color="auto" w:fill="auto"/>
            <w:vAlign w:val="center"/>
            <w:hideMark/>
          </w:tcPr>
          <w:p w14:paraId="75D89D31" w14:textId="77777777" w:rsidR="00794EB9" w:rsidRPr="00794EB9" w:rsidRDefault="00794EB9" w:rsidP="00C307FB">
            <w:pPr>
              <w:jc w:val="center"/>
              <w:rPr>
                <w:rFonts w:ascii="Arial" w:hAnsi="Arial" w:cs="Arial"/>
                <w:b/>
                <w:bCs/>
                <w:sz w:val="22"/>
                <w:szCs w:val="22"/>
                <w:lang w:eastAsia="es-MX"/>
              </w:rPr>
            </w:pPr>
          </w:p>
        </w:tc>
        <w:tc>
          <w:tcPr>
            <w:tcW w:w="112" w:type="pct"/>
            <w:tcBorders>
              <w:top w:val="nil"/>
              <w:left w:val="nil"/>
              <w:bottom w:val="nil"/>
              <w:right w:val="nil"/>
            </w:tcBorders>
            <w:shd w:val="clear" w:color="auto" w:fill="auto"/>
            <w:vAlign w:val="center"/>
            <w:hideMark/>
          </w:tcPr>
          <w:p w14:paraId="12134475" w14:textId="77777777" w:rsidR="00794EB9" w:rsidRPr="00794EB9" w:rsidRDefault="00794EB9" w:rsidP="00C307FB">
            <w:pPr>
              <w:jc w:val="center"/>
              <w:rPr>
                <w:rFonts w:ascii="Arial" w:hAnsi="Arial" w:cs="Arial"/>
                <w:sz w:val="22"/>
                <w:szCs w:val="22"/>
                <w:lang w:eastAsia="es-MX"/>
              </w:rPr>
            </w:pPr>
          </w:p>
        </w:tc>
        <w:tc>
          <w:tcPr>
            <w:tcW w:w="691" w:type="pct"/>
            <w:tcBorders>
              <w:top w:val="nil"/>
              <w:left w:val="nil"/>
              <w:bottom w:val="nil"/>
              <w:right w:val="nil"/>
            </w:tcBorders>
            <w:shd w:val="clear" w:color="auto" w:fill="auto"/>
            <w:vAlign w:val="center"/>
            <w:hideMark/>
          </w:tcPr>
          <w:p w14:paraId="08360676" w14:textId="77777777" w:rsidR="00794EB9" w:rsidRPr="00794EB9" w:rsidRDefault="00794EB9" w:rsidP="00C307FB">
            <w:pPr>
              <w:jc w:val="center"/>
              <w:rPr>
                <w:rFonts w:ascii="Arial" w:hAnsi="Arial" w:cs="Arial"/>
                <w:sz w:val="22"/>
                <w:szCs w:val="22"/>
                <w:lang w:eastAsia="es-MX"/>
              </w:rPr>
            </w:pPr>
          </w:p>
        </w:tc>
        <w:tc>
          <w:tcPr>
            <w:tcW w:w="187" w:type="pct"/>
            <w:tcBorders>
              <w:top w:val="nil"/>
              <w:left w:val="nil"/>
              <w:bottom w:val="nil"/>
              <w:right w:val="nil"/>
            </w:tcBorders>
            <w:shd w:val="clear" w:color="auto" w:fill="auto"/>
            <w:vAlign w:val="center"/>
            <w:hideMark/>
          </w:tcPr>
          <w:p w14:paraId="1BA29B0F" w14:textId="77777777" w:rsidR="00794EB9" w:rsidRPr="00794EB9" w:rsidRDefault="00794EB9" w:rsidP="00C307FB">
            <w:pPr>
              <w:jc w:val="center"/>
              <w:rPr>
                <w:rFonts w:ascii="Arial" w:hAnsi="Arial" w:cs="Arial"/>
                <w:sz w:val="22"/>
                <w:szCs w:val="22"/>
                <w:lang w:eastAsia="es-MX"/>
              </w:rPr>
            </w:pPr>
          </w:p>
        </w:tc>
        <w:tc>
          <w:tcPr>
            <w:tcW w:w="933" w:type="pct"/>
            <w:tcBorders>
              <w:top w:val="nil"/>
              <w:left w:val="nil"/>
              <w:bottom w:val="nil"/>
              <w:right w:val="nil"/>
            </w:tcBorders>
            <w:shd w:val="clear" w:color="auto" w:fill="auto"/>
            <w:vAlign w:val="center"/>
            <w:hideMark/>
          </w:tcPr>
          <w:p w14:paraId="48235F26" w14:textId="77777777" w:rsidR="00794EB9" w:rsidRPr="00794EB9" w:rsidRDefault="00794EB9" w:rsidP="00C307FB">
            <w:pPr>
              <w:jc w:val="center"/>
              <w:rPr>
                <w:rFonts w:ascii="Arial" w:hAnsi="Arial" w:cs="Arial"/>
                <w:sz w:val="22"/>
                <w:szCs w:val="22"/>
                <w:lang w:eastAsia="es-MX"/>
              </w:rPr>
            </w:pPr>
          </w:p>
        </w:tc>
        <w:tc>
          <w:tcPr>
            <w:tcW w:w="187" w:type="pct"/>
            <w:tcBorders>
              <w:top w:val="nil"/>
              <w:left w:val="nil"/>
              <w:bottom w:val="nil"/>
              <w:right w:val="nil"/>
            </w:tcBorders>
            <w:shd w:val="clear" w:color="auto" w:fill="auto"/>
            <w:vAlign w:val="center"/>
            <w:hideMark/>
          </w:tcPr>
          <w:p w14:paraId="10060056" w14:textId="77777777" w:rsidR="00794EB9" w:rsidRPr="00794EB9" w:rsidRDefault="00794EB9" w:rsidP="00C307FB">
            <w:pPr>
              <w:jc w:val="center"/>
              <w:rPr>
                <w:rFonts w:ascii="Arial" w:hAnsi="Arial" w:cs="Arial"/>
                <w:sz w:val="22"/>
                <w:szCs w:val="22"/>
                <w:lang w:eastAsia="es-MX"/>
              </w:rPr>
            </w:pPr>
          </w:p>
        </w:tc>
        <w:tc>
          <w:tcPr>
            <w:tcW w:w="998" w:type="pct"/>
            <w:tcBorders>
              <w:top w:val="nil"/>
              <w:left w:val="nil"/>
              <w:bottom w:val="nil"/>
              <w:right w:val="nil"/>
            </w:tcBorders>
            <w:shd w:val="clear" w:color="auto" w:fill="auto"/>
            <w:vAlign w:val="center"/>
            <w:hideMark/>
          </w:tcPr>
          <w:p w14:paraId="51479A50" w14:textId="77777777" w:rsidR="00794EB9" w:rsidRPr="00794EB9" w:rsidRDefault="00794EB9" w:rsidP="00C307FB">
            <w:pPr>
              <w:jc w:val="center"/>
              <w:rPr>
                <w:rFonts w:ascii="Arial" w:hAnsi="Arial" w:cs="Arial"/>
                <w:sz w:val="22"/>
                <w:szCs w:val="22"/>
                <w:lang w:eastAsia="es-MX"/>
              </w:rPr>
            </w:pPr>
          </w:p>
        </w:tc>
        <w:tc>
          <w:tcPr>
            <w:tcW w:w="205" w:type="pct"/>
            <w:tcBorders>
              <w:top w:val="nil"/>
              <w:left w:val="nil"/>
              <w:bottom w:val="nil"/>
              <w:right w:val="nil"/>
            </w:tcBorders>
            <w:shd w:val="clear" w:color="auto" w:fill="auto"/>
            <w:vAlign w:val="center"/>
            <w:hideMark/>
          </w:tcPr>
          <w:p w14:paraId="42F7DC4F" w14:textId="77777777" w:rsidR="00794EB9" w:rsidRPr="00794EB9" w:rsidRDefault="00794EB9" w:rsidP="00C307FB">
            <w:pPr>
              <w:jc w:val="center"/>
              <w:rPr>
                <w:rFonts w:ascii="Arial" w:hAnsi="Arial" w:cs="Arial"/>
                <w:sz w:val="22"/>
                <w:szCs w:val="22"/>
                <w:lang w:eastAsia="es-MX"/>
              </w:rPr>
            </w:pPr>
          </w:p>
        </w:tc>
        <w:tc>
          <w:tcPr>
            <w:tcW w:w="997" w:type="pct"/>
            <w:tcBorders>
              <w:top w:val="nil"/>
              <w:left w:val="nil"/>
              <w:bottom w:val="nil"/>
              <w:right w:val="nil"/>
            </w:tcBorders>
            <w:shd w:val="clear" w:color="auto" w:fill="auto"/>
            <w:vAlign w:val="center"/>
            <w:hideMark/>
          </w:tcPr>
          <w:p w14:paraId="39CB9618" w14:textId="77777777" w:rsidR="00794EB9" w:rsidRPr="00794EB9" w:rsidRDefault="00794EB9" w:rsidP="00C307FB">
            <w:pPr>
              <w:jc w:val="center"/>
              <w:rPr>
                <w:rFonts w:ascii="Arial" w:hAnsi="Arial" w:cs="Arial"/>
                <w:sz w:val="22"/>
                <w:szCs w:val="22"/>
                <w:lang w:eastAsia="es-MX"/>
              </w:rPr>
            </w:pPr>
          </w:p>
        </w:tc>
      </w:tr>
      <w:tr w:rsidR="00794EB9" w:rsidRPr="00794EB9" w14:paraId="63FB8842" w14:textId="77777777" w:rsidTr="00C307FB">
        <w:trPr>
          <w:trHeight w:val="1590"/>
        </w:trPr>
        <w:tc>
          <w:tcPr>
            <w:tcW w:w="6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92C4A0"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Red de Parques Urbanos y Áreas Naturales</w:t>
            </w:r>
          </w:p>
        </w:tc>
        <w:tc>
          <w:tcPr>
            <w:tcW w:w="112" w:type="pct"/>
            <w:tcBorders>
              <w:top w:val="nil"/>
              <w:left w:val="nil"/>
              <w:bottom w:val="nil"/>
              <w:right w:val="nil"/>
            </w:tcBorders>
            <w:shd w:val="clear" w:color="auto" w:fill="auto"/>
            <w:vAlign w:val="center"/>
            <w:hideMark/>
          </w:tcPr>
          <w:p w14:paraId="6B8E28DB" w14:textId="77777777" w:rsidR="00794EB9" w:rsidRPr="00794EB9" w:rsidRDefault="00794EB9" w:rsidP="00C307FB">
            <w:pPr>
              <w:jc w:val="center"/>
              <w:rPr>
                <w:rFonts w:ascii="Arial" w:hAnsi="Arial" w:cs="Arial"/>
                <w:b/>
                <w:bCs/>
                <w:sz w:val="22"/>
                <w:szCs w:val="22"/>
                <w:lang w:eastAsia="es-MX"/>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C247C7"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Agua para todos</w:t>
            </w:r>
          </w:p>
        </w:tc>
        <w:tc>
          <w:tcPr>
            <w:tcW w:w="187" w:type="pct"/>
            <w:tcBorders>
              <w:top w:val="nil"/>
              <w:left w:val="nil"/>
              <w:bottom w:val="nil"/>
              <w:right w:val="nil"/>
            </w:tcBorders>
            <w:shd w:val="clear" w:color="auto" w:fill="auto"/>
            <w:noWrap/>
            <w:vAlign w:val="bottom"/>
            <w:hideMark/>
          </w:tcPr>
          <w:p w14:paraId="03487EA1" w14:textId="77777777" w:rsidR="00794EB9" w:rsidRPr="00794EB9" w:rsidRDefault="00794EB9" w:rsidP="00C307FB">
            <w:pPr>
              <w:jc w:val="center"/>
              <w:rPr>
                <w:rFonts w:ascii="Arial" w:hAnsi="Arial" w:cs="Arial"/>
                <w:b/>
                <w:bCs/>
                <w:sz w:val="22"/>
                <w:szCs w:val="22"/>
                <w:lang w:eastAsia="es-MX"/>
              </w:rPr>
            </w:pP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2E9818"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Proyecto integral de asistencia social</w:t>
            </w:r>
          </w:p>
        </w:tc>
        <w:tc>
          <w:tcPr>
            <w:tcW w:w="187" w:type="pct"/>
            <w:tcBorders>
              <w:top w:val="nil"/>
              <w:left w:val="nil"/>
              <w:bottom w:val="nil"/>
              <w:right w:val="nil"/>
            </w:tcBorders>
            <w:shd w:val="clear" w:color="auto" w:fill="auto"/>
            <w:vAlign w:val="center"/>
            <w:hideMark/>
          </w:tcPr>
          <w:p w14:paraId="098D8DA4" w14:textId="77777777" w:rsidR="00794EB9" w:rsidRPr="00794EB9" w:rsidRDefault="00794EB9" w:rsidP="00C307FB">
            <w:pPr>
              <w:jc w:val="center"/>
              <w:rPr>
                <w:rFonts w:ascii="Arial" w:hAnsi="Arial" w:cs="Arial"/>
                <w:b/>
                <w:bCs/>
                <w:sz w:val="22"/>
                <w:szCs w:val="22"/>
                <w:lang w:eastAsia="es-MX"/>
              </w:rPr>
            </w:pPr>
          </w:p>
        </w:tc>
        <w:tc>
          <w:tcPr>
            <w:tcW w:w="9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7F8A8C"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Prevención de enfermedades, Adicciones y Educación Nutricional</w:t>
            </w:r>
          </w:p>
        </w:tc>
        <w:tc>
          <w:tcPr>
            <w:tcW w:w="205" w:type="pct"/>
            <w:tcBorders>
              <w:top w:val="nil"/>
              <w:left w:val="nil"/>
              <w:bottom w:val="nil"/>
              <w:right w:val="nil"/>
            </w:tcBorders>
            <w:shd w:val="clear" w:color="auto" w:fill="auto"/>
            <w:vAlign w:val="center"/>
            <w:hideMark/>
          </w:tcPr>
          <w:p w14:paraId="35F2D8A7" w14:textId="77777777" w:rsidR="00794EB9" w:rsidRPr="00794EB9" w:rsidRDefault="00794EB9" w:rsidP="00C307FB">
            <w:pPr>
              <w:jc w:val="center"/>
              <w:rPr>
                <w:rFonts w:ascii="Arial" w:hAnsi="Arial" w:cs="Arial"/>
                <w:b/>
                <w:bCs/>
                <w:sz w:val="22"/>
                <w:szCs w:val="22"/>
                <w:lang w:eastAsia="es-MX"/>
              </w:rPr>
            </w:pPr>
          </w:p>
        </w:tc>
        <w:tc>
          <w:tcPr>
            <w:tcW w:w="9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6E568F"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Proyecto integral para el Desarrollo Humano y la Inclusión Social</w:t>
            </w:r>
          </w:p>
        </w:tc>
      </w:tr>
    </w:tbl>
    <w:p w14:paraId="43A743C9" w14:textId="77777777" w:rsidR="00794EB9" w:rsidRPr="00794EB9" w:rsidRDefault="00794EB9" w:rsidP="00794EB9">
      <w:pPr>
        <w:rPr>
          <w:rFonts w:ascii="Arial" w:hAnsi="Arial" w:cs="Arial"/>
          <w:b/>
          <w:bCs/>
          <w:sz w:val="22"/>
          <w:szCs w:val="22"/>
        </w:rPr>
      </w:pPr>
    </w:p>
    <w:p w14:paraId="02E060DF" w14:textId="77777777" w:rsidR="00794EB9" w:rsidRPr="00794EB9" w:rsidRDefault="00794EB9" w:rsidP="00794EB9">
      <w:pPr>
        <w:rPr>
          <w:rFonts w:ascii="Arial" w:hAnsi="Arial" w:cs="Arial"/>
          <w:b/>
          <w:bCs/>
          <w:sz w:val="22"/>
          <w:szCs w:val="22"/>
        </w:rPr>
      </w:pPr>
      <w:r w:rsidRPr="00794EB9">
        <w:rPr>
          <w:rFonts w:ascii="Arial" w:hAnsi="Arial" w:cs="Arial"/>
          <w:b/>
          <w:bCs/>
          <w:sz w:val="22"/>
          <w:szCs w:val="22"/>
        </w:rPr>
        <w:br w:type="page"/>
      </w:r>
    </w:p>
    <w:p w14:paraId="74F0FF3C" w14:textId="77777777" w:rsidR="00794EB9" w:rsidRPr="00794EB9" w:rsidRDefault="00794EB9" w:rsidP="00794EB9">
      <w:pPr>
        <w:rPr>
          <w:rFonts w:ascii="Arial" w:hAnsi="Arial" w:cs="Arial"/>
          <w:sz w:val="22"/>
          <w:szCs w:val="22"/>
        </w:rPr>
      </w:pPr>
    </w:p>
    <w:p w14:paraId="5C7C91CA" w14:textId="77777777" w:rsidR="00794EB9" w:rsidRPr="00794EB9" w:rsidRDefault="00794EB9" w:rsidP="00794EB9">
      <w:pPr>
        <w:rPr>
          <w:rFonts w:ascii="Arial" w:hAnsi="Arial" w:cs="Arial"/>
          <w:sz w:val="22"/>
          <w:szCs w:val="22"/>
        </w:rPr>
      </w:pPr>
    </w:p>
    <w:p w14:paraId="31F1E001" w14:textId="77777777" w:rsidR="00794EB9" w:rsidRPr="00794EB9" w:rsidRDefault="00794EB9" w:rsidP="00794EB9">
      <w:pPr>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440"/>
        <w:gridCol w:w="188"/>
        <w:gridCol w:w="1331"/>
        <w:gridCol w:w="366"/>
        <w:gridCol w:w="1646"/>
        <w:gridCol w:w="355"/>
        <w:gridCol w:w="1371"/>
        <w:gridCol w:w="366"/>
        <w:gridCol w:w="1765"/>
      </w:tblGrid>
      <w:tr w:rsidR="00794EB9" w:rsidRPr="00794EB9" w14:paraId="44982DC3" w14:textId="77777777" w:rsidTr="00C307FB">
        <w:trPr>
          <w:trHeight w:val="6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72B563D"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VIVIR MEJOR</w:t>
            </w:r>
          </w:p>
        </w:tc>
      </w:tr>
      <w:tr w:rsidR="00794EB9" w:rsidRPr="00794EB9" w14:paraId="748D617D" w14:textId="77777777" w:rsidTr="00C307FB">
        <w:trPr>
          <w:trHeight w:val="300"/>
        </w:trPr>
        <w:tc>
          <w:tcPr>
            <w:tcW w:w="842" w:type="pct"/>
            <w:tcBorders>
              <w:top w:val="nil"/>
              <w:left w:val="nil"/>
              <w:bottom w:val="nil"/>
              <w:right w:val="nil"/>
            </w:tcBorders>
            <w:shd w:val="clear" w:color="auto" w:fill="auto"/>
            <w:noWrap/>
            <w:vAlign w:val="bottom"/>
            <w:hideMark/>
          </w:tcPr>
          <w:p w14:paraId="1D20763F" w14:textId="77777777" w:rsidR="00794EB9" w:rsidRPr="00794EB9" w:rsidRDefault="00794EB9" w:rsidP="00C307FB">
            <w:pPr>
              <w:jc w:val="center"/>
              <w:rPr>
                <w:rFonts w:ascii="Arial" w:hAnsi="Arial" w:cs="Arial"/>
                <w:b/>
                <w:bCs/>
                <w:sz w:val="22"/>
                <w:szCs w:val="22"/>
                <w:lang w:eastAsia="es-MX"/>
              </w:rPr>
            </w:pPr>
          </w:p>
        </w:tc>
        <w:tc>
          <w:tcPr>
            <w:tcW w:w="89" w:type="pct"/>
            <w:tcBorders>
              <w:top w:val="nil"/>
              <w:left w:val="nil"/>
              <w:bottom w:val="nil"/>
              <w:right w:val="nil"/>
            </w:tcBorders>
            <w:shd w:val="clear" w:color="auto" w:fill="auto"/>
            <w:noWrap/>
            <w:vAlign w:val="bottom"/>
            <w:hideMark/>
          </w:tcPr>
          <w:p w14:paraId="016511A7" w14:textId="77777777" w:rsidR="00794EB9" w:rsidRPr="00794EB9" w:rsidRDefault="00794EB9" w:rsidP="00C307FB">
            <w:pPr>
              <w:rPr>
                <w:rFonts w:ascii="Arial" w:hAnsi="Arial" w:cs="Arial"/>
                <w:sz w:val="22"/>
                <w:szCs w:val="22"/>
                <w:lang w:eastAsia="es-MX"/>
              </w:rPr>
            </w:pPr>
          </w:p>
        </w:tc>
        <w:tc>
          <w:tcPr>
            <w:tcW w:w="776" w:type="pct"/>
            <w:tcBorders>
              <w:top w:val="nil"/>
              <w:left w:val="nil"/>
              <w:bottom w:val="nil"/>
              <w:right w:val="nil"/>
            </w:tcBorders>
            <w:shd w:val="clear" w:color="auto" w:fill="auto"/>
            <w:noWrap/>
            <w:vAlign w:val="bottom"/>
            <w:hideMark/>
          </w:tcPr>
          <w:p w14:paraId="1D62E114" w14:textId="77777777" w:rsidR="00794EB9" w:rsidRPr="00794EB9" w:rsidRDefault="00794EB9" w:rsidP="00C307FB">
            <w:pPr>
              <w:rPr>
                <w:rFonts w:ascii="Arial" w:hAnsi="Arial" w:cs="Arial"/>
                <w:sz w:val="22"/>
                <w:szCs w:val="22"/>
                <w:lang w:eastAsia="es-MX"/>
              </w:rPr>
            </w:pPr>
          </w:p>
        </w:tc>
        <w:tc>
          <w:tcPr>
            <w:tcW w:w="196" w:type="pct"/>
            <w:tcBorders>
              <w:top w:val="nil"/>
              <w:left w:val="nil"/>
              <w:bottom w:val="nil"/>
              <w:right w:val="nil"/>
            </w:tcBorders>
            <w:shd w:val="clear" w:color="auto" w:fill="auto"/>
            <w:noWrap/>
            <w:vAlign w:val="bottom"/>
            <w:hideMark/>
          </w:tcPr>
          <w:p w14:paraId="75617296" w14:textId="77777777" w:rsidR="00794EB9" w:rsidRPr="00794EB9" w:rsidRDefault="00794EB9" w:rsidP="00C307FB">
            <w:pPr>
              <w:rPr>
                <w:rFonts w:ascii="Arial" w:hAnsi="Arial" w:cs="Arial"/>
                <w:sz w:val="22"/>
                <w:szCs w:val="22"/>
                <w:lang w:eastAsia="es-MX"/>
              </w:rPr>
            </w:pPr>
          </w:p>
        </w:tc>
        <w:tc>
          <w:tcPr>
            <w:tcW w:w="965" w:type="pct"/>
            <w:tcBorders>
              <w:top w:val="nil"/>
              <w:left w:val="nil"/>
              <w:bottom w:val="nil"/>
              <w:right w:val="nil"/>
            </w:tcBorders>
            <w:shd w:val="clear" w:color="auto" w:fill="auto"/>
            <w:noWrap/>
            <w:vAlign w:val="bottom"/>
            <w:hideMark/>
          </w:tcPr>
          <w:p w14:paraId="3675E449" w14:textId="77777777" w:rsidR="00794EB9" w:rsidRPr="00794EB9" w:rsidRDefault="00794EB9" w:rsidP="00C307FB">
            <w:pPr>
              <w:rPr>
                <w:rFonts w:ascii="Arial" w:hAnsi="Arial" w:cs="Arial"/>
                <w:sz w:val="22"/>
                <w:szCs w:val="22"/>
                <w:lang w:eastAsia="es-MX"/>
              </w:rPr>
            </w:pPr>
          </w:p>
        </w:tc>
        <w:tc>
          <w:tcPr>
            <w:tcW w:w="189" w:type="pct"/>
            <w:tcBorders>
              <w:top w:val="nil"/>
              <w:left w:val="nil"/>
              <w:bottom w:val="nil"/>
              <w:right w:val="nil"/>
            </w:tcBorders>
            <w:shd w:val="clear" w:color="auto" w:fill="auto"/>
            <w:noWrap/>
            <w:vAlign w:val="bottom"/>
            <w:hideMark/>
          </w:tcPr>
          <w:p w14:paraId="63C38315" w14:textId="77777777" w:rsidR="00794EB9" w:rsidRPr="00794EB9" w:rsidRDefault="00794EB9" w:rsidP="00C307FB">
            <w:pPr>
              <w:rPr>
                <w:rFonts w:ascii="Arial" w:hAnsi="Arial" w:cs="Arial"/>
                <w:sz w:val="22"/>
                <w:szCs w:val="22"/>
                <w:lang w:eastAsia="es-MX"/>
              </w:rPr>
            </w:pPr>
          </w:p>
        </w:tc>
        <w:tc>
          <w:tcPr>
            <w:tcW w:w="709" w:type="pct"/>
            <w:tcBorders>
              <w:top w:val="nil"/>
              <w:left w:val="nil"/>
              <w:bottom w:val="nil"/>
              <w:right w:val="nil"/>
            </w:tcBorders>
            <w:shd w:val="clear" w:color="auto" w:fill="auto"/>
            <w:noWrap/>
            <w:vAlign w:val="bottom"/>
            <w:hideMark/>
          </w:tcPr>
          <w:p w14:paraId="5E88B02B" w14:textId="77777777" w:rsidR="00794EB9" w:rsidRPr="00794EB9" w:rsidRDefault="00794EB9" w:rsidP="00C307FB">
            <w:pPr>
              <w:rPr>
                <w:rFonts w:ascii="Arial" w:hAnsi="Arial" w:cs="Arial"/>
                <w:sz w:val="22"/>
                <w:szCs w:val="22"/>
                <w:lang w:eastAsia="es-MX"/>
              </w:rPr>
            </w:pPr>
          </w:p>
        </w:tc>
        <w:tc>
          <w:tcPr>
            <w:tcW w:w="196" w:type="pct"/>
            <w:tcBorders>
              <w:top w:val="nil"/>
              <w:left w:val="nil"/>
              <w:bottom w:val="nil"/>
              <w:right w:val="nil"/>
            </w:tcBorders>
            <w:shd w:val="clear" w:color="auto" w:fill="auto"/>
            <w:noWrap/>
            <w:vAlign w:val="bottom"/>
            <w:hideMark/>
          </w:tcPr>
          <w:p w14:paraId="3CDB3EE8" w14:textId="77777777" w:rsidR="00794EB9" w:rsidRPr="00794EB9" w:rsidRDefault="00794EB9" w:rsidP="00C307FB">
            <w:pPr>
              <w:rPr>
                <w:rFonts w:ascii="Arial" w:hAnsi="Arial" w:cs="Arial"/>
                <w:sz w:val="22"/>
                <w:szCs w:val="22"/>
                <w:lang w:eastAsia="es-MX"/>
              </w:rPr>
            </w:pPr>
          </w:p>
        </w:tc>
        <w:tc>
          <w:tcPr>
            <w:tcW w:w="1038" w:type="pct"/>
            <w:tcBorders>
              <w:top w:val="nil"/>
              <w:left w:val="nil"/>
              <w:bottom w:val="nil"/>
              <w:right w:val="nil"/>
            </w:tcBorders>
            <w:shd w:val="clear" w:color="auto" w:fill="auto"/>
            <w:noWrap/>
            <w:vAlign w:val="bottom"/>
            <w:hideMark/>
          </w:tcPr>
          <w:p w14:paraId="42092997" w14:textId="77777777" w:rsidR="00794EB9" w:rsidRPr="00794EB9" w:rsidRDefault="00794EB9" w:rsidP="00C307FB">
            <w:pPr>
              <w:rPr>
                <w:rFonts w:ascii="Arial" w:hAnsi="Arial" w:cs="Arial"/>
                <w:sz w:val="22"/>
                <w:szCs w:val="22"/>
                <w:lang w:eastAsia="es-MX"/>
              </w:rPr>
            </w:pPr>
          </w:p>
        </w:tc>
      </w:tr>
      <w:tr w:rsidR="00794EB9" w:rsidRPr="00794EB9" w14:paraId="03A26D2C" w14:textId="77777777" w:rsidTr="00C307FB">
        <w:trPr>
          <w:trHeight w:val="2116"/>
        </w:trPr>
        <w:tc>
          <w:tcPr>
            <w:tcW w:w="1707"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EE1FE3B"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Desarrollar una política integral de atención a los distintos grupos sociales en situación de vulnerabilidad</w:t>
            </w:r>
            <w:r w:rsidRPr="00794EB9">
              <w:rPr>
                <w:rFonts w:ascii="Arial" w:hAnsi="Arial" w:cs="Arial"/>
                <w:sz w:val="22"/>
                <w:szCs w:val="22"/>
                <w:lang w:eastAsia="es-MX"/>
              </w:rPr>
              <w:t xml:space="preserve"> que proporciones los elementos para una vida digna y corresponsable</w:t>
            </w:r>
          </w:p>
        </w:tc>
        <w:tc>
          <w:tcPr>
            <w:tcW w:w="196" w:type="pct"/>
            <w:tcBorders>
              <w:top w:val="nil"/>
              <w:left w:val="nil"/>
              <w:bottom w:val="nil"/>
              <w:right w:val="nil"/>
            </w:tcBorders>
            <w:shd w:val="clear" w:color="auto" w:fill="auto"/>
            <w:noWrap/>
            <w:vAlign w:val="center"/>
            <w:hideMark/>
          </w:tcPr>
          <w:p w14:paraId="6EE30728" w14:textId="77777777" w:rsidR="00794EB9" w:rsidRPr="00794EB9" w:rsidRDefault="00794EB9" w:rsidP="00C307FB">
            <w:pPr>
              <w:jc w:val="center"/>
              <w:rPr>
                <w:rFonts w:ascii="Arial" w:hAnsi="Arial" w:cs="Arial"/>
                <w:sz w:val="22"/>
                <w:szCs w:val="22"/>
                <w:lang w:eastAsia="es-MX"/>
              </w:rPr>
            </w:pPr>
          </w:p>
        </w:tc>
        <w:tc>
          <w:tcPr>
            <w:tcW w:w="186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6966EC3"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Promover la reactivación económica de León</w:t>
            </w:r>
            <w:r w:rsidRPr="00794EB9">
              <w:rPr>
                <w:rFonts w:ascii="Arial" w:hAnsi="Arial" w:cs="Arial"/>
                <w:sz w:val="22"/>
                <w:szCs w:val="22"/>
                <w:lang w:eastAsia="es-MX"/>
              </w:rPr>
              <w:t xml:space="preserve"> mediante un programa integral de apoyos a las iniciativas ciudadanas, de las micro, pequeñas y medianas empresas , así como para la atracción de nuevas inversiones que apoyen en la diversificación industrial del municipio</w:t>
            </w:r>
          </w:p>
        </w:tc>
        <w:tc>
          <w:tcPr>
            <w:tcW w:w="196" w:type="pct"/>
            <w:tcBorders>
              <w:top w:val="nil"/>
              <w:left w:val="nil"/>
              <w:bottom w:val="nil"/>
              <w:right w:val="nil"/>
            </w:tcBorders>
            <w:shd w:val="clear" w:color="auto" w:fill="auto"/>
            <w:noWrap/>
            <w:vAlign w:val="center"/>
            <w:hideMark/>
          </w:tcPr>
          <w:p w14:paraId="2423F19A" w14:textId="77777777" w:rsidR="00794EB9" w:rsidRPr="00794EB9" w:rsidRDefault="00794EB9" w:rsidP="00C307FB">
            <w:pPr>
              <w:jc w:val="center"/>
              <w:rPr>
                <w:rFonts w:ascii="Arial" w:hAnsi="Arial" w:cs="Arial"/>
                <w:sz w:val="22"/>
                <w:szCs w:val="22"/>
                <w:lang w:eastAsia="es-MX"/>
              </w:rPr>
            </w:pPr>
          </w:p>
        </w:tc>
        <w:tc>
          <w:tcPr>
            <w:tcW w:w="103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F874B8" w14:textId="77777777" w:rsidR="00794EB9" w:rsidRPr="00794EB9" w:rsidRDefault="00794EB9" w:rsidP="00C307FB">
            <w:pPr>
              <w:jc w:val="center"/>
              <w:rPr>
                <w:rFonts w:ascii="Arial" w:hAnsi="Arial" w:cs="Arial"/>
                <w:sz w:val="22"/>
                <w:szCs w:val="22"/>
                <w:lang w:eastAsia="es-MX"/>
              </w:rPr>
            </w:pPr>
            <w:r w:rsidRPr="00794EB9">
              <w:rPr>
                <w:rFonts w:ascii="Arial" w:hAnsi="Arial" w:cs="Arial"/>
                <w:b/>
                <w:bCs/>
                <w:sz w:val="22"/>
                <w:szCs w:val="22"/>
                <w:lang w:eastAsia="es-MX"/>
              </w:rPr>
              <w:t>Establecer el sustento de planeación, infraestructura y conectividad para el desarrollo del proyecto de Gran Visión: León 450</w:t>
            </w:r>
            <w:r w:rsidRPr="00794EB9">
              <w:rPr>
                <w:rFonts w:ascii="Arial" w:hAnsi="Arial" w:cs="Arial"/>
                <w:sz w:val="22"/>
                <w:szCs w:val="22"/>
                <w:lang w:eastAsia="es-MX"/>
              </w:rPr>
              <w:t>, que plantea el desarrollo de la ciudad y su zona metropolitana para las siguientes décadas</w:t>
            </w:r>
          </w:p>
        </w:tc>
      </w:tr>
      <w:tr w:rsidR="00794EB9" w:rsidRPr="00794EB9" w14:paraId="157BF2B5" w14:textId="77777777" w:rsidTr="00C307FB">
        <w:trPr>
          <w:trHeight w:val="300"/>
        </w:trPr>
        <w:tc>
          <w:tcPr>
            <w:tcW w:w="842" w:type="pct"/>
            <w:tcBorders>
              <w:top w:val="nil"/>
              <w:left w:val="nil"/>
              <w:bottom w:val="nil"/>
              <w:right w:val="nil"/>
            </w:tcBorders>
            <w:shd w:val="clear" w:color="auto" w:fill="auto"/>
            <w:noWrap/>
            <w:vAlign w:val="bottom"/>
            <w:hideMark/>
          </w:tcPr>
          <w:p w14:paraId="0942D88D" w14:textId="77777777" w:rsidR="00794EB9" w:rsidRPr="00794EB9" w:rsidRDefault="00794EB9" w:rsidP="00C307FB">
            <w:pPr>
              <w:jc w:val="center"/>
              <w:rPr>
                <w:rFonts w:ascii="Arial" w:hAnsi="Arial" w:cs="Arial"/>
                <w:sz w:val="22"/>
                <w:szCs w:val="22"/>
                <w:lang w:eastAsia="es-MX"/>
              </w:rPr>
            </w:pPr>
          </w:p>
        </w:tc>
        <w:tc>
          <w:tcPr>
            <w:tcW w:w="89" w:type="pct"/>
            <w:tcBorders>
              <w:top w:val="nil"/>
              <w:left w:val="nil"/>
              <w:bottom w:val="nil"/>
              <w:right w:val="nil"/>
            </w:tcBorders>
            <w:shd w:val="clear" w:color="auto" w:fill="auto"/>
            <w:noWrap/>
            <w:vAlign w:val="bottom"/>
            <w:hideMark/>
          </w:tcPr>
          <w:p w14:paraId="647A491A" w14:textId="77777777" w:rsidR="00794EB9" w:rsidRPr="00794EB9" w:rsidRDefault="00794EB9" w:rsidP="00C307FB">
            <w:pPr>
              <w:rPr>
                <w:rFonts w:ascii="Arial" w:hAnsi="Arial" w:cs="Arial"/>
                <w:sz w:val="22"/>
                <w:szCs w:val="22"/>
                <w:lang w:eastAsia="es-MX"/>
              </w:rPr>
            </w:pPr>
          </w:p>
        </w:tc>
        <w:tc>
          <w:tcPr>
            <w:tcW w:w="776" w:type="pct"/>
            <w:tcBorders>
              <w:top w:val="nil"/>
              <w:left w:val="nil"/>
              <w:bottom w:val="nil"/>
              <w:right w:val="nil"/>
            </w:tcBorders>
            <w:shd w:val="clear" w:color="auto" w:fill="auto"/>
            <w:noWrap/>
            <w:vAlign w:val="bottom"/>
            <w:hideMark/>
          </w:tcPr>
          <w:p w14:paraId="425346E8" w14:textId="77777777" w:rsidR="00794EB9" w:rsidRPr="00794EB9" w:rsidRDefault="00794EB9" w:rsidP="00C307FB">
            <w:pPr>
              <w:rPr>
                <w:rFonts w:ascii="Arial" w:hAnsi="Arial" w:cs="Arial"/>
                <w:sz w:val="22"/>
                <w:szCs w:val="22"/>
                <w:lang w:eastAsia="es-MX"/>
              </w:rPr>
            </w:pPr>
          </w:p>
        </w:tc>
        <w:tc>
          <w:tcPr>
            <w:tcW w:w="196" w:type="pct"/>
            <w:tcBorders>
              <w:top w:val="nil"/>
              <w:left w:val="nil"/>
              <w:bottom w:val="nil"/>
              <w:right w:val="nil"/>
            </w:tcBorders>
            <w:shd w:val="clear" w:color="auto" w:fill="auto"/>
            <w:noWrap/>
            <w:vAlign w:val="bottom"/>
            <w:hideMark/>
          </w:tcPr>
          <w:p w14:paraId="0FD411AB" w14:textId="77777777" w:rsidR="00794EB9" w:rsidRPr="00794EB9" w:rsidRDefault="00794EB9" w:rsidP="00C307FB">
            <w:pPr>
              <w:rPr>
                <w:rFonts w:ascii="Arial" w:hAnsi="Arial" w:cs="Arial"/>
                <w:sz w:val="22"/>
                <w:szCs w:val="22"/>
                <w:lang w:eastAsia="es-MX"/>
              </w:rPr>
            </w:pPr>
          </w:p>
        </w:tc>
        <w:tc>
          <w:tcPr>
            <w:tcW w:w="965" w:type="pct"/>
            <w:tcBorders>
              <w:top w:val="nil"/>
              <w:left w:val="nil"/>
              <w:bottom w:val="nil"/>
              <w:right w:val="nil"/>
            </w:tcBorders>
            <w:shd w:val="clear" w:color="auto" w:fill="auto"/>
            <w:noWrap/>
            <w:vAlign w:val="bottom"/>
            <w:hideMark/>
          </w:tcPr>
          <w:p w14:paraId="55B6895D" w14:textId="77777777" w:rsidR="00794EB9" w:rsidRPr="00794EB9" w:rsidRDefault="00794EB9" w:rsidP="00C307FB">
            <w:pPr>
              <w:rPr>
                <w:rFonts w:ascii="Arial" w:hAnsi="Arial" w:cs="Arial"/>
                <w:sz w:val="22"/>
                <w:szCs w:val="22"/>
                <w:lang w:eastAsia="es-MX"/>
              </w:rPr>
            </w:pPr>
          </w:p>
        </w:tc>
        <w:tc>
          <w:tcPr>
            <w:tcW w:w="189" w:type="pct"/>
            <w:tcBorders>
              <w:top w:val="nil"/>
              <w:left w:val="nil"/>
              <w:bottom w:val="nil"/>
              <w:right w:val="nil"/>
            </w:tcBorders>
            <w:shd w:val="clear" w:color="auto" w:fill="auto"/>
            <w:noWrap/>
            <w:vAlign w:val="bottom"/>
            <w:hideMark/>
          </w:tcPr>
          <w:p w14:paraId="56C0901F" w14:textId="77777777" w:rsidR="00794EB9" w:rsidRPr="00794EB9" w:rsidRDefault="00794EB9" w:rsidP="00C307FB">
            <w:pPr>
              <w:rPr>
                <w:rFonts w:ascii="Arial" w:hAnsi="Arial" w:cs="Arial"/>
                <w:sz w:val="22"/>
                <w:szCs w:val="22"/>
                <w:lang w:eastAsia="es-MX"/>
              </w:rPr>
            </w:pPr>
          </w:p>
        </w:tc>
        <w:tc>
          <w:tcPr>
            <w:tcW w:w="709" w:type="pct"/>
            <w:tcBorders>
              <w:top w:val="nil"/>
              <w:left w:val="nil"/>
              <w:bottom w:val="nil"/>
              <w:right w:val="nil"/>
            </w:tcBorders>
            <w:shd w:val="clear" w:color="auto" w:fill="auto"/>
            <w:noWrap/>
            <w:vAlign w:val="bottom"/>
            <w:hideMark/>
          </w:tcPr>
          <w:p w14:paraId="3465DF36" w14:textId="77777777" w:rsidR="00794EB9" w:rsidRPr="00794EB9" w:rsidRDefault="00794EB9" w:rsidP="00C307FB">
            <w:pPr>
              <w:rPr>
                <w:rFonts w:ascii="Arial" w:hAnsi="Arial" w:cs="Arial"/>
                <w:sz w:val="22"/>
                <w:szCs w:val="22"/>
                <w:lang w:eastAsia="es-MX"/>
              </w:rPr>
            </w:pPr>
          </w:p>
        </w:tc>
        <w:tc>
          <w:tcPr>
            <w:tcW w:w="196" w:type="pct"/>
            <w:tcBorders>
              <w:top w:val="nil"/>
              <w:left w:val="nil"/>
              <w:bottom w:val="nil"/>
              <w:right w:val="nil"/>
            </w:tcBorders>
            <w:shd w:val="clear" w:color="auto" w:fill="auto"/>
            <w:noWrap/>
            <w:vAlign w:val="bottom"/>
            <w:hideMark/>
          </w:tcPr>
          <w:p w14:paraId="4330EE50" w14:textId="77777777" w:rsidR="00794EB9" w:rsidRPr="00794EB9" w:rsidRDefault="00794EB9" w:rsidP="00C307FB">
            <w:pPr>
              <w:rPr>
                <w:rFonts w:ascii="Arial" w:hAnsi="Arial" w:cs="Arial"/>
                <w:sz w:val="22"/>
                <w:szCs w:val="22"/>
                <w:lang w:eastAsia="es-MX"/>
              </w:rPr>
            </w:pPr>
          </w:p>
        </w:tc>
        <w:tc>
          <w:tcPr>
            <w:tcW w:w="1038" w:type="pct"/>
            <w:tcBorders>
              <w:top w:val="nil"/>
              <w:left w:val="nil"/>
              <w:bottom w:val="nil"/>
              <w:right w:val="nil"/>
            </w:tcBorders>
            <w:shd w:val="clear" w:color="auto" w:fill="auto"/>
            <w:noWrap/>
            <w:vAlign w:val="bottom"/>
            <w:hideMark/>
          </w:tcPr>
          <w:p w14:paraId="473348C8" w14:textId="77777777" w:rsidR="00794EB9" w:rsidRPr="00794EB9" w:rsidRDefault="00794EB9" w:rsidP="00C307FB">
            <w:pPr>
              <w:rPr>
                <w:rFonts w:ascii="Arial" w:hAnsi="Arial" w:cs="Arial"/>
                <w:sz w:val="22"/>
                <w:szCs w:val="22"/>
                <w:lang w:eastAsia="es-MX"/>
              </w:rPr>
            </w:pPr>
          </w:p>
        </w:tc>
      </w:tr>
      <w:tr w:rsidR="00794EB9" w:rsidRPr="00794EB9" w14:paraId="4F41F8F6" w14:textId="77777777" w:rsidTr="00C307FB">
        <w:trPr>
          <w:trHeight w:val="315"/>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AB942"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Facilitar el acceso al empleo, el bienestar, y el desarrollo económico de los diferentes sectores de la población</w:t>
            </w:r>
          </w:p>
        </w:tc>
      </w:tr>
      <w:tr w:rsidR="00794EB9" w:rsidRPr="00794EB9" w14:paraId="1D031858" w14:textId="77777777" w:rsidTr="00C307FB">
        <w:trPr>
          <w:trHeight w:val="300"/>
        </w:trPr>
        <w:tc>
          <w:tcPr>
            <w:tcW w:w="842" w:type="pct"/>
            <w:tcBorders>
              <w:top w:val="nil"/>
              <w:left w:val="nil"/>
              <w:bottom w:val="nil"/>
              <w:right w:val="nil"/>
            </w:tcBorders>
            <w:shd w:val="clear" w:color="auto" w:fill="auto"/>
            <w:noWrap/>
            <w:vAlign w:val="bottom"/>
            <w:hideMark/>
          </w:tcPr>
          <w:p w14:paraId="30F8C2FF" w14:textId="77777777" w:rsidR="00794EB9" w:rsidRPr="00794EB9" w:rsidRDefault="00794EB9" w:rsidP="00C307FB">
            <w:pPr>
              <w:jc w:val="center"/>
              <w:rPr>
                <w:rFonts w:ascii="Arial" w:hAnsi="Arial" w:cs="Arial"/>
                <w:b/>
                <w:bCs/>
                <w:sz w:val="22"/>
                <w:szCs w:val="22"/>
                <w:lang w:eastAsia="es-MX"/>
              </w:rPr>
            </w:pPr>
          </w:p>
        </w:tc>
        <w:tc>
          <w:tcPr>
            <w:tcW w:w="89" w:type="pct"/>
            <w:tcBorders>
              <w:top w:val="nil"/>
              <w:left w:val="nil"/>
              <w:bottom w:val="nil"/>
              <w:right w:val="nil"/>
            </w:tcBorders>
            <w:shd w:val="clear" w:color="auto" w:fill="auto"/>
            <w:noWrap/>
            <w:vAlign w:val="bottom"/>
            <w:hideMark/>
          </w:tcPr>
          <w:p w14:paraId="525D6B01" w14:textId="77777777" w:rsidR="00794EB9" w:rsidRPr="00794EB9" w:rsidRDefault="00794EB9" w:rsidP="00C307FB">
            <w:pPr>
              <w:rPr>
                <w:rFonts w:ascii="Arial" w:hAnsi="Arial" w:cs="Arial"/>
                <w:sz w:val="22"/>
                <w:szCs w:val="22"/>
                <w:lang w:eastAsia="es-MX"/>
              </w:rPr>
            </w:pPr>
          </w:p>
        </w:tc>
        <w:tc>
          <w:tcPr>
            <w:tcW w:w="776" w:type="pct"/>
            <w:tcBorders>
              <w:top w:val="nil"/>
              <w:left w:val="nil"/>
              <w:bottom w:val="nil"/>
              <w:right w:val="nil"/>
            </w:tcBorders>
            <w:shd w:val="clear" w:color="auto" w:fill="auto"/>
            <w:noWrap/>
            <w:vAlign w:val="bottom"/>
            <w:hideMark/>
          </w:tcPr>
          <w:p w14:paraId="64DEF24F" w14:textId="77777777" w:rsidR="00794EB9" w:rsidRPr="00794EB9" w:rsidRDefault="00794EB9" w:rsidP="00C307FB">
            <w:pPr>
              <w:rPr>
                <w:rFonts w:ascii="Arial" w:hAnsi="Arial" w:cs="Arial"/>
                <w:sz w:val="22"/>
                <w:szCs w:val="22"/>
                <w:lang w:eastAsia="es-MX"/>
              </w:rPr>
            </w:pPr>
          </w:p>
        </w:tc>
        <w:tc>
          <w:tcPr>
            <w:tcW w:w="196" w:type="pct"/>
            <w:tcBorders>
              <w:top w:val="nil"/>
              <w:left w:val="nil"/>
              <w:bottom w:val="nil"/>
              <w:right w:val="nil"/>
            </w:tcBorders>
            <w:shd w:val="clear" w:color="auto" w:fill="auto"/>
            <w:noWrap/>
            <w:vAlign w:val="bottom"/>
            <w:hideMark/>
          </w:tcPr>
          <w:p w14:paraId="58029E95" w14:textId="77777777" w:rsidR="00794EB9" w:rsidRPr="00794EB9" w:rsidRDefault="00794EB9" w:rsidP="00C307FB">
            <w:pPr>
              <w:rPr>
                <w:rFonts w:ascii="Arial" w:hAnsi="Arial" w:cs="Arial"/>
                <w:sz w:val="22"/>
                <w:szCs w:val="22"/>
                <w:lang w:eastAsia="es-MX"/>
              </w:rPr>
            </w:pPr>
          </w:p>
        </w:tc>
        <w:tc>
          <w:tcPr>
            <w:tcW w:w="965" w:type="pct"/>
            <w:tcBorders>
              <w:top w:val="nil"/>
              <w:left w:val="nil"/>
              <w:bottom w:val="nil"/>
              <w:right w:val="nil"/>
            </w:tcBorders>
            <w:shd w:val="clear" w:color="auto" w:fill="auto"/>
            <w:noWrap/>
            <w:vAlign w:val="bottom"/>
            <w:hideMark/>
          </w:tcPr>
          <w:p w14:paraId="778AAAD1" w14:textId="77777777" w:rsidR="00794EB9" w:rsidRPr="00794EB9" w:rsidRDefault="00794EB9" w:rsidP="00C307FB">
            <w:pPr>
              <w:rPr>
                <w:rFonts w:ascii="Arial" w:hAnsi="Arial" w:cs="Arial"/>
                <w:sz w:val="22"/>
                <w:szCs w:val="22"/>
                <w:lang w:eastAsia="es-MX"/>
              </w:rPr>
            </w:pPr>
          </w:p>
        </w:tc>
        <w:tc>
          <w:tcPr>
            <w:tcW w:w="189" w:type="pct"/>
            <w:tcBorders>
              <w:top w:val="nil"/>
              <w:left w:val="nil"/>
              <w:bottom w:val="nil"/>
              <w:right w:val="nil"/>
            </w:tcBorders>
            <w:shd w:val="clear" w:color="auto" w:fill="auto"/>
            <w:noWrap/>
            <w:vAlign w:val="bottom"/>
            <w:hideMark/>
          </w:tcPr>
          <w:p w14:paraId="1DC81B53" w14:textId="77777777" w:rsidR="00794EB9" w:rsidRPr="00794EB9" w:rsidRDefault="00794EB9" w:rsidP="00C307FB">
            <w:pPr>
              <w:rPr>
                <w:rFonts w:ascii="Arial" w:hAnsi="Arial" w:cs="Arial"/>
                <w:sz w:val="22"/>
                <w:szCs w:val="22"/>
                <w:lang w:eastAsia="es-MX"/>
              </w:rPr>
            </w:pPr>
          </w:p>
        </w:tc>
        <w:tc>
          <w:tcPr>
            <w:tcW w:w="709" w:type="pct"/>
            <w:tcBorders>
              <w:top w:val="nil"/>
              <w:left w:val="nil"/>
              <w:bottom w:val="nil"/>
              <w:right w:val="nil"/>
            </w:tcBorders>
            <w:shd w:val="clear" w:color="auto" w:fill="auto"/>
            <w:noWrap/>
            <w:vAlign w:val="bottom"/>
            <w:hideMark/>
          </w:tcPr>
          <w:p w14:paraId="20CCFB52" w14:textId="77777777" w:rsidR="00794EB9" w:rsidRPr="00794EB9" w:rsidRDefault="00794EB9" w:rsidP="00C307FB">
            <w:pPr>
              <w:rPr>
                <w:rFonts w:ascii="Arial" w:hAnsi="Arial" w:cs="Arial"/>
                <w:sz w:val="22"/>
                <w:szCs w:val="22"/>
                <w:lang w:eastAsia="es-MX"/>
              </w:rPr>
            </w:pPr>
          </w:p>
        </w:tc>
        <w:tc>
          <w:tcPr>
            <w:tcW w:w="196" w:type="pct"/>
            <w:tcBorders>
              <w:top w:val="nil"/>
              <w:left w:val="nil"/>
              <w:bottom w:val="nil"/>
              <w:right w:val="nil"/>
            </w:tcBorders>
            <w:shd w:val="clear" w:color="auto" w:fill="auto"/>
            <w:noWrap/>
            <w:vAlign w:val="bottom"/>
            <w:hideMark/>
          </w:tcPr>
          <w:p w14:paraId="72D24D28" w14:textId="77777777" w:rsidR="00794EB9" w:rsidRPr="00794EB9" w:rsidRDefault="00794EB9" w:rsidP="00C307FB">
            <w:pPr>
              <w:rPr>
                <w:rFonts w:ascii="Arial" w:hAnsi="Arial" w:cs="Arial"/>
                <w:sz w:val="22"/>
                <w:szCs w:val="22"/>
                <w:lang w:eastAsia="es-MX"/>
              </w:rPr>
            </w:pPr>
          </w:p>
        </w:tc>
        <w:tc>
          <w:tcPr>
            <w:tcW w:w="1038" w:type="pct"/>
            <w:tcBorders>
              <w:top w:val="nil"/>
              <w:left w:val="nil"/>
              <w:bottom w:val="nil"/>
              <w:right w:val="nil"/>
            </w:tcBorders>
            <w:shd w:val="clear" w:color="auto" w:fill="auto"/>
            <w:noWrap/>
            <w:vAlign w:val="bottom"/>
            <w:hideMark/>
          </w:tcPr>
          <w:p w14:paraId="08E6E59B" w14:textId="77777777" w:rsidR="00794EB9" w:rsidRPr="00794EB9" w:rsidRDefault="00794EB9" w:rsidP="00C307FB">
            <w:pPr>
              <w:rPr>
                <w:rFonts w:ascii="Arial" w:hAnsi="Arial" w:cs="Arial"/>
                <w:sz w:val="22"/>
                <w:szCs w:val="22"/>
                <w:lang w:eastAsia="es-MX"/>
              </w:rPr>
            </w:pPr>
          </w:p>
        </w:tc>
      </w:tr>
      <w:tr w:rsidR="00794EB9" w:rsidRPr="00794EB9" w14:paraId="5B98CC97" w14:textId="77777777" w:rsidTr="00C307FB">
        <w:trPr>
          <w:trHeight w:val="300"/>
        </w:trPr>
        <w:tc>
          <w:tcPr>
            <w:tcW w:w="1707"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AC9A1D1"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Salir adelante</w:t>
            </w:r>
          </w:p>
        </w:tc>
        <w:tc>
          <w:tcPr>
            <w:tcW w:w="196" w:type="pct"/>
            <w:tcBorders>
              <w:top w:val="nil"/>
              <w:left w:val="nil"/>
              <w:bottom w:val="nil"/>
              <w:right w:val="nil"/>
            </w:tcBorders>
            <w:shd w:val="clear" w:color="auto" w:fill="auto"/>
            <w:noWrap/>
            <w:vAlign w:val="center"/>
            <w:hideMark/>
          </w:tcPr>
          <w:p w14:paraId="44518B18" w14:textId="77777777" w:rsidR="00794EB9" w:rsidRPr="00794EB9" w:rsidRDefault="00794EB9" w:rsidP="00C307FB">
            <w:pPr>
              <w:jc w:val="center"/>
              <w:rPr>
                <w:rFonts w:ascii="Arial" w:hAnsi="Arial" w:cs="Arial"/>
                <w:b/>
                <w:bCs/>
                <w:sz w:val="22"/>
                <w:szCs w:val="22"/>
                <w:lang w:eastAsia="es-MX"/>
              </w:rPr>
            </w:pPr>
          </w:p>
        </w:tc>
        <w:tc>
          <w:tcPr>
            <w:tcW w:w="186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751EC17"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León de Oportunidades</w:t>
            </w:r>
          </w:p>
        </w:tc>
        <w:tc>
          <w:tcPr>
            <w:tcW w:w="196" w:type="pct"/>
            <w:tcBorders>
              <w:top w:val="nil"/>
              <w:left w:val="nil"/>
              <w:bottom w:val="nil"/>
              <w:right w:val="nil"/>
            </w:tcBorders>
            <w:shd w:val="clear" w:color="auto" w:fill="auto"/>
            <w:noWrap/>
            <w:vAlign w:val="center"/>
            <w:hideMark/>
          </w:tcPr>
          <w:p w14:paraId="6CDAF60F" w14:textId="77777777" w:rsidR="00794EB9" w:rsidRPr="00794EB9" w:rsidRDefault="00794EB9" w:rsidP="00C307FB">
            <w:pPr>
              <w:jc w:val="center"/>
              <w:rPr>
                <w:rFonts w:ascii="Arial" w:hAnsi="Arial" w:cs="Arial"/>
                <w:b/>
                <w:bCs/>
                <w:sz w:val="22"/>
                <w:szCs w:val="22"/>
                <w:lang w:eastAsia="es-MX"/>
              </w:rPr>
            </w:pPr>
          </w:p>
        </w:tc>
        <w:tc>
          <w:tcPr>
            <w:tcW w:w="103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1E9722"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León 450</w:t>
            </w:r>
          </w:p>
        </w:tc>
      </w:tr>
      <w:tr w:rsidR="00794EB9" w:rsidRPr="00794EB9" w14:paraId="1B922F0A" w14:textId="77777777" w:rsidTr="00C307FB">
        <w:trPr>
          <w:trHeight w:val="300"/>
        </w:trPr>
        <w:tc>
          <w:tcPr>
            <w:tcW w:w="842" w:type="pct"/>
            <w:tcBorders>
              <w:top w:val="nil"/>
              <w:left w:val="nil"/>
              <w:bottom w:val="nil"/>
              <w:right w:val="nil"/>
            </w:tcBorders>
            <w:shd w:val="clear" w:color="auto" w:fill="auto"/>
            <w:vAlign w:val="center"/>
            <w:hideMark/>
          </w:tcPr>
          <w:p w14:paraId="0FEDA383" w14:textId="77777777" w:rsidR="00794EB9" w:rsidRPr="00794EB9" w:rsidRDefault="00794EB9" w:rsidP="00C307FB">
            <w:pPr>
              <w:jc w:val="center"/>
              <w:rPr>
                <w:rFonts w:ascii="Arial" w:hAnsi="Arial" w:cs="Arial"/>
                <w:b/>
                <w:bCs/>
                <w:sz w:val="22"/>
                <w:szCs w:val="22"/>
                <w:lang w:eastAsia="es-MX"/>
              </w:rPr>
            </w:pPr>
          </w:p>
        </w:tc>
        <w:tc>
          <w:tcPr>
            <w:tcW w:w="89" w:type="pct"/>
            <w:tcBorders>
              <w:top w:val="nil"/>
              <w:left w:val="nil"/>
              <w:bottom w:val="nil"/>
              <w:right w:val="nil"/>
            </w:tcBorders>
            <w:shd w:val="clear" w:color="auto" w:fill="auto"/>
            <w:vAlign w:val="center"/>
            <w:hideMark/>
          </w:tcPr>
          <w:p w14:paraId="2AA68639" w14:textId="77777777" w:rsidR="00794EB9" w:rsidRPr="00794EB9" w:rsidRDefault="00794EB9" w:rsidP="00C307FB">
            <w:pPr>
              <w:jc w:val="center"/>
              <w:rPr>
                <w:rFonts w:ascii="Arial" w:hAnsi="Arial" w:cs="Arial"/>
                <w:sz w:val="22"/>
                <w:szCs w:val="22"/>
                <w:lang w:eastAsia="es-MX"/>
              </w:rPr>
            </w:pPr>
          </w:p>
        </w:tc>
        <w:tc>
          <w:tcPr>
            <w:tcW w:w="776" w:type="pct"/>
            <w:tcBorders>
              <w:top w:val="nil"/>
              <w:left w:val="nil"/>
              <w:bottom w:val="nil"/>
              <w:right w:val="nil"/>
            </w:tcBorders>
            <w:shd w:val="clear" w:color="auto" w:fill="auto"/>
            <w:vAlign w:val="center"/>
            <w:hideMark/>
          </w:tcPr>
          <w:p w14:paraId="517803EF" w14:textId="77777777" w:rsidR="00794EB9" w:rsidRPr="00794EB9" w:rsidRDefault="00794EB9" w:rsidP="00C307FB">
            <w:pPr>
              <w:jc w:val="cente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043BCFC1" w14:textId="77777777" w:rsidR="00794EB9" w:rsidRPr="00794EB9" w:rsidRDefault="00794EB9" w:rsidP="00C307FB">
            <w:pPr>
              <w:jc w:val="center"/>
              <w:rPr>
                <w:rFonts w:ascii="Arial" w:hAnsi="Arial" w:cs="Arial"/>
                <w:sz w:val="22"/>
                <w:szCs w:val="22"/>
                <w:lang w:eastAsia="es-MX"/>
              </w:rPr>
            </w:pPr>
          </w:p>
        </w:tc>
        <w:tc>
          <w:tcPr>
            <w:tcW w:w="965" w:type="pct"/>
            <w:tcBorders>
              <w:top w:val="nil"/>
              <w:left w:val="nil"/>
              <w:bottom w:val="nil"/>
              <w:right w:val="nil"/>
            </w:tcBorders>
            <w:shd w:val="clear" w:color="auto" w:fill="auto"/>
            <w:vAlign w:val="center"/>
            <w:hideMark/>
          </w:tcPr>
          <w:p w14:paraId="059DD01F" w14:textId="77777777" w:rsidR="00794EB9" w:rsidRPr="00794EB9" w:rsidRDefault="00794EB9" w:rsidP="00C307FB">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1245E0CC" w14:textId="77777777" w:rsidR="00794EB9" w:rsidRPr="00794EB9" w:rsidRDefault="00794EB9" w:rsidP="00C307FB">
            <w:pPr>
              <w:jc w:val="center"/>
              <w:rPr>
                <w:rFonts w:ascii="Arial" w:hAnsi="Arial" w:cs="Arial"/>
                <w:sz w:val="22"/>
                <w:szCs w:val="22"/>
                <w:lang w:eastAsia="es-MX"/>
              </w:rPr>
            </w:pPr>
          </w:p>
        </w:tc>
        <w:tc>
          <w:tcPr>
            <w:tcW w:w="709" w:type="pct"/>
            <w:tcBorders>
              <w:top w:val="nil"/>
              <w:left w:val="nil"/>
              <w:bottom w:val="nil"/>
              <w:right w:val="nil"/>
            </w:tcBorders>
            <w:shd w:val="clear" w:color="auto" w:fill="auto"/>
            <w:vAlign w:val="center"/>
            <w:hideMark/>
          </w:tcPr>
          <w:p w14:paraId="1DCDBA0B" w14:textId="77777777" w:rsidR="00794EB9" w:rsidRPr="00794EB9" w:rsidRDefault="00794EB9" w:rsidP="00C307FB">
            <w:pPr>
              <w:jc w:val="cente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7866F9DB" w14:textId="77777777" w:rsidR="00794EB9" w:rsidRPr="00794EB9" w:rsidRDefault="00794EB9" w:rsidP="00C307FB">
            <w:pPr>
              <w:jc w:val="center"/>
              <w:rPr>
                <w:rFonts w:ascii="Arial" w:hAnsi="Arial" w:cs="Arial"/>
                <w:sz w:val="22"/>
                <w:szCs w:val="22"/>
                <w:lang w:eastAsia="es-MX"/>
              </w:rPr>
            </w:pPr>
          </w:p>
        </w:tc>
        <w:tc>
          <w:tcPr>
            <w:tcW w:w="1038" w:type="pct"/>
            <w:tcBorders>
              <w:top w:val="nil"/>
              <w:left w:val="nil"/>
              <w:bottom w:val="nil"/>
              <w:right w:val="nil"/>
            </w:tcBorders>
            <w:shd w:val="clear" w:color="auto" w:fill="auto"/>
            <w:vAlign w:val="center"/>
            <w:hideMark/>
          </w:tcPr>
          <w:p w14:paraId="218C39CD" w14:textId="77777777" w:rsidR="00794EB9" w:rsidRPr="00794EB9" w:rsidRDefault="00794EB9" w:rsidP="00C307FB">
            <w:pPr>
              <w:jc w:val="center"/>
              <w:rPr>
                <w:rFonts w:ascii="Arial" w:hAnsi="Arial" w:cs="Arial"/>
                <w:sz w:val="22"/>
                <w:szCs w:val="22"/>
                <w:lang w:eastAsia="es-MX"/>
              </w:rPr>
            </w:pPr>
          </w:p>
        </w:tc>
      </w:tr>
      <w:tr w:rsidR="00794EB9" w:rsidRPr="00794EB9" w14:paraId="62B91AF0" w14:textId="77777777" w:rsidTr="00C307FB">
        <w:trPr>
          <w:trHeight w:val="900"/>
        </w:trPr>
        <w:tc>
          <w:tcPr>
            <w:tcW w:w="8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2343A3"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Construcción de plan de vida para Jóvenes que crecen y se desarrollan en contextos de vulnerabilidad</w:t>
            </w:r>
          </w:p>
        </w:tc>
        <w:tc>
          <w:tcPr>
            <w:tcW w:w="89" w:type="pct"/>
            <w:tcBorders>
              <w:top w:val="nil"/>
              <w:left w:val="nil"/>
              <w:bottom w:val="nil"/>
              <w:right w:val="nil"/>
            </w:tcBorders>
            <w:shd w:val="clear" w:color="auto" w:fill="auto"/>
            <w:vAlign w:val="center"/>
            <w:hideMark/>
          </w:tcPr>
          <w:p w14:paraId="2DE6961D" w14:textId="77777777" w:rsidR="00794EB9" w:rsidRPr="00794EB9" w:rsidRDefault="00794EB9" w:rsidP="00C307FB">
            <w:pPr>
              <w:jc w:val="center"/>
              <w:rPr>
                <w:rFonts w:ascii="Arial" w:hAnsi="Arial" w:cs="Arial"/>
                <w:b/>
                <w:bCs/>
                <w:sz w:val="22"/>
                <w:szCs w:val="22"/>
                <w:lang w:eastAsia="es-MX"/>
              </w:rPr>
            </w:pP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199E78"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Becas Juventud León - 450</w:t>
            </w:r>
          </w:p>
        </w:tc>
        <w:tc>
          <w:tcPr>
            <w:tcW w:w="196" w:type="pct"/>
            <w:tcBorders>
              <w:top w:val="nil"/>
              <w:left w:val="nil"/>
              <w:bottom w:val="nil"/>
              <w:right w:val="nil"/>
            </w:tcBorders>
            <w:shd w:val="clear" w:color="auto" w:fill="auto"/>
            <w:vAlign w:val="center"/>
            <w:hideMark/>
          </w:tcPr>
          <w:p w14:paraId="2BE12375" w14:textId="77777777" w:rsidR="00794EB9" w:rsidRPr="00794EB9" w:rsidRDefault="00794EB9" w:rsidP="00C307FB">
            <w:pPr>
              <w:jc w:val="center"/>
              <w:rPr>
                <w:rFonts w:ascii="Arial" w:hAnsi="Arial" w:cs="Arial"/>
                <w:b/>
                <w:bCs/>
                <w:sz w:val="22"/>
                <w:szCs w:val="22"/>
                <w:lang w:eastAsia="es-MX"/>
              </w:rPr>
            </w:pP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1A0C61"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Autoempleo</w:t>
            </w:r>
          </w:p>
        </w:tc>
        <w:tc>
          <w:tcPr>
            <w:tcW w:w="189" w:type="pct"/>
            <w:tcBorders>
              <w:top w:val="nil"/>
              <w:left w:val="nil"/>
              <w:bottom w:val="nil"/>
              <w:right w:val="nil"/>
            </w:tcBorders>
            <w:shd w:val="clear" w:color="auto" w:fill="auto"/>
            <w:noWrap/>
            <w:vAlign w:val="bottom"/>
            <w:hideMark/>
          </w:tcPr>
          <w:p w14:paraId="3D59E404" w14:textId="77777777" w:rsidR="00794EB9" w:rsidRPr="00794EB9" w:rsidRDefault="00794EB9" w:rsidP="00C307FB">
            <w:pPr>
              <w:jc w:val="center"/>
              <w:rPr>
                <w:rFonts w:ascii="Arial" w:hAnsi="Arial" w:cs="Arial"/>
                <w:b/>
                <w:bCs/>
                <w:sz w:val="22"/>
                <w:szCs w:val="22"/>
                <w:lang w:eastAsia="es-MX"/>
              </w:rPr>
            </w:pPr>
          </w:p>
        </w:tc>
        <w:tc>
          <w:tcPr>
            <w:tcW w:w="7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8D542E"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Power Pyme</w:t>
            </w:r>
          </w:p>
        </w:tc>
        <w:tc>
          <w:tcPr>
            <w:tcW w:w="196" w:type="pct"/>
            <w:tcBorders>
              <w:top w:val="nil"/>
              <w:left w:val="nil"/>
              <w:bottom w:val="nil"/>
              <w:right w:val="nil"/>
            </w:tcBorders>
            <w:shd w:val="clear" w:color="auto" w:fill="auto"/>
            <w:vAlign w:val="center"/>
            <w:hideMark/>
          </w:tcPr>
          <w:p w14:paraId="14E343AD" w14:textId="77777777" w:rsidR="00794EB9" w:rsidRPr="00794EB9" w:rsidRDefault="00794EB9" w:rsidP="00C307FB">
            <w:pPr>
              <w:jc w:val="center"/>
              <w:rPr>
                <w:rFonts w:ascii="Arial" w:hAnsi="Arial" w:cs="Arial"/>
                <w:b/>
                <w:bCs/>
                <w:sz w:val="22"/>
                <w:szCs w:val="22"/>
                <w:lang w:eastAsia="es-MX"/>
              </w:rPr>
            </w:pPr>
          </w:p>
        </w:tc>
        <w:tc>
          <w:tcPr>
            <w:tcW w:w="103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A80AF4"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Conectividad para todos</w:t>
            </w:r>
          </w:p>
        </w:tc>
      </w:tr>
      <w:tr w:rsidR="00794EB9" w:rsidRPr="00794EB9" w14:paraId="73DB8D56" w14:textId="77777777" w:rsidTr="00C307FB">
        <w:trPr>
          <w:trHeight w:val="300"/>
        </w:trPr>
        <w:tc>
          <w:tcPr>
            <w:tcW w:w="842" w:type="pct"/>
            <w:tcBorders>
              <w:top w:val="nil"/>
              <w:left w:val="nil"/>
              <w:bottom w:val="nil"/>
              <w:right w:val="nil"/>
            </w:tcBorders>
            <w:shd w:val="clear" w:color="auto" w:fill="auto"/>
            <w:vAlign w:val="center"/>
            <w:hideMark/>
          </w:tcPr>
          <w:p w14:paraId="724B6365" w14:textId="77777777" w:rsidR="00794EB9" w:rsidRPr="00794EB9" w:rsidRDefault="00794EB9" w:rsidP="00C307FB">
            <w:pPr>
              <w:jc w:val="center"/>
              <w:rPr>
                <w:rFonts w:ascii="Arial" w:hAnsi="Arial" w:cs="Arial"/>
                <w:b/>
                <w:bCs/>
                <w:sz w:val="22"/>
                <w:szCs w:val="22"/>
                <w:lang w:eastAsia="es-MX"/>
              </w:rPr>
            </w:pPr>
          </w:p>
        </w:tc>
        <w:tc>
          <w:tcPr>
            <w:tcW w:w="89" w:type="pct"/>
            <w:tcBorders>
              <w:top w:val="nil"/>
              <w:left w:val="nil"/>
              <w:bottom w:val="nil"/>
              <w:right w:val="nil"/>
            </w:tcBorders>
            <w:shd w:val="clear" w:color="auto" w:fill="auto"/>
            <w:vAlign w:val="center"/>
            <w:hideMark/>
          </w:tcPr>
          <w:p w14:paraId="5130FD58" w14:textId="77777777" w:rsidR="00794EB9" w:rsidRPr="00794EB9" w:rsidRDefault="00794EB9" w:rsidP="00C307FB">
            <w:pPr>
              <w:jc w:val="center"/>
              <w:rPr>
                <w:rFonts w:ascii="Arial" w:hAnsi="Arial" w:cs="Arial"/>
                <w:sz w:val="22"/>
                <w:szCs w:val="22"/>
                <w:lang w:eastAsia="es-MX"/>
              </w:rPr>
            </w:pPr>
          </w:p>
        </w:tc>
        <w:tc>
          <w:tcPr>
            <w:tcW w:w="776" w:type="pct"/>
            <w:tcBorders>
              <w:top w:val="nil"/>
              <w:left w:val="nil"/>
              <w:bottom w:val="nil"/>
              <w:right w:val="nil"/>
            </w:tcBorders>
            <w:shd w:val="clear" w:color="auto" w:fill="auto"/>
            <w:vAlign w:val="center"/>
            <w:hideMark/>
          </w:tcPr>
          <w:p w14:paraId="5F740949" w14:textId="77777777" w:rsidR="00794EB9" w:rsidRPr="00794EB9" w:rsidRDefault="00794EB9" w:rsidP="00C307FB">
            <w:pPr>
              <w:jc w:val="cente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01951A14" w14:textId="77777777" w:rsidR="00794EB9" w:rsidRPr="00794EB9" w:rsidRDefault="00794EB9" w:rsidP="00C307FB">
            <w:pPr>
              <w:jc w:val="center"/>
              <w:rPr>
                <w:rFonts w:ascii="Arial" w:hAnsi="Arial" w:cs="Arial"/>
                <w:sz w:val="22"/>
                <w:szCs w:val="22"/>
                <w:lang w:eastAsia="es-MX"/>
              </w:rPr>
            </w:pPr>
          </w:p>
        </w:tc>
        <w:tc>
          <w:tcPr>
            <w:tcW w:w="965" w:type="pct"/>
            <w:tcBorders>
              <w:top w:val="nil"/>
              <w:left w:val="nil"/>
              <w:bottom w:val="nil"/>
              <w:right w:val="nil"/>
            </w:tcBorders>
            <w:shd w:val="clear" w:color="auto" w:fill="auto"/>
            <w:vAlign w:val="center"/>
            <w:hideMark/>
          </w:tcPr>
          <w:p w14:paraId="50161B99" w14:textId="77777777" w:rsidR="00794EB9" w:rsidRPr="00794EB9" w:rsidRDefault="00794EB9" w:rsidP="00C307FB">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7B2DAE79" w14:textId="77777777" w:rsidR="00794EB9" w:rsidRPr="00794EB9" w:rsidRDefault="00794EB9" w:rsidP="00C307FB">
            <w:pPr>
              <w:jc w:val="center"/>
              <w:rPr>
                <w:rFonts w:ascii="Arial" w:hAnsi="Arial" w:cs="Arial"/>
                <w:sz w:val="22"/>
                <w:szCs w:val="22"/>
                <w:lang w:eastAsia="es-MX"/>
              </w:rPr>
            </w:pPr>
          </w:p>
        </w:tc>
        <w:tc>
          <w:tcPr>
            <w:tcW w:w="709" w:type="pct"/>
            <w:tcBorders>
              <w:top w:val="nil"/>
              <w:left w:val="nil"/>
              <w:bottom w:val="nil"/>
              <w:right w:val="nil"/>
            </w:tcBorders>
            <w:shd w:val="clear" w:color="auto" w:fill="auto"/>
            <w:vAlign w:val="center"/>
            <w:hideMark/>
          </w:tcPr>
          <w:p w14:paraId="228B40DC" w14:textId="77777777" w:rsidR="00794EB9" w:rsidRPr="00794EB9" w:rsidRDefault="00794EB9" w:rsidP="00C307FB">
            <w:pPr>
              <w:jc w:val="cente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5343F6C9" w14:textId="77777777" w:rsidR="00794EB9" w:rsidRPr="00794EB9" w:rsidRDefault="00794EB9" w:rsidP="00C307FB">
            <w:pPr>
              <w:jc w:val="center"/>
              <w:rPr>
                <w:rFonts w:ascii="Arial" w:hAnsi="Arial" w:cs="Arial"/>
                <w:sz w:val="22"/>
                <w:szCs w:val="22"/>
                <w:lang w:eastAsia="es-MX"/>
              </w:rPr>
            </w:pPr>
          </w:p>
        </w:tc>
        <w:tc>
          <w:tcPr>
            <w:tcW w:w="1038" w:type="pct"/>
            <w:tcBorders>
              <w:top w:val="nil"/>
              <w:left w:val="nil"/>
              <w:bottom w:val="nil"/>
              <w:right w:val="nil"/>
            </w:tcBorders>
            <w:shd w:val="clear" w:color="auto" w:fill="auto"/>
            <w:vAlign w:val="center"/>
            <w:hideMark/>
          </w:tcPr>
          <w:p w14:paraId="715F6611" w14:textId="77777777" w:rsidR="00794EB9" w:rsidRPr="00794EB9" w:rsidRDefault="00794EB9" w:rsidP="00C307FB">
            <w:pPr>
              <w:jc w:val="center"/>
              <w:rPr>
                <w:rFonts w:ascii="Arial" w:hAnsi="Arial" w:cs="Arial"/>
                <w:sz w:val="22"/>
                <w:szCs w:val="22"/>
                <w:lang w:eastAsia="es-MX"/>
              </w:rPr>
            </w:pPr>
          </w:p>
        </w:tc>
      </w:tr>
      <w:tr w:rsidR="00794EB9" w:rsidRPr="00794EB9" w14:paraId="6D29E2D3" w14:textId="77777777" w:rsidTr="00C307FB">
        <w:trPr>
          <w:trHeight w:val="1057"/>
        </w:trPr>
        <w:tc>
          <w:tcPr>
            <w:tcW w:w="8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CA237D"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Modelo Club DIF</w:t>
            </w:r>
          </w:p>
        </w:tc>
        <w:tc>
          <w:tcPr>
            <w:tcW w:w="89" w:type="pct"/>
            <w:tcBorders>
              <w:top w:val="nil"/>
              <w:left w:val="nil"/>
              <w:bottom w:val="nil"/>
              <w:right w:val="nil"/>
            </w:tcBorders>
            <w:shd w:val="clear" w:color="auto" w:fill="auto"/>
            <w:vAlign w:val="center"/>
            <w:hideMark/>
          </w:tcPr>
          <w:p w14:paraId="0DC04702" w14:textId="77777777" w:rsidR="00794EB9" w:rsidRPr="00794EB9" w:rsidRDefault="00794EB9" w:rsidP="00C307FB">
            <w:pPr>
              <w:jc w:val="center"/>
              <w:rPr>
                <w:rFonts w:ascii="Arial" w:hAnsi="Arial" w:cs="Arial"/>
                <w:b/>
                <w:bCs/>
                <w:sz w:val="22"/>
                <w:szCs w:val="22"/>
                <w:lang w:eastAsia="es-MX"/>
              </w:rPr>
            </w:pP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70CDFA"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Vivienda digna</w:t>
            </w:r>
          </w:p>
        </w:tc>
        <w:tc>
          <w:tcPr>
            <w:tcW w:w="196" w:type="pct"/>
            <w:tcBorders>
              <w:top w:val="nil"/>
              <w:left w:val="nil"/>
              <w:bottom w:val="nil"/>
              <w:right w:val="nil"/>
            </w:tcBorders>
            <w:shd w:val="clear" w:color="auto" w:fill="auto"/>
            <w:vAlign w:val="center"/>
            <w:hideMark/>
          </w:tcPr>
          <w:p w14:paraId="169AB6C8" w14:textId="77777777" w:rsidR="00794EB9" w:rsidRPr="00794EB9" w:rsidRDefault="00794EB9" w:rsidP="00C307FB">
            <w:pPr>
              <w:jc w:val="center"/>
              <w:rPr>
                <w:rFonts w:ascii="Arial" w:hAnsi="Arial" w:cs="Arial"/>
                <w:b/>
                <w:bCs/>
                <w:sz w:val="22"/>
                <w:szCs w:val="22"/>
                <w:lang w:eastAsia="es-MX"/>
              </w:rPr>
            </w:pP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62CAA8"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Mi Plaza</w:t>
            </w:r>
          </w:p>
        </w:tc>
        <w:tc>
          <w:tcPr>
            <w:tcW w:w="189" w:type="pct"/>
            <w:tcBorders>
              <w:top w:val="nil"/>
              <w:left w:val="nil"/>
              <w:bottom w:val="nil"/>
              <w:right w:val="nil"/>
            </w:tcBorders>
            <w:shd w:val="clear" w:color="auto" w:fill="auto"/>
            <w:noWrap/>
            <w:vAlign w:val="bottom"/>
            <w:hideMark/>
          </w:tcPr>
          <w:p w14:paraId="11056B1F" w14:textId="77777777" w:rsidR="00794EB9" w:rsidRPr="00794EB9" w:rsidRDefault="00794EB9" w:rsidP="00C307FB">
            <w:pPr>
              <w:jc w:val="center"/>
              <w:rPr>
                <w:rFonts w:ascii="Arial" w:hAnsi="Arial" w:cs="Arial"/>
                <w:b/>
                <w:bCs/>
                <w:sz w:val="22"/>
                <w:szCs w:val="22"/>
                <w:lang w:eastAsia="es-MX"/>
              </w:rPr>
            </w:pPr>
          </w:p>
        </w:tc>
        <w:tc>
          <w:tcPr>
            <w:tcW w:w="7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EB40CE"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Impulso Educativo y Nuevas Vocaciones</w:t>
            </w:r>
          </w:p>
        </w:tc>
        <w:tc>
          <w:tcPr>
            <w:tcW w:w="196" w:type="pct"/>
            <w:tcBorders>
              <w:top w:val="nil"/>
              <w:left w:val="nil"/>
              <w:bottom w:val="nil"/>
              <w:right w:val="nil"/>
            </w:tcBorders>
            <w:shd w:val="clear" w:color="auto" w:fill="auto"/>
            <w:vAlign w:val="center"/>
            <w:hideMark/>
          </w:tcPr>
          <w:p w14:paraId="3721EFAF" w14:textId="77777777" w:rsidR="00794EB9" w:rsidRPr="00794EB9" w:rsidRDefault="00794EB9" w:rsidP="00C307FB">
            <w:pPr>
              <w:jc w:val="center"/>
              <w:rPr>
                <w:rFonts w:ascii="Arial" w:hAnsi="Arial" w:cs="Arial"/>
                <w:b/>
                <w:bCs/>
                <w:sz w:val="22"/>
                <w:szCs w:val="22"/>
                <w:lang w:eastAsia="es-MX"/>
              </w:rPr>
            </w:pPr>
          </w:p>
        </w:tc>
        <w:tc>
          <w:tcPr>
            <w:tcW w:w="103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F4E60A"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Infraestructura Visión León 450</w:t>
            </w:r>
          </w:p>
        </w:tc>
      </w:tr>
      <w:tr w:rsidR="00794EB9" w:rsidRPr="00794EB9" w14:paraId="25033516" w14:textId="77777777" w:rsidTr="00C307FB">
        <w:trPr>
          <w:trHeight w:val="300"/>
        </w:trPr>
        <w:tc>
          <w:tcPr>
            <w:tcW w:w="842" w:type="pct"/>
            <w:tcBorders>
              <w:top w:val="nil"/>
              <w:left w:val="nil"/>
              <w:bottom w:val="nil"/>
              <w:right w:val="nil"/>
            </w:tcBorders>
            <w:shd w:val="clear" w:color="auto" w:fill="auto"/>
            <w:vAlign w:val="center"/>
            <w:hideMark/>
          </w:tcPr>
          <w:p w14:paraId="7AEFA6A5" w14:textId="77777777" w:rsidR="00794EB9" w:rsidRPr="00794EB9" w:rsidRDefault="00794EB9" w:rsidP="00C307FB">
            <w:pPr>
              <w:jc w:val="center"/>
              <w:rPr>
                <w:rFonts w:ascii="Arial" w:hAnsi="Arial" w:cs="Arial"/>
                <w:b/>
                <w:bCs/>
                <w:sz w:val="22"/>
                <w:szCs w:val="22"/>
                <w:lang w:eastAsia="es-MX"/>
              </w:rPr>
            </w:pPr>
          </w:p>
        </w:tc>
        <w:tc>
          <w:tcPr>
            <w:tcW w:w="89" w:type="pct"/>
            <w:tcBorders>
              <w:top w:val="nil"/>
              <w:left w:val="nil"/>
              <w:bottom w:val="nil"/>
              <w:right w:val="nil"/>
            </w:tcBorders>
            <w:shd w:val="clear" w:color="auto" w:fill="auto"/>
            <w:vAlign w:val="center"/>
            <w:hideMark/>
          </w:tcPr>
          <w:p w14:paraId="56D8FAA8" w14:textId="77777777" w:rsidR="00794EB9" w:rsidRPr="00794EB9" w:rsidRDefault="00794EB9" w:rsidP="00C307FB">
            <w:pPr>
              <w:jc w:val="center"/>
              <w:rPr>
                <w:rFonts w:ascii="Arial" w:hAnsi="Arial" w:cs="Arial"/>
                <w:sz w:val="22"/>
                <w:szCs w:val="22"/>
                <w:lang w:eastAsia="es-MX"/>
              </w:rPr>
            </w:pPr>
          </w:p>
        </w:tc>
        <w:tc>
          <w:tcPr>
            <w:tcW w:w="776" w:type="pct"/>
            <w:tcBorders>
              <w:top w:val="nil"/>
              <w:left w:val="nil"/>
              <w:bottom w:val="nil"/>
              <w:right w:val="nil"/>
            </w:tcBorders>
            <w:shd w:val="clear" w:color="auto" w:fill="auto"/>
            <w:vAlign w:val="center"/>
            <w:hideMark/>
          </w:tcPr>
          <w:p w14:paraId="5D14DC77" w14:textId="77777777" w:rsidR="00794EB9" w:rsidRPr="00794EB9" w:rsidRDefault="00794EB9" w:rsidP="00C307FB">
            <w:pPr>
              <w:jc w:val="cente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045AAE7B" w14:textId="77777777" w:rsidR="00794EB9" w:rsidRPr="00794EB9" w:rsidRDefault="00794EB9" w:rsidP="00C307FB">
            <w:pPr>
              <w:jc w:val="center"/>
              <w:rPr>
                <w:rFonts w:ascii="Arial" w:hAnsi="Arial" w:cs="Arial"/>
                <w:sz w:val="22"/>
                <w:szCs w:val="22"/>
                <w:lang w:eastAsia="es-MX"/>
              </w:rPr>
            </w:pPr>
          </w:p>
        </w:tc>
        <w:tc>
          <w:tcPr>
            <w:tcW w:w="965" w:type="pct"/>
            <w:tcBorders>
              <w:top w:val="nil"/>
              <w:left w:val="nil"/>
              <w:bottom w:val="nil"/>
              <w:right w:val="nil"/>
            </w:tcBorders>
            <w:shd w:val="clear" w:color="auto" w:fill="auto"/>
            <w:vAlign w:val="center"/>
            <w:hideMark/>
          </w:tcPr>
          <w:p w14:paraId="25E451B8" w14:textId="77777777" w:rsidR="00794EB9" w:rsidRPr="00794EB9" w:rsidRDefault="00794EB9" w:rsidP="00C307FB">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431FB9B0" w14:textId="77777777" w:rsidR="00794EB9" w:rsidRPr="00794EB9" w:rsidRDefault="00794EB9" w:rsidP="00C307FB">
            <w:pPr>
              <w:jc w:val="center"/>
              <w:rPr>
                <w:rFonts w:ascii="Arial" w:hAnsi="Arial" w:cs="Arial"/>
                <w:sz w:val="22"/>
                <w:szCs w:val="22"/>
                <w:lang w:eastAsia="es-MX"/>
              </w:rPr>
            </w:pPr>
          </w:p>
        </w:tc>
        <w:tc>
          <w:tcPr>
            <w:tcW w:w="709" w:type="pct"/>
            <w:tcBorders>
              <w:top w:val="nil"/>
              <w:left w:val="nil"/>
              <w:bottom w:val="nil"/>
              <w:right w:val="nil"/>
            </w:tcBorders>
            <w:shd w:val="clear" w:color="auto" w:fill="auto"/>
            <w:vAlign w:val="center"/>
            <w:hideMark/>
          </w:tcPr>
          <w:p w14:paraId="33237778" w14:textId="77777777" w:rsidR="00794EB9" w:rsidRPr="00794EB9" w:rsidRDefault="00794EB9" w:rsidP="00C307FB">
            <w:pPr>
              <w:jc w:val="cente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72AB0AF6" w14:textId="77777777" w:rsidR="00794EB9" w:rsidRPr="00794EB9" w:rsidRDefault="00794EB9" w:rsidP="00C307FB">
            <w:pPr>
              <w:jc w:val="center"/>
              <w:rPr>
                <w:rFonts w:ascii="Arial" w:hAnsi="Arial" w:cs="Arial"/>
                <w:sz w:val="22"/>
                <w:szCs w:val="22"/>
                <w:lang w:eastAsia="es-MX"/>
              </w:rPr>
            </w:pPr>
          </w:p>
        </w:tc>
        <w:tc>
          <w:tcPr>
            <w:tcW w:w="1038" w:type="pct"/>
            <w:tcBorders>
              <w:top w:val="nil"/>
              <w:left w:val="nil"/>
              <w:bottom w:val="nil"/>
              <w:right w:val="nil"/>
            </w:tcBorders>
            <w:shd w:val="clear" w:color="auto" w:fill="auto"/>
            <w:vAlign w:val="center"/>
            <w:hideMark/>
          </w:tcPr>
          <w:p w14:paraId="26D06D70" w14:textId="77777777" w:rsidR="00794EB9" w:rsidRPr="00794EB9" w:rsidRDefault="00794EB9" w:rsidP="00C307FB">
            <w:pPr>
              <w:jc w:val="center"/>
              <w:rPr>
                <w:rFonts w:ascii="Arial" w:hAnsi="Arial" w:cs="Arial"/>
                <w:sz w:val="22"/>
                <w:szCs w:val="22"/>
                <w:lang w:eastAsia="es-MX"/>
              </w:rPr>
            </w:pPr>
          </w:p>
        </w:tc>
      </w:tr>
      <w:tr w:rsidR="00794EB9" w:rsidRPr="00794EB9" w14:paraId="4DAC43E2" w14:textId="77777777" w:rsidTr="00C307FB">
        <w:trPr>
          <w:trHeight w:val="900"/>
        </w:trPr>
        <w:tc>
          <w:tcPr>
            <w:tcW w:w="8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1846D7"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lastRenderedPageBreak/>
              <w:t>Red de Estancias Seguras y programa de becas</w:t>
            </w:r>
          </w:p>
        </w:tc>
        <w:tc>
          <w:tcPr>
            <w:tcW w:w="89" w:type="pct"/>
            <w:tcBorders>
              <w:top w:val="nil"/>
              <w:left w:val="nil"/>
              <w:bottom w:val="nil"/>
              <w:right w:val="nil"/>
            </w:tcBorders>
            <w:shd w:val="clear" w:color="auto" w:fill="auto"/>
            <w:vAlign w:val="center"/>
            <w:hideMark/>
          </w:tcPr>
          <w:p w14:paraId="49626246" w14:textId="77777777" w:rsidR="00794EB9" w:rsidRPr="00794EB9" w:rsidRDefault="00794EB9" w:rsidP="00C307FB">
            <w:pPr>
              <w:jc w:val="center"/>
              <w:rPr>
                <w:rFonts w:ascii="Arial" w:hAnsi="Arial" w:cs="Arial"/>
                <w:b/>
                <w:bCs/>
                <w:sz w:val="22"/>
                <w:szCs w:val="22"/>
                <w:lang w:eastAsia="es-MX"/>
              </w:rPr>
            </w:pP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60EBCC"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Ayúdate a ayudando</w:t>
            </w:r>
          </w:p>
        </w:tc>
        <w:tc>
          <w:tcPr>
            <w:tcW w:w="196" w:type="pct"/>
            <w:tcBorders>
              <w:top w:val="nil"/>
              <w:left w:val="nil"/>
              <w:bottom w:val="nil"/>
              <w:right w:val="nil"/>
            </w:tcBorders>
            <w:shd w:val="clear" w:color="auto" w:fill="auto"/>
            <w:vAlign w:val="center"/>
            <w:hideMark/>
          </w:tcPr>
          <w:p w14:paraId="4742DF2E" w14:textId="77777777" w:rsidR="00794EB9" w:rsidRPr="00794EB9" w:rsidRDefault="00794EB9" w:rsidP="00C307FB">
            <w:pPr>
              <w:jc w:val="center"/>
              <w:rPr>
                <w:rFonts w:ascii="Arial" w:hAnsi="Arial" w:cs="Arial"/>
                <w:b/>
                <w:bCs/>
                <w:sz w:val="22"/>
                <w:szCs w:val="22"/>
                <w:lang w:eastAsia="es-MX"/>
              </w:rPr>
            </w:pP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78BB07"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En Marcha</w:t>
            </w:r>
          </w:p>
        </w:tc>
        <w:tc>
          <w:tcPr>
            <w:tcW w:w="189" w:type="pct"/>
            <w:tcBorders>
              <w:top w:val="nil"/>
              <w:left w:val="nil"/>
              <w:bottom w:val="nil"/>
              <w:right w:val="nil"/>
            </w:tcBorders>
            <w:shd w:val="clear" w:color="auto" w:fill="auto"/>
            <w:noWrap/>
            <w:vAlign w:val="bottom"/>
            <w:hideMark/>
          </w:tcPr>
          <w:p w14:paraId="11ABFB26" w14:textId="77777777" w:rsidR="00794EB9" w:rsidRPr="00794EB9" w:rsidRDefault="00794EB9" w:rsidP="00C307FB">
            <w:pPr>
              <w:jc w:val="center"/>
              <w:rPr>
                <w:rFonts w:ascii="Arial" w:hAnsi="Arial" w:cs="Arial"/>
                <w:b/>
                <w:bCs/>
                <w:sz w:val="22"/>
                <w:szCs w:val="22"/>
                <w:lang w:eastAsia="es-MX"/>
              </w:rPr>
            </w:pPr>
          </w:p>
        </w:tc>
        <w:tc>
          <w:tcPr>
            <w:tcW w:w="7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CEA12C"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Innovación y Emprendimiento</w:t>
            </w:r>
          </w:p>
        </w:tc>
        <w:tc>
          <w:tcPr>
            <w:tcW w:w="196" w:type="pct"/>
            <w:tcBorders>
              <w:top w:val="nil"/>
              <w:left w:val="nil"/>
              <w:bottom w:val="nil"/>
              <w:right w:val="nil"/>
            </w:tcBorders>
            <w:shd w:val="clear" w:color="auto" w:fill="auto"/>
            <w:vAlign w:val="center"/>
            <w:hideMark/>
          </w:tcPr>
          <w:p w14:paraId="4B09C995" w14:textId="77777777" w:rsidR="00794EB9" w:rsidRPr="00794EB9" w:rsidRDefault="00794EB9" w:rsidP="00C307FB">
            <w:pPr>
              <w:jc w:val="center"/>
              <w:rPr>
                <w:rFonts w:ascii="Arial" w:hAnsi="Arial" w:cs="Arial"/>
                <w:b/>
                <w:bCs/>
                <w:sz w:val="22"/>
                <w:szCs w:val="22"/>
                <w:lang w:eastAsia="es-MX"/>
              </w:rPr>
            </w:pPr>
          </w:p>
        </w:tc>
        <w:tc>
          <w:tcPr>
            <w:tcW w:w="103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874699"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Visión Metropolitana</w:t>
            </w:r>
          </w:p>
        </w:tc>
      </w:tr>
      <w:tr w:rsidR="00794EB9" w:rsidRPr="00794EB9" w14:paraId="28D0D252" w14:textId="77777777" w:rsidTr="00C307FB">
        <w:trPr>
          <w:trHeight w:val="300"/>
        </w:trPr>
        <w:tc>
          <w:tcPr>
            <w:tcW w:w="842" w:type="pct"/>
            <w:tcBorders>
              <w:top w:val="nil"/>
              <w:left w:val="nil"/>
              <w:bottom w:val="nil"/>
              <w:right w:val="nil"/>
            </w:tcBorders>
            <w:shd w:val="clear" w:color="auto" w:fill="auto"/>
            <w:noWrap/>
            <w:vAlign w:val="bottom"/>
            <w:hideMark/>
          </w:tcPr>
          <w:p w14:paraId="64B508F2" w14:textId="77777777" w:rsidR="00794EB9" w:rsidRPr="00794EB9" w:rsidRDefault="00794EB9" w:rsidP="00C307FB">
            <w:pPr>
              <w:jc w:val="center"/>
              <w:rPr>
                <w:rFonts w:ascii="Arial" w:hAnsi="Arial" w:cs="Arial"/>
                <w:b/>
                <w:bCs/>
                <w:sz w:val="22"/>
                <w:szCs w:val="22"/>
                <w:lang w:eastAsia="es-MX"/>
              </w:rPr>
            </w:pPr>
          </w:p>
        </w:tc>
        <w:tc>
          <w:tcPr>
            <w:tcW w:w="89" w:type="pct"/>
            <w:tcBorders>
              <w:top w:val="nil"/>
              <w:left w:val="nil"/>
              <w:bottom w:val="nil"/>
              <w:right w:val="nil"/>
            </w:tcBorders>
            <w:shd w:val="clear" w:color="auto" w:fill="auto"/>
            <w:vAlign w:val="center"/>
            <w:hideMark/>
          </w:tcPr>
          <w:p w14:paraId="10250F92" w14:textId="77777777" w:rsidR="00794EB9" w:rsidRPr="00794EB9" w:rsidRDefault="00794EB9" w:rsidP="00C307FB">
            <w:pPr>
              <w:rPr>
                <w:rFonts w:ascii="Arial" w:hAnsi="Arial" w:cs="Arial"/>
                <w:sz w:val="22"/>
                <w:szCs w:val="22"/>
                <w:lang w:eastAsia="es-MX"/>
              </w:rPr>
            </w:pPr>
          </w:p>
        </w:tc>
        <w:tc>
          <w:tcPr>
            <w:tcW w:w="776" w:type="pct"/>
            <w:tcBorders>
              <w:top w:val="nil"/>
              <w:left w:val="nil"/>
              <w:bottom w:val="nil"/>
              <w:right w:val="nil"/>
            </w:tcBorders>
            <w:shd w:val="clear" w:color="auto" w:fill="auto"/>
            <w:vAlign w:val="center"/>
            <w:hideMark/>
          </w:tcPr>
          <w:p w14:paraId="78D31DD7" w14:textId="77777777" w:rsidR="00794EB9" w:rsidRPr="00794EB9" w:rsidRDefault="00794EB9" w:rsidP="00C307FB">
            <w:pPr>
              <w:jc w:val="cente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562CBE16" w14:textId="77777777" w:rsidR="00794EB9" w:rsidRPr="00794EB9" w:rsidRDefault="00794EB9" w:rsidP="00C307FB">
            <w:pPr>
              <w:jc w:val="center"/>
              <w:rPr>
                <w:rFonts w:ascii="Arial" w:hAnsi="Arial" w:cs="Arial"/>
                <w:sz w:val="22"/>
                <w:szCs w:val="22"/>
                <w:lang w:eastAsia="es-MX"/>
              </w:rPr>
            </w:pPr>
          </w:p>
        </w:tc>
        <w:tc>
          <w:tcPr>
            <w:tcW w:w="965" w:type="pct"/>
            <w:tcBorders>
              <w:top w:val="nil"/>
              <w:left w:val="nil"/>
              <w:bottom w:val="nil"/>
              <w:right w:val="nil"/>
            </w:tcBorders>
            <w:shd w:val="clear" w:color="auto" w:fill="auto"/>
            <w:vAlign w:val="center"/>
            <w:hideMark/>
          </w:tcPr>
          <w:p w14:paraId="0D852AEF" w14:textId="77777777" w:rsidR="00794EB9" w:rsidRPr="00794EB9" w:rsidRDefault="00794EB9" w:rsidP="00C307FB">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48CCDD9A" w14:textId="77777777" w:rsidR="00794EB9" w:rsidRPr="00794EB9" w:rsidRDefault="00794EB9" w:rsidP="00C307FB">
            <w:pPr>
              <w:jc w:val="center"/>
              <w:rPr>
                <w:rFonts w:ascii="Arial" w:hAnsi="Arial" w:cs="Arial"/>
                <w:sz w:val="22"/>
                <w:szCs w:val="22"/>
                <w:lang w:eastAsia="es-MX"/>
              </w:rPr>
            </w:pPr>
          </w:p>
        </w:tc>
        <w:tc>
          <w:tcPr>
            <w:tcW w:w="709" w:type="pct"/>
            <w:tcBorders>
              <w:top w:val="nil"/>
              <w:left w:val="nil"/>
              <w:bottom w:val="nil"/>
              <w:right w:val="nil"/>
            </w:tcBorders>
            <w:shd w:val="clear" w:color="auto" w:fill="auto"/>
            <w:noWrap/>
            <w:vAlign w:val="bottom"/>
            <w:hideMark/>
          </w:tcPr>
          <w:p w14:paraId="765E416C" w14:textId="77777777" w:rsidR="00794EB9" w:rsidRPr="00794EB9" w:rsidRDefault="00794EB9" w:rsidP="00C307FB">
            <w:pPr>
              <w:jc w:val="cente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1900BC54" w14:textId="77777777" w:rsidR="00794EB9" w:rsidRPr="00794EB9" w:rsidRDefault="00794EB9" w:rsidP="00C307FB">
            <w:pPr>
              <w:rPr>
                <w:rFonts w:ascii="Arial" w:hAnsi="Arial" w:cs="Arial"/>
                <w:sz w:val="22"/>
                <w:szCs w:val="22"/>
                <w:lang w:eastAsia="es-MX"/>
              </w:rPr>
            </w:pPr>
          </w:p>
        </w:tc>
        <w:tc>
          <w:tcPr>
            <w:tcW w:w="1038" w:type="pct"/>
            <w:tcBorders>
              <w:top w:val="nil"/>
              <w:left w:val="nil"/>
              <w:bottom w:val="nil"/>
              <w:right w:val="nil"/>
            </w:tcBorders>
            <w:shd w:val="clear" w:color="auto" w:fill="auto"/>
            <w:vAlign w:val="center"/>
            <w:hideMark/>
          </w:tcPr>
          <w:p w14:paraId="4C45B22A" w14:textId="77777777" w:rsidR="00794EB9" w:rsidRPr="00794EB9" w:rsidRDefault="00794EB9" w:rsidP="00C307FB">
            <w:pPr>
              <w:jc w:val="center"/>
              <w:rPr>
                <w:rFonts w:ascii="Arial" w:hAnsi="Arial" w:cs="Arial"/>
                <w:sz w:val="22"/>
                <w:szCs w:val="22"/>
                <w:lang w:eastAsia="es-MX"/>
              </w:rPr>
            </w:pPr>
          </w:p>
        </w:tc>
      </w:tr>
      <w:tr w:rsidR="00794EB9" w:rsidRPr="00794EB9" w14:paraId="3C0CB691" w14:textId="77777777" w:rsidTr="00C307FB">
        <w:trPr>
          <w:trHeight w:val="900"/>
        </w:trPr>
        <w:tc>
          <w:tcPr>
            <w:tcW w:w="842" w:type="pct"/>
            <w:tcBorders>
              <w:top w:val="nil"/>
              <w:left w:val="nil"/>
              <w:bottom w:val="nil"/>
              <w:right w:val="nil"/>
            </w:tcBorders>
            <w:shd w:val="clear" w:color="auto" w:fill="auto"/>
            <w:vAlign w:val="center"/>
            <w:hideMark/>
          </w:tcPr>
          <w:p w14:paraId="6E215E31" w14:textId="77777777" w:rsidR="00794EB9" w:rsidRPr="00794EB9" w:rsidRDefault="00794EB9" w:rsidP="00C307FB">
            <w:pPr>
              <w:jc w:val="center"/>
              <w:rPr>
                <w:rFonts w:ascii="Arial" w:hAnsi="Arial" w:cs="Arial"/>
                <w:sz w:val="22"/>
                <w:szCs w:val="22"/>
                <w:lang w:eastAsia="es-MX"/>
              </w:rPr>
            </w:pPr>
          </w:p>
        </w:tc>
        <w:tc>
          <w:tcPr>
            <w:tcW w:w="89" w:type="pct"/>
            <w:tcBorders>
              <w:top w:val="nil"/>
              <w:left w:val="nil"/>
              <w:bottom w:val="nil"/>
              <w:right w:val="nil"/>
            </w:tcBorders>
            <w:shd w:val="clear" w:color="auto" w:fill="auto"/>
            <w:vAlign w:val="center"/>
            <w:hideMark/>
          </w:tcPr>
          <w:p w14:paraId="112765CE" w14:textId="77777777" w:rsidR="00794EB9" w:rsidRPr="00794EB9" w:rsidRDefault="00794EB9" w:rsidP="00C307FB">
            <w:pPr>
              <w:jc w:val="center"/>
              <w:rPr>
                <w:rFonts w:ascii="Arial" w:hAnsi="Arial" w:cs="Arial"/>
                <w:sz w:val="22"/>
                <w:szCs w:val="22"/>
                <w:lang w:eastAsia="es-MX"/>
              </w:rPr>
            </w:pPr>
          </w:p>
        </w:tc>
        <w:tc>
          <w:tcPr>
            <w:tcW w:w="776" w:type="pct"/>
            <w:tcBorders>
              <w:top w:val="nil"/>
              <w:left w:val="nil"/>
              <w:bottom w:val="nil"/>
              <w:right w:val="nil"/>
            </w:tcBorders>
            <w:shd w:val="clear" w:color="auto" w:fill="auto"/>
            <w:noWrap/>
            <w:vAlign w:val="bottom"/>
            <w:hideMark/>
          </w:tcPr>
          <w:p w14:paraId="2F7947CF" w14:textId="77777777" w:rsidR="00794EB9" w:rsidRPr="00794EB9" w:rsidRDefault="00794EB9" w:rsidP="00C307FB">
            <w:pPr>
              <w:jc w:val="cente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5AC49DF9" w14:textId="77777777" w:rsidR="00794EB9" w:rsidRPr="00794EB9" w:rsidRDefault="00794EB9" w:rsidP="00C307FB">
            <w:pPr>
              <w:rPr>
                <w:rFonts w:ascii="Arial" w:hAnsi="Arial" w:cs="Arial"/>
                <w:sz w:val="22"/>
                <w:szCs w:val="22"/>
                <w:lang w:eastAsia="es-MX"/>
              </w:rPr>
            </w:pP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D4820"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Encadenamiento Productivo y Atracción de Inversiones</w:t>
            </w:r>
          </w:p>
        </w:tc>
        <w:tc>
          <w:tcPr>
            <w:tcW w:w="189" w:type="pct"/>
            <w:tcBorders>
              <w:top w:val="nil"/>
              <w:left w:val="nil"/>
              <w:bottom w:val="nil"/>
              <w:right w:val="nil"/>
            </w:tcBorders>
            <w:shd w:val="clear" w:color="auto" w:fill="auto"/>
            <w:noWrap/>
            <w:vAlign w:val="bottom"/>
            <w:hideMark/>
          </w:tcPr>
          <w:p w14:paraId="00F4D855" w14:textId="77777777" w:rsidR="00794EB9" w:rsidRPr="00794EB9" w:rsidRDefault="00794EB9" w:rsidP="00C307FB">
            <w:pPr>
              <w:jc w:val="center"/>
              <w:rPr>
                <w:rFonts w:ascii="Arial" w:hAnsi="Arial" w:cs="Arial"/>
                <w:b/>
                <w:bCs/>
                <w:sz w:val="22"/>
                <w:szCs w:val="22"/>
                <w:lang w:eastAsia="es-MX"/>
              </w:rPr>
            </w:pPr>
          </w:p>
        </w:tc>
        <w:tc>
          <w:tcPr>
            <w:tcW w:w="709" w:type="pct"/>
            <w:tcBorders>
              <w:top w:val="nil"/>
              <w:left w:val="nil"/>
              <w:bottom w:val="nil"/>
              <w:right w:val="nil"/>
            </w:tcBorders>
            <w:shd w:val="clear" w:color="auto" w:fill="auto"/>
            <w:noWrap/>
            <w:vAlign w:val="bottom"/>
            <w:hideMark/>
          </w:tcPr>
          <w:p w14:paraId="4C1BED26" w14:textId="77777777" w:rsidR="00794EB9" w:rsidRPr="00794EB9" w:rsidRDefault="00794EB9" w:rsidP="00C307FB">
            <w:pP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6665B474" w14:textId="77777777" w:rsidR="00794EB9" w:rsidRPr="00794EB9" w:rsidRDefault="00794EB9" w:rsidP="00C307FB">
            <w:pPr>
              <w:rPr>
                <w:rFonts w:ascii="Arial" w:hAnsi="Arial" w:cs="Arial"/>
                <w:sz w:val="22"/>
                <w:szCs w:val="22"/>
                <w:lang w:eastAsia="es-MX"/>
              </w:rPr>
            </w:pPr>
          </w:p>
        </w:tc>
        <w:tc>
          <w:tcPr>
            <w:tcW w:w="1038" w:type="pct"/>
            <w:tcBorders>
              <w:top w:val="nil"/>
              <w:left w:val="nil"/>
              <w:bottom w:val="nil"/>
              <w:right w:val="nil"/>
            </w:tcBorders>
            <w:shd w:val="clear" w:color="auto" w:fill="auto"/>
            <w:vAlign w:val="center"/>
            <w:hideMark/>
          </w:tcPr>
          <w:p w14:paraId="66C8AFCA" w14:textId="77777777" w:rsidR="00794EB9" w:rsidRPr="00794EB9" w:rsidRDefault="00794EB9" w:rsidP="00C307FB">
            <w:pPr>
              <w:jc w:val="center"/>
              <w:rPr>
                <w:rFonts w:ascii="Arial" w:hAnsi="Arial" w:cs="Arial"/>
                <w:sz w:val="22"/>
                <w:szCs w:val="22"/>
                <w:lang w:eastAsia="es-MX"/>
              </w:rPr>
            </w:pPr>
          </w:p>
        </w:tc>
      </w:tr>
    </w:tbl>
    <w:p w14:paraId="4EC4BEE1" w14:textId="77777777" w:rsidR="00794EB9" w:rsidRPr="00794EB9" w:rsidRDefault="00794EB9" w:rsidP="00794EB9">
      <w:pPr>
        <w:jc w:val="both"/>
        <w:rPr>
          <w:rFonts w:ascii="Arial" w:eastAsia="Calibri" w:hAnsi="Arial" w:cs="Arial"/>
          <w:sz w:val="22"/>
          <w:szCs w:val="22"/>
        </w:rPr>
      </w:pPr>
    </w:p>
    <w:p w14:paraId="6CDB8E49" w14:textId="77777777" w:rsidR="00794EB9" w:rsidRPr="00794EB9" w:rsidRDefault="00794EB9" w:rsidP="00794EB9">
      <w:pPr>
        <w:jc w:val="both"/>
        <w:rPr>
          <w:rFonts w:ascii="Arial" w:eastAsia="Calibri" w:hAnsi="Arial" w:cs="Arial"/>
          <w:sz w:val="22"/>
          <w:szCs w:val="22"/>
        </w:rPr>
      </w:pPr>
    </w:p>
    <w:p w14:paraId="3DEE6A79" w14:textId="77777777" w:rsidR="00794EB9" w:rsidRPr="00794EB9" w:rsidRDefault="00794EB9" w:rsidP="00794EB9">
      <w:pPr>
        <w:jc w:val="both"/>
        <w:rPr>
          <w:rFonts w:ascii="Arial" w:eastAsia="Calibri" w:hAnsi="Arial" w:cs="Arial"/>
          <w:sz w:val="22"/>
          <w:szCs w:val="22"/>
        </w:rPr>
      </w:pPr>
    </w:p>
    <w:p w14:paraId="7E7789C8" w14:textId="77777777" w:rsidR="00794EB9" w:rsidRPr="00794EB9" w:rsidRDefault="00794EB9" w:rsidP="00794EB9">
      <w:pPr>
        <w:jc w:val="both"/>
        <w:rPr>
          <w:rFonts w:ascii="Arial" w:eastAsia="Calibri" w:hAnsi="Arial" w:cs="Arial"/>
          <w:sz w:val="22"/>
          <w:szCs w:val="22"/>
        </w:rPr>
      </w:pPr>
    </w:p>
    <w:p w14:paraId="4AEDB817" w14:textId="77777777" w:rsidR="00794EB9" w:rsidRPr="00794EB9" w:rsidRDefault="00794EB9" w:rsidP="00794EB9">
      <w:pPr>
        <w:rPr>
          <w:rFonts w:ascii="Arial" w:hAnsi="Arial" w:cs="Arial"/>
          <w:b/>
          <w:bCs/>
          <w:sz w:val="22"/>
          <w:szCs w:val="22"/>
        </w:rPr>
      </w:pPr>
      <w:r w:rsidRPr="00794EB9">
        <w:rPr>
          <w:rFonts w:ascii="Arial" w:hAnsi="Arial" w:cs="Arial"/>
          <w:sz w:val="22"/>
          <w:szCs w:val="22"/>
        </w:rPr>
        <w:br w:type="page"/>
      </w:r>
    </w:p>
    <w:p w14:paraId="1CBC1CB4" w14:textId="77777777" w:rsidR="00794EB9" w:rsidRPr="00794EB9" w:rsidRDefault="00794EB9" w:rsidP="00794EB9">
      <w:pPr>
        <w:pStyle w:val="TtuloPG"/>
        <w:pBdr>
          <w:top w:val="single" w:sz="4" w:space="1" w:color="auto"/>
          <w:left w:val="single" w:sz="4" w:space="4" w:color="auto"/>
          <w:bottom w:val="single" w:sz="4" w:space="1" w:color="auto"/>
          <w:right w:val="single" w:sz="4" w:space="4" w:color="auto"/>
        </w:pBdr>
        <w:rPr>
          <w:color w:val="auto"/>
          <w:sz w:val="22"/>
          <w:szCs w:val="22"/>
        </w:rPr>
      </w:pPr>
      <w:r w:rsidRPr="00794EB9">
        <w:rPr>
          <w:color w:val="auto"/>
          <w:sz w:val="22"/>
          <w:szCs w:val="22"/>
        </w:rPr>
        <w:lastRenderedPageBreak/>
        <w:t>V. PLANTEAMIENTO ESTRATÉGICO</w:t>
      </w:r>
    </w:p>
    <w:p w14:paraId="77A5F0C4" w14:textId="77777777" w:rsidR="00794EB9" w:rsidRPr="00794EB9" w:rsidRDefault="00794EB9" w:rsidP="00794EB9">
      <w:pPr>
        <w:rPr>
          <w:rFonts w:ascii="Arial" w:hAnsi="Arial" w:cs="Arial"/>
          <w:b/>
          <w:bCs/>
          <w:sz w:val="22"/>
          <w:szCs w:val="22"/>
        </w:rPr>
      </w:pPr>
    </w:p>
    <w:p w14:paraId="34128511" w14:textId="77777777" w:rsidR="00794EB9" w:rsidRPr="00794EB9" w:rsidRDefault="00794EB9" w:rsidP="0018463D">
      <w:pPr>
        <w:pStyle w:val="Prrafodelista"/>
        <w:numPr>
          <w:ilvl w:val="0"/>
          <w:numId w:val="20"/>
        </w:numPr>
        <w:suppressAutoHyphens/>
        <w:textDirection w:val="btLr"/>
        <w:textAlignment w:val="top"/>
        <w:outlineLvl w:val="0"/>
        <w:rPr>
          <w:rFonts w:ascii="Arial" w:hAnsi="Arial" w:cs="Arial"/>
          <w:b/>
          <w:sz w:val="22"/>
          <w:szCs w:val="22"/>
        </w:rPr>
      </w:pPr>
      <w:r w:rsidRPr="00794EB9">
        <w:rPr>
          <w:rFonts w:ascii="Arial" w:hAnsi="Arial" w:cs="Arial"/>
          <w:b/>
          <w:sz w:val="22"/>
          <w:szCs w:val="22"/>
        </w:rPr>
        <w:t>Banderas, objetivos generales y programas.</w:t>
      </w:r>
    </w:p>
    <w:p w14:paraId="4587AC60" w14:textId="77777777" w:rsidR="00794EB9" w:rsidRPr="00794EB9" w:rsidRDefault="00794EB9" w:rsidP="00794EB9">
      <w:pPr>
        <w:ind w:hanging="2"/>
        <w:rPr>
          <w:rFonts w:ascii="Arial" w:hAnsi="Arial" w:cs="Arial"/>
          <w:sz w:val="22"/>
          <w:szCs w:val="22"/>
        </w:rPr>
      </w:pPr>
    </w:p>
    <w:p w14:paraId="00ECB87E"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El planteamiento estratégico del Programa de Gobierno Municipal de León contempla tres grandes </w:t>
      </w:r>
      <w:r w:rsidRPr="00794EB9">
        <w:rPr>
          <w:rFonts w:ascii="Arial" w:hAnsi="Arial" w:cs="Arial"/>
          <w:b/>
          <w:sz w:val="22"/>
          <w:szCs w:val="22"/>
        </w:rPr>
        <w:t>Banderas</w:t>
      </w:r>
      <w:r w:rsidRPr="00794EB9">
        <w:rPr>
          <w:rFonts w:ascii="Arial" w:hAnsi="Arial" w:cs="Arial"/>
          <w:sz w:val="22"/>
          <w:szCs w:val="22"/>
        </w:rPr>
        <w:t xml:space="preserve"> que derivan de las prioridades detectadas durante el proceso de campaña, mismo que se confirmó en el ejercicio de escucha ciudadana.</w:t>
      </w:r>
    </w:p>
    <w:p w14:paraId="146E768B" w14:textId="77777777" w:rsidR="00794EB9" w:rsidRPr="00794EB9" w:rsidRDefault="00794EB9" w:rsidP="00794EB9">
      <w:pPr>
        <w:ind w:hanging="2"/>
        <w:jc w:val="both"/>
        <w:rPr>
          <w:rFonts w:ascii="Arial" w:hAnsi="Arial" w:cs="Arial"/>
          <w:sz w:val="22"/>
          <w:szCs w:val="22"/>
        </w:rPr>
      </w:pPr>
    </w:p>
    <w:p w14:paraId="6CC671E2" w14:textId="77777777" w:rsidR="00794EB9" w:rsidRPr="00794EB9" w:rsidRDefault="00794EB9" w:rsidP="00794EB9">
      <w:pPr>
        <w:jc w:val="both"/>
        <w:rPr>
          <w:rFonts w:ascii="Arial" w:hAnsi="Arial" w:cs="Arial"/>
          <w:sz w:val="22"/>
          <w:szCs w:val="22"/>
        </w:rPr>
      </w:pPr>
      <w:r w:rsidRPr="00794EB9">
        <w:rPr>
          <w:rFonts w:ascii="Arial" w:hAnsi="Arial" w:cs="Arial"/>
          <w:bCs/>
          <w:sz w:val="22"/>
          <w:szCs w:val="22"/>
        </w:rPr>
        <w:t xml:space="preserve">Las banderas son los medios que enmarcan </w:t>
      </w:r>
      <w:r w:rsidRPr="00794EB9">
        <w:rPr>
          <w:rFonts w:ascii="Arial" w:hAnsi="Arial" w:cs="Arial"/>
          <w:sz w:val="22"/>
          <w:szCs w:val="22"/>
        </w:rPr>
        <w:t>los programas, proyectos y acciones orientados por la propia misión de gobierno para el periodo 2021-2024:</w:t>
      </w:r>
    </w:p>
    <w:p w14:paraId="140BEA12" w14:textId="77777777" w:rsidR="00794EB9" w:rsidRPr="00794EB9" w:rsidRDefault="00794EB9" w:rsidP="00794EB9">
      <w:pPr>
        <w:ind w:hanging="2"/>
        <w:jc w:val="both"/>
        <w:rPr>
          <w:rFonts w:ascii="Arial" w:hAnsi="Arial" w:cs="Arial"/>
          <w:sz w:val="22"/>
          <w:szCs w:val="22"/>
        </w:rPr>
      </w:pPr>
    </w:p>
    <w:p w14:paraId="281F7341" w14:textId="77777777" w:rsidR="00794EB9" w:rsidRPr="00794EB9" w:rsidRDefault="00794EB9" w:rsidP="00794EB9">
      <w:pPr>
        <w:ind w:hanging="2"/>
        <w:jc w:val="center"/>
        <w:rPr>
          <w:rFonts w:ascii="Arial" w:hAnsi="Arial" w:cs="Arial"/>
          <w:b/>
          <w:i/>
          <w:sz w:val="22"/>
          <w:szCs w:val="22"/>
        </w:rPr>
      </w:pPr>
      <w:r w:rsidRPr="00794EB9">
        <w:rPr>
          <w:rFonts w:ascii="Arial" w:hAnsi="Arial" w:cs="Arial"/>
          <w:b/>
          <w:i/>
          <w:sz w:val="22"/>
          <w:szCs w:val="22"/>
        </w:rPr>
        <w:t>Hacer de LEÓN una CIUDAD VIVA con una sociedad unida, resiliente y que piense en grande; en la que todo ciudadano pueda vivir sano, tranquilo y mejor.</w:t>
      </w:r>
    </w:p>
    <w:p w14:paraId="59955FBA" w14:textId="77777777" w:rsidR="00794EB9" w:rsidRPr="00794EB9" w:rsidRDefault="00794EB9" w:rsidP="00794EB9">
      <w:pPr>
        <w:jc w:val="both"/>
        <w:rPr>
          <w:rFonts w:ascii="Arial" w:hAnsi="Arial" w:cs="Arial"/>
          <w:b/>
          <w:bCs/>
          <w:sz w:val="22"/>
          <w:szCs w:val="22"/>
        </w:rPr>
      </w:pPr>
    </w:p>
    <w:p w14:paraId="5286379D" w14:textId="77777777" w:rsidR="00794EB9" w:rsidRPr="00794EB9" w:rsidRDefault="00794EB9" w:rsidP="00794EB9">
      <w:pPr>
        <w:jc w:val="both"/>
        <w:rPr>
          <w:rFonts w:ascii="Arial" w:hAnsi="Arial" w:cs="Arial"/>
          <w:bCs/>
          <w:sz w:val="22"/>
          <w:szCs w:val="22"/>
        </w:rPr>
      </w:pPr>
      <w:r w:rsidRPr="00794EB9">
        <w:rPr>
          <w:rFonts w:ascii="Arial" w:hAnsi="Arial" w:cs="Arial"/>
          <w:bCs/>
          <w:sz w:val="22"/>
          <w:szCs w:val="22"/>
        </w:rPr>
        <w:t>A su vez, cada bandera se asocia a un gran fin, es decir, a objetivos generales que orientarán el actuar de la administración pública municipal.</w:t>
      </w:r>
    </w:p>
    <w:p w14:paraId="02106219" w14:textId="77777777" w:rsidR="00794EB9" w:rsidRPr="00794EB9" w:rsidRDefault="00794EB9" w:rsidP="00794EB9">
      <w:pPr>
        <w:jc w:val="both"/>
        <w:rPr>
          <w:rFonts w:ascii="Arial" w:hAnsi="Arial" w:cs="Arial"/>
          <w:bCs/>
          <w:sz w:val="22"/>
          <w:szCs w:val="22"/>
        </w:rPr>
      </w:pPr>
    </w:p>
    <w:p w14:paraId="49900750" w14:textId="77777777" w:rsidR="00794EB9" w:rsidRPr="00794EB9" w:rsidRDefault="00794EB9" w:rsidP="00794EB9">
      <w:pPr>
        <w:jc w:val="center"/>
        <w:rPr>
          <w:rFonts w:ascii="Arial" w:hAnsi="Arial" w:cs="Arial"/>
          <w:b/>
          <w:bCs/>
          <w:sz w:val="22"/>
          <w:szCs w:val="22"/>
        </w:rPr>
      </w:pPr>
      <w:r w:rsidRPr="00794EB9">
        <w:rPr>
          <w:rFonts w:ascii="Arial" w:hAnsi="Arial" w:cs="Arial"/>
          <w:bCs/>
          <w:noProof/>
          <w:sz w:val="22"/>
          <w:szCs w:val="22"/>
          <w:lang w:val="es-MX" w:eastAsia="es-MX"/>
        </w:rPr>
        <w:drawing>
          <wp:inline distT="0" distB="0" distL="0" distR="0" wp14:anchorId="3C3A9676" wp14:editId="2EAAFB8B">
            <wp:extent cx="5875213" cy="169817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 banderas.png"/>
                    <pic:cNvPicPr/>
                  </pic:nvPicPr>
                  <pic:blipFill>
                    <a:blip r:embed="rId96" cstate="print">
                      <a:extLst>
                        <a:ext uri="{BEBA8EAE-BF5A-486C-A8C5-ECC9F3942E4B}">
                          <a14:imgProps xmlns:a14="http://schemas.microsoft.com/office/drawing/2010/main">
                            <a14:imgLayer r:embed="rId9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086376" cy="1759207"/>
                    </a:xfrm>
                    <a:prstGeom prst="rect">
                      <a:avLst/>
                    </a:prstGeom>
                  </pic:spPr>
                </pic:pic>
              </a:graphicData>
            </a:graphic>
          </wp:inline>
        </w:drawing>
      </w:r>
    </w:p>
    <w:p w14:paraId="357564AD" w14:textId="77777777" w:rsidR="00794EB9" w:rsidRPr="00794EB9" w:rsidRDefault="00794EB9" w:rsidP="00794EB9">
      <w:pPr>
        <w:jc w:val="both"/>
        <w:rPr>
          <w:rFonts w:ascii="Arial" w:hAnsi="Arial" w:cs="Arial"/>
          <w:b/>
          <w:bCs/>
          <w:sz w:val="22"/>
          <w:szCs w:val="22"/>
        </w:rPr>
      </w:pPr>
    </w:p>
    <w:p w14:paraId="73A41ECE" w14:textId="77777777" w:rsidR="00794EB9" w:rsidRPr="00794EB9" w:rsidRDefault="00794EB9" w:rsidP="00794EB9">
      <w:pPr>
        <w:shd w:val="clear" w:color="auto" w:fill="CDD2DD"/>
        <w:jc w:val="both"/>
        <w:rPr>
          <w:rFonts w:ascii="Arial" w:hAnsi="Arial" w:cs="Arial"/>
          <w:sz w:val="22"/>
          <w:szCs w:val="22"/>
        </w:rPr>
      </w:pPr>
      <w:r w:rsidRPr="00794EB9">
        <w:rPr>
          <w:rFonts w:ascii="Arial" w:hAnsi="Arial" w:cs="Arial"/>
          <w:b/>
          <w:bCs/>
          <w:sz w:val="22"/>
          <w:szCs w:val="22"/>
        </w:rPr>
        <w:t>Bandera: Vivir Tranquilos</w:t>
      </w:r>
    </w:p>
    <w:p w14:paraId="7A3EBC7E" w14:textId="77777777" w:rsidR="00794EB9" w:rsidRPr="00794EB9" w:rsidRDefault="00794EB9" w:rsidP="00794EB9">
      <w:pPr>
        <w:jc w:val="both"/>
        <w:rPr>
          <w:rFonts w:ascii="Arial" w:hAnsi="Arial" w:cs="Arial"/>
          <w:sz w:val="22"/>
          <w:szCs w:val="22"/>
        </w:rPr>
      </w:pPr>
    </w:p>
    <w:p w14:paraId="53D2311F"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OBJETIVO: </w:t>
      </w:r>
    </w:p>
    <w:p w14:paraId="41B35C23"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 xml:space="preserve">Generar un conjunto de políticas y proyectos para que todos los leoneses puedan sentirse tranquilos viviendo en León.  </w:t>
      </w:r>
    </w:p>
    <w:p w14:paraId="18E27772" w14:textId="77777777" w:rsidR="00794EB9" w:rsidRPr="00794EB9" w:rsidRDefault="00794EB9" w:rsidP="00794EB9">
      <w:pPr>
        <w:ind w:left="1080"/>
        <w:jc w:val="both"/>
        <w:rPr>
          <w:rFonts w:ascii="Arial" w:hAnsi="Arial" w:cs="Arial"/>
          <w:sz w:val="22"/>
          <w:szCs w:val="22"/>
        </w:rPr>
      </w:pPr>
    </w:p>
    <w:p w14:paraId="430D03E4"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en la que dé gusto vivir, en la que toda persona pueda transitarla cómodamente, convivir con tranquilidad en sus plazas, barrios y colonias y sentirse orgulloso de ser parte de ella. </w:t>
      </w:r>
    </w:p>
    <w:p w14:paraId="655B137F" w14:textId="77777777" w:rsidR="00794EB9" w:rsidRPr="00794EB9" w:rsidRDefault="00794EB9" w:rsidP="00794EB9">
      <w:pPr>
        <w:jc w:val="both"/>
        <w:rPr>
          <w:rFonts w:ascii="Arial" w:hAnsi="Arial" w:cs="Arial"/>
          <w:sz w:val="22"/>
          <w:szCs w:val="22"/>
        </w:rPr>
      </w:pPr>
    </w:p>
    <w:p w14:paraId="7207EEE3"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segura y ordenada, donde se respete la ley, se fomente la denuncia y prevalezca una cultura de justicia para todos en la que no quepa la impunidad. </w:t>
      </w:r>
    </w:p>
    <w:p w14:paraId="35646F0E" w14:textId="77777777" w:rsidR="00794EB9" w:rsidRPr="00794EB9" w:rsidRDefault="00794EB9" w:rsidP="00794EB9">
      <w:pPr>
        <w:jc w:val="both"/>
        <w:rPr>
          <w:rFonts w:ascii="Arial" w:hAnsi="Arial" w:cs="Arial"/>
          <w:sz w:val="22"/>
          <w:szCs w:val="22"/>
        </w:rPr>
      </w:pPr>
    </w:p>
    <w:p w14:paraId="690537D6"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para todos y de todos, que promueva la participación ciudadana responsable, capaz y organizada para atender a los que más lo necesitan, cuidar nuestro patrimonio cultural y natural y fortalecer nuestra identidad y cultura. </w:t>
      </w:r>
    </w:p>
    <w:p w14:paraId="083BFF16" w14:textId="77777777" w:rsidR="00794EB9" w:rsidRPr="00794EB9" w:rsidRDefault="00794EB9" w:rsidP="00794EB9">
      <w:pPr>
        <w:jc w:val="both"/>
        <w:rPr>
          <w:rFonts w:ascii="Arial" w:hAnsi="Arial" w:cs="Arial"/>
          <w:sz w:val="22"/>
          <w:szCs w:val="22"/>
        </w:rPr>
      </w:pPr>
    </w:p>
    <w:p w14:paraId="00B5A984"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Programas</w:t>
      </w:r>
    </w:p>
    <w:p w14:paraId="5434DB1C"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 xml:space="preserve">Gobierno Cercano 24/7 </w:t>
      </w:r>
    </w:p>
    <w:p w14:paraId="0AC696D2"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Movilidad segura</w:t>
      </w:r>
    </w:p>
    <w:p w14:paraId="7F94A677"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Nuevo Modelo de Seguridad</w:t>
      </w:r>
    </w:p>
    <w:p w14:paraId="04C31B92"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León Ciudad Emoción</w:t>
      </w:r>
    </w:p>
    <w:p w14:paraId="4C0558BA"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lastRenderedPageBreak/>
        <w:t> </w:t>
      </w:r>
    </w:p>
    <w:p w14:paraId="0429A340" w14:textId="77777777" w:rsidR="00794EB9" w:rsidRPr="00794EB9" w:rsidRDefault="00794EB9" w:rsidP="00794EB9">
      <w:pPr>
        <w:shd w:val="clear" w:color="auto" w:fill="A6A6A6" w:themeFill="background1" w:themeFillShade="A6"/>
        <w:jc w:val="both"/>
        <w:rPr>
          <w:rFonts w:ascii="Arial" w:hAnsi="Arial" w:cs="Arial"/>
          <w:sz w:val="22"/>
          <w:szCs w:val="22"/>
        </w:rPr>
      </w:pPr>
      <w:r w:rsidRPr="00794EB9">
        <w:rPr>
          <w:rFonts w:ascii="Arial" w:hAnsi="Arial" w:cs="Arial"/>
          <w:b/>
          <w:bCs/>
          <w:sz w:val="22"/>
          <w:szCs w:val="22"/>
        </w:rPr>
        <w:t>Bandera: Vivir Sanos</w:t>
      </w:r>
    </w:p>
    <w:p w14:paraId="4C689342" w14:textId="77777777" w:rsidR="00794EB9" w:rsidRPr="00794EB9" w:rsidRDefault="00794EB9" w:rsidP="00794EB9">
      <w:pPr>
        <w:jc w:val="both"/>
        <w:rPr>
          <w:rFonts w:ascii="Arial" w:hAnsi="Arial" w:cs="Arial"/>
          <w:sz w:val="22"/>
          <w:szCs w:val="22"/>
        </w:rPr>
      </w:pPr>
    </w:p>
    <w:p w14:paraId="62E62FFA"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OBJETIVO: </w:t>
      </w:r>
    </w:p>
    <w:p w14:paraId="33CB8454"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Promover estilos de vida y servicios para que las y los leoneses puedan vivir más sanos.</w:t>
      </w:r>
    </w:p>
    <w:p w14:paraId="21A063AF" w14:textId="77777777" w:rsidR="00794EB9" w:rsidRPr="00794EB9" w:rsidRDefault="00794EB9" w:rsidP="00794EB9">
      <w:pPr>
        <w:jc w:val="both"/>
        <w:rPr>
          <w:rFonts w:ascii="Arial" w:hAnsi="Arial" w:cs="Arial"/>
          <w:sz w:val="22"/>
          <w:szCs w:val="22"/>
        </w:rPr>
      </w:pPr>
    </w:p>
    <w:p w14:paraId="211CE9E6"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de gente sana que cuente con programas de promoción de la salud y prevención de la enfermedad, atención digna y oportuna con servicios médicos de calidad para todos. </w:t>
      </w:r>
    </w:p>
    <w:p w14:paraId="6D45CE4E" w14:textId="77777777" w:rsidR="00794EB9" w:rsidRPr="00794EB9" w:rsidRDefault="00794EB9" w:rsidP="00794EB9">
      <w:pPr>
        <w:jc w:val="both"/>
        <w:rPr>
          <w:rFonts w:ascii="Arial" w:hAnsi="Arial" w:cs="Arial"/>
          <w:sz w:val="22"/>
          <w:szCs w:val="22"/>
        </w:rPr>
      </w:pPr>
    </w:p>
    <w:p w14:paraId="2A08778E"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responsable con el entorno, donde el agua, medio ambiente y seres vivos sean conservados e integrados armónicamente. </w:t>
      </w:r>
    </w:p>
    <w:p w14:paraId="21DF47BF" w14:textId="77777777" w:rsidR="00794EB9" w:rsidRPr="00794EB9" w:rsidRDefault="00794EB9" w:rsidP="00794EB9">
      <w:pPr>
        <w:jc w:val="both"/>
        <w:rPr>
          <w:rFonts w:ascii="Arial" w:hAnsi="Arial" w:cs="Arial"/>
          <w:sz w:val="22"/>
          <w:szCs w:val="22"/>
        </w:rPr>
      </w:pPr>
    </w:p>
    <w:p w14:paraId="0DD036F8"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Una ciudad incluyente y respetuosa, que considera a las personas iguales ante la ley, respeta sus diferencias y cuida a sus mujeres, a abuelos, niñas y niños.</w:t>
      </w:r>
    </w:p>
    <w:p w14:paraId="07D96DA3" w14:textId="77777777" w:rsidR="00794EB9" w:rsidRPr="00794EB9" w:rsidRDefault="00794EB9" w:rsidP="00794EB9">
      <w:pPr>
        <w:jc w:val="both"/>
        <w:rPr>
          <w:rFonts w:ascii="Arial" w:hAnsi="Arial" w:cs="Arial"/>
          <w:sz w:val="22"/>
          <w:szCs w:val="22"/>
        </w:rPr>
      </w:pPr>
    </w:p>
    <w:p w14:paraId="3B4FB9C4"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Programas</w:t>
      </w:r>
    </w:p>
    <w:p w14:paraId="7C966CD7"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León Verde</w:t>
      </w:r>
    </w:p>
    <w:p w14:paraId="31DA6FBD"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León Sin Hambre</w:t>
      </w:r>
    </w:p>
    <w:p w14:paraId="23FD7469"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León Saludable</w:t>
      </w:r>
    </w:p>
    <w:p w14:paraId="4D67B650"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León para todos</w:t>
      </w:r>
    </w:p>
    <w:p w14:paraId="1EC9F08F" w14:textId="77777777" w:rsidR="00794EB9" w:rsidRPr="00794EB9" w:rsidRDefault="00794EB9" w:rsidP="00794EB9">
      <w:pPr>
        <w:ind w:left="1080"/>
        <w:jc w:val="both"/>
        <w:rPr>
          <w:rFonts w:ascii="Arial" w:hAnsi="Arial" w:cs="Arial"/>
          <w:sz w:val="22"/>
          <w:szCs w:val="22"/>
        </w:rPr>
      </w:pPr>
      <w:r w:rsidRPr="00794EB9">
        <w:rPr>
          <w:rFonts w:ascii="Arial" w:hAnsi="Arial" w:cs="Arial"/>
          <w:sz w:val="22"/>
          <w:szCs w:val="22"/>
        </w:rPr>
        <w:t> </w:t>
      </w:r>
    </w:p>
    <w:p w14:paraId="441E5B17" w14:textId="77777777" w:rsidR="00794EB9" w:rsidRPr="00794EB9" w:rsidRDefault="00794EB9" w:rsidP="00794EB9">
      <w:pPr>
        <w:shd w:val="clear" w:color="auto" w:fill="7F7F7F" w:themeFill="text1" w:themeFillTint="80"/>
        <w:jc w:val="both"/>
        <w:rPr>
          <w:rFonts w:ascii="Arial" w:hAnsi="Arial" w:cs="Arial"/>
          <w:b/>
          <w:bCs/>
          <w:sz w:val="22"/>
          <w:szCs w:val="22"/>
        </w:rPr>
      </w:pPr>
      <w:r w:rsidRPr="00794EB9">
        <w:rPr>
          <w:rFonts w:ascii="Arial" w:hAnsi="Arial" w:cs="Arial"/>
          <w:b/>
          <w:bCs/>
          <w:sz w:val="22"/>
          <w:szCs w:val="22"/>
        </w:rPr>
        <w:t>Bandera: Vivir Mejor</w:t>
      </w:r>
    </w:p>
    <w:p w14:paraId="5B996396" w14:textId="77777777" w:rsidR="00794EB9" w:rsidRPr="00794EB9" w:rsidRDefault="00794EB9" w:rsidP="00794EB9">
      <w:pPr>
        <w:jc w:val="both"/>
        <w:rPr>
          <w:rFonts w:ascii="Arial" w:hAnsi="Arial" w:cs="Arial"/>
          <w:sz w:val="22"/>
          <w:szCs w:val="22"/>
        </w:rPr>
      </w:pPr>
    </w:p>
    <w:p w14:paraId="268E505A"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OBJETIVO: </w:t>
      </w:r>
    </w:p>
    <w:p w14:paraId="3CAD64E3"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Facilitar el acceso al empleo, el bienestar, y el desarrollo económico de los diferentes sectores de la población.</w:t>
      </w:r>
    </w:p>
    <w:p w14:paraId="63042A49" w14:textId="77777777" w:rsidR="00794EB9" w:rsidRPr="00794EB9" w:rsidRDefault="00794EB9" w:rsidP="00794EB9">
      <w:pPr>
        <w:ind w:left="1080"/>
        <w:jc w:val="both"/>
        <w:rPr>
          <w:rFonts w:ascii="Arial" w:hAnsi="Arial" w:cs="Arial"/>
          <w:sz w:val="22"/>
          <w:szCs w:val="22"/>
        </w:rPr>
      </w:pPr>
    </w:p>
    <w:p w14:paraId="31D719D9"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para vivir mejor, una ciudad de ideas, donde el arte, la cultura y la ciencia guíen nuestro futuro y enriquezcan nuestro presente. </w:t>
      </w:r>
    </w:p>
    <w:p w14:paraId="24075FD1" w14:textId="77777777" w:rsidR="00794EB9" w:rsidRPr="00794EB9" w:rsidRDefault="00794EB9" w:rsidP="00794EB9">
      <w:pPr>
        <w:jc w:val="both"/>
        <w:rPr>
          <w:rFonts w:ascii="Arial" w:hAnsi="Arial" w:cs="Arial"/>
          <w:sz w:val="22"/>
          <w:szCs w:val="22"/>
        </w:rPr>
      </w:pPr>
    </w:p>
    <w:p w14:paraId="49F3A16D"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que promueva el desarrollo tecnológico, capaz de resolver nuestros días con creatividad e innovación. </w:t>
      </w:r>
    </w:p>
    <w:p w14:paraId="2284BDE6" w14:textId="77777777" w:rsidR="00794EB9" w:rsidRPr="00794EB9" w:rsidRDefault="00794EB9" w:rsidP="00794EB9">
      <w:pPr>
        <w:jc w:val="both"/>
        <w:rPr>
          <w:rFonts w:ascii="Arial" w:hAnsi="Arial" w:cs="Arial"/>
          <w:sz w:val="22"/>
          <w:szCs w:val="22"/>
        </w:rPr>
      </w:pPr>
    </w:p>
    <w:p w14:paraId="5975D83A"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Una ciudad de oportunidades, que impulse las nuevas ideas, el aprendizaje de calidad y ofrezca desarrollo para todos.</w:t>
      </w:r>
    </w:p>
    <w:p w14:paraId="18F50157" w14:textId="77777777" w:rsidR="00794EB9" w:rsidRPr="00794EB9" w:rsidRDefault="00794EB9" w:rsidP="00794EB9">
      <w:pPr>
        <w:jc w:val="both"/>
        <w:rPr>
          <w:rFonts w:ascii="Arial" w:hAnsi="Arial" w:cs="Arial"/>
          <w:sz w:val="22"/>
          <w:szCs w:val="22"/>
        </w:rPr>
      </w:pPr>
    </w:p>
    <w:p w14:paraId="0A411909"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Programas</w:t>
      </w:r>
    </w:p>
    <w:p w14:paraId="7E6A2B1C"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 xml:space="preserve">Salir adelante </w:t>
      </w:r>
    </w:p>
    <w:p w14:paraId="4A04BDE4"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León de Oportunidades</w:t>
      </w:r>
    </w:p>
    <w:p w14:paraId="32F5C33F"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León 450</w:t>
      </w:r>
    </w:p>
    <w:p w14:paraId="1950258D" w14:textId="77777777" w:rsidR="00794EB9" w:rsidRPr="00794EB9" w:rsidRDefault="00794EB9" w:rsidP="00794EB9">
      <w:pPr>
        <w:jc w:val="both"/>
        <w:rPr>
          <w:rFonts w:ascii="Arial" w:hAnsi="Arial" w:cs="Arial"/>
          <w:sz w:val="22"/>
          <w:szCs w:val="22"/>
        </w:rPr>
      </w:pPr>
    </w:p>
    <w:p w14:paraId="32BD47A6" w14:textId="77777777" w:rsidR="00794EB9" w:rsidRPr="00794EB9" w:rsidRDefault="00794EB9" w:rsidP="00794EB9">
      <w:pPr>
        <w:jc w:val="both"/>
        <w:rPr>
          <w:rFonts w:ascii="Arial" w:hAnsi="Arial" w:cs="Arial"/>
          <w:sz w:val="22"/>
          <w:szCs w:val="22"/>
        </w:rPr>
      </w:pPr>
    </w:p>
    <w:p w14:paraId="22727257" w14:textId="77777777" w:rsidR="00794EB9" w:rsidRPr="00794EB9" w:rsidRDefault="00794EB9" w:rsidP="00794EB9">
      <w:pPr>
        <w:rPr>
          <w:rFonts w:ascii="Arial" w:hAnsi="Arial" w:cs="Arial"/>
          <w:b/>
          <w:bCs/>
          <w:sz w:val="22"/>
          <w:szCs w:val="22"/>
        </w:rPr>
      </w:pPr>
      <w:r w:rsidRPr="00794EB9">
        <w:rPr>
          <w:rFonts w:ascii="Arial" w:hAnsi="Arial" w:cs="Arial"/>
          <w:sz w:val="22"/>
          <w:szCs w:val="22"/>
        </w:rPr>
        <w:br w:type="page"/>
      </w:r>
    </w:p>
    <w:p w14:paraId="1B992E94" w14:textId="77777777" w:rsidR="00794EB9" w:rsidRPr="00794EB9" w:rsidRDefault="00794EB9" w:rsidP="00794EB9">
      <w:pPr>
        <w:pStyle w:val="TtuloPG"/>
        <w:pBdr>
          <w:top w:val="single" w:sz="4" w:space="1" w:color="auto"/>
          <w:left w:val="single" w:sz="4" w:space="4" w:color="auto"/>
          <w:bottom w:val="single" w:sz="4" w:space="1" w:color="auto"/>
          <w:right w:val="single" w:sz="4" w:space="4" w:color="auto"/>
        </w:pBdr>
        <w:rPr>
          <w:color w:val="auto"/>
          <w:sz w:val="22"/>
          <w:szCs w:val="22"/>
        </w:rPr>
      </w:pPr>
      <w:r w:rsidRPr="00794EB9">
        <w:rPr>
          <w:color w:val="auto"/>
          <w:sz w:val="22"/>
          <w:szCs w:val="22"/>
        </w:rPr>
        <w:lastRenderedPageBreak/>
        <w:t>VI. PROGRAMAS, PROYECTOS Y ACCIONES</w:t>
      </w:r>
    </w:p>
    <w:p w14:paraId="5E9C955E" w14:textId="77777777" w:rsidR="00794EB9" w:rsidRPr="00794EB9" w:rsidRDefault="00794EB9" w:rsidP="00794EB9">
      <w:pPr>
        <w:ind w:hanging="2"/>
        <w:jc w:val="both"/>
        <w:rPr>
          <w:rFonts w:ascii="Arial" w:hAnsi="Arial" w:cs="Arial"/>
          <w:sz w:val="22"/>
          <w:szCs w:val="22"/>
        </w:rPr>
      </w:pPr>
    </w:p>
    <w:p w14:paraId="381B1A6E"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A continuación, se presentan las seis estrategias establecidas, que por bloques conforman un total de 11 programas, así como los proyectos y acciones que se propone implementar para alcanzar los objetivos generales definidos en las tres banderas estratégicas.</w:t>
      </w:r>
    </w:p>
    <w:p w14:paraId="02D1BB4A" w14:textId="77777777" w:rsidR="00794EB9" w:rsidRPr="00794EB9" w:rsidRDefault="00794EB9" w:rsidP="00794EB9">
      <w:pPr>
        <w:ind w:hanging="2"/>
        <w:jc w:val="both"/>
        <w:rPr>
          <w:rFonts w:ascii="Arial" w:hAnsi="Arial" w:cs="Arial"/>
          <w:b/>
          <w:bCs/>
          <w:sz w:val="22"/>
          <w:szCs w:val="22"/>
        </w:rPr>
      </w:pPr>
    </w:p>
    <w:p w14:paraId="430ACABE" w14:textId="77777777" w:rsidR="00794EB9" w:rsidRPr="00794EB9" w:rsidRDefault="00794EB9" w:rsidP="00794EB9">
      <w:pPr>
        <w:pStyle w:val="TtuloPG2"/>
        <w:ind w:left="0"/>
        <w:jc w:val="both"/>
        <w:rPr>
          <w:bCs/>
          <w:color w:val="auto"/>
          <w:sz w:val="22"/>
          <w:szCs w:val="22"/>
        </w:rPr>
      </w:pPr>
      <w:r w:rsidRPr="00794EB9">
        <w:rPr>
          <w:bCs/>
          <w:color w:val="auto"/>
          <w:sz w:val="22"/>
          <w:szCs w:val="22"/>
        </w:rPr>
        <w:t>Estrategia 1.  ESTADO DE DERECHO Y SEGURIDAD PÚBLICA</w:t>
      </w:r>
    </w:p>
    <w:p w14:paraId="1010B219" w14:textId="77777777" w:rsidR="00794EB9" w:rsidRPr="00794EB9" w:rsidRDefault="00794EB9" w:rsidP="00794EB9">
      <w:pPr>
        <w:pStyle w:val="TtuloPG2"/>
        <w:ind w:left="0"/>
        <w:jc w:val="both"/>
        <w:rPr>
          <w:b w:val="0"/>
          <w:color w:val="auto"/>
          <w:sz w:val="22"/>
          <w:szCs w:val="22"/>
        </w:rPr>
      </w:pPr>
    </w:p>
    <w:p w14:paraId="6B8D0FBE"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Implementación de un gobierno cercano y apegado al estado de derecho en beneficio de la población en general, para la disminución de la inseguridad y la reducción de la delincuencia, promoviendo mejores condiciones de movilidad.</w:t>
      </w:r>
    </w:p>
    <w:p w14:paraId="1DA1E1BD"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Programas:</w:t>
      </w:r>
    </w:p>
    <w:p w14:paraId="665DD0EC" w14:textId="77777777" w:rsidR="00794EB9" w:rsidRPr="00794EB9" w:rsidRDefault="00794EB9" w:rsidP="00794EB9">
      <w:pPr>
        <w:pStyle w:val="TtuloPG2"/>
        <w:ind w:left="0"/>
        <w:jc w:val="both"/>
        <w:rPr>
          <w:b w:val="0"/>
          <w:color w:val="auto"/>
          <w:sz w:val="22"/>
          <w:szCs w:val="22"/>
        </w:rPr>
      </w:pPr>
    </w:p>
    <w:p w14:paraId="3824CF97"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VT.1. Gobierno Cercano 24/7</w:t>
      </w:r>
    </w:p>
    <w:p w14:paraId="773CB63C"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VT.2. Movilidad Segura</w:t>
      </w:r>
    </w:p>
    <w:p w14:paraId="6F280897"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VT.3. Nuevo Modelo de Seguridad</w:t>
      </w:r>
    </w:p>
    <w:p w14:paraId="6DDE7F2A" w14:textId="77777777" w:rsidR="00794EB9" w:rsidRPr="00794EB9" w:rsidRDefault="00794EB9" w:rsidP="00794EB9">
      <w:pPr>
        <w:pStyle w:val="TtuloPG2"/>
        <w:ind w:left="0"/>
        <w:jc w:val="both"/>
        <w:rPr>
          <w:b w:val="0"/>
          <w:color w:val="auto"/>
          <w:sz w:val="22"/>
          <w:szCs w:val="22"/>
        </w:rPr>
      </w:pPr>
    </w:p>
    <w:p w14:paraId="0BC16745" w14:textId="77777777" w:rsidR="00794EB9" w:rsidRPr="00794EB9" w:rsidRDefault="00794EB9" w:rsidP="00794EB9">
      <w:pPr>
        <w:pStyle w:val="TtuloPG2"/>
        <w:ind w:left="0"/>
        <w:jc w:val="both"/>
        <w:rPr>
          <w:b w:val="0"/>
          <w:color w:val="auto"/>
          <w:sz w:val="22"/>
          <w:szCs w:val="22"/>
        </w:rPr>
      </w:pPr>
    </w:p>
    <w:p w14:paraId="15A38308" w14:textId="77777777" w:rsidR="00794EB9" w:rsidRPr="00794EB9" w:rsidRDefault="00794EB9" w:rsidP="00794EB9">
      <w:pPr>
        <w:pStyle w:val="TtuloPG2"/>
        <w:ind w:left="0"/>
        <w:jc w:val="both"/>
        <w:rPr>
          <w:color w:val="auto"/>
          <w:sz w:val="22"/>
          <w:szCs w:val="22"/>
        </w:rPr>
      </w:pPr>
      <w:r w:rsidRPr="00794EB9">
        <w:rPr>
          <w:color w:val="auto"/>
          <w:sz w:val="22"/>
          <w:szCs w:val="22"/>
          <w:lang w:val="es-ES" w:eastAsia="es-MX"/>
        </w:rPr>
        <w:t xml:space="preserve">PROGRAMA: </w:t>
      </w:r>
      <w:r w:rsidRPr="00794EB9">
        <w:rPr>
          <w:color w:val="auto"/>
          <w:sz w:val="22"/>
          <w:szCs w:val="22"/>
        </w:rPr>
        <w:t>VT.1. GOBIERNO CERCANO 24/7</w:t>
      </w:r>
    </w:p>
    <w:p w14:paraId="3CE68FE4" w14:textId="77777777" w:rsidR="00794EB9" w:rsidRPr="00794EB9" w:rsidRDefault="00794EB9" w:rsidP="00794EB9">
      <w:pPr>
        <w:ind w:hanging="2"/>
        <w:jc w:val="both"/>
        <w:rPr>
          <w:rFonts w:ascii="Arial" w:hAnsi="Arial" w:cs="Arial"/>
          <w:sz w:val="22"/>
          <w:szCs w:val="22"/>
        </w:rPr>
      </w:pPr>
    </w:p>
    <w:p w14:paraId="742AEA54"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2D6C83D0"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Para que cada leonés pueda realizar sus trámites con mayor agilidad y tener comunicación directa con su gobierno cerca de su casa.</w:t>
      </w:r>
    </w:p>
    <w:p w14:paraId="3709A099" w14:textId="77777777" w:rsidR="00794EB9" w:rsidRPr="00794EB9" w:rsidRDefault="00794EB9" w:rsidP="00794EB9">
      <w:pPr>
        <w:pStyle w:val="TtuloPG2"/>
        <w:ind w:left="0"/>
        <w:jc w:val="both"/>
        <w:rPr>
          <w:color w:val="auto"/>
          <w:sz w:val="22"/>
          <w:szCs w:val="22"/>
        </w:rPr>
      </w:pPr>
    </w:p>
    <w:p w14:paraId="0762E5DA"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78188E9E"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Las personas hacen un gran esfuerzo por pagar sus impuestos, es responsabilidad municipal hacer buen uso de ellos, por eso tendremos el gobierno municipal con trámites más ágiles y cercanos.</w:t>
      </w:r>
    </w:p>
    <w:p w14:paraId="61244CF7" w14:textId="77777777" w:rsidR="00794EB9" w:rsidRPr="00794EB9" w:rsidRDefault="00794EB9" w:rsidP="00794EB9">
      <w:pPr>
        <w:pStyle w:val="TtuloPG2"/>
        <w:ind w:left="0"/>
        <w:jc w:val="both"/>
        <w:rPr>
          <w:b w:val="0"/>
          <w:color w:val="auto"/>
          <w:sz w:val="22"/>
          <w:szCs w:val="22"/>
        </w:rPr>
      </w:pPr>
    </w:p>
    <w:p w14:paraId="48A98C74"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2B7E071F"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Desarrollar una forma de gobierno con mayor cercanía con la población que atienda sus demandas y solicitudes basada en trámites digitales, un modelo de delegaciones, presupuesto participativo y una forma de atención ciudadana basada en la excelencia en el trato y el servicio.</w:t>
      </w:r>
    </w:p>
    <w:p w14:paraId="1CE406F5" w14:textId="77777777" w:rsidR="00794EB9" w:rsidRPr="00794EB9" w:rsidRDefault="00794EB9" w:rsidP="00794EB9">
      <w:pPr>
        <w:pStyle w:val="TtuloPG2"/>
        <w:ind w:leftChars="0" w:firstLineChars="0" w:firstLine="0"/>
        <w:jc w:val="both"/>
        <w:rPr>
          <w:b w:val="0"/>
          <w:color w:val="auto"/>
          <w:sz w:val="22"/>
          <w:szCs w:val="22"/>
        </w:rPr>
      </w:pPr>
    </w:p>
    <w:p w14:paraId="72EB9E8C"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542E4DE1"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Secretaría de Vinculación y Atención a los leoneses</w:t>
      </w:r>
    </w:p>
    <w:p w14:paraId="0F6E95AC" w14:textId="77777777" w:rsidR="00794EB9" w:rsidRPr="00794EB9" w:rsidRDefault="00794EB9" w:rsidP="00794EB9">
      <w:pPr>
        <w:pStyle w:val="TtuloPG2"/>
        <w:ind w:left="0"/>
        <w:jc w:val="both"/>
        <w:rPr>
          <w:b w:val="0"/>
          <w:color w:val="auto"/>
          <w:sz w:val="22"/>
          <w:szCs w:val="22"/>
        </w:rPr>
      </w:pPr>
    </w:p>
    <w:p w14:paraId="20708E4D"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190FD6E6"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1.1 Gobierno Digital León</w:t>
      </w:r>
    </w:p>
    <w:p w14:paraId="0FB3EE81"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1.2 Modelo de Delegaciones</w:t>
      </w:r>
    </w:p>
    <w:p w14:paraId="04D18024"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1.3 Presupuesto Participativo</w:t>
      </w:r>
    </w:p>
    <w:p w14:paraId="742D9E2C"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1.4 Nuevo Modelo de Atención Ciudadana</w:t>
      </w:r>
    </w:p>
    <w:p w14:paraId="1519E790"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1.5 Servidores Públicos al 100</w:t>
      </w:r>
    </w:p>
    <w:p w14:paraId="1DD5303E"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1.6 Sistema de Inteligencia Municipal (SIM)</w:t>
      </w:r>
    </w:p>
    <w:p w14:paraId="16A88574" w14:textId="77777777" w:rsidR="00794EB9" w:rsidRPr="00794EB9" w:rsidRDefault="00794EB9" w:rsidP="00794EB9">
      <w:pPr>
        <w:pStyle w:val="TtuloPG2"/>
        <w:ind w:leftChars="0" w:left="718" w:firstLineChars="0" w:firstLine="0"/>
        <w:jc w:val="both"/>
        <w:rPr>
          <w:b w:val="0"/>
          <w:color w:val="auto"/>
          <w:sz w:val="22"/>
          <w:szCs w:val="22"/>
        </w:rPr>
      </w:pPr>
    </w:p>
    <w:p w14:paraId="5A147F31" w14:textId="77777777" w:rsidR="00794EB9" w:rsidRPr="00794EB9" w:rsidRDefault="00794EB9" w:rsidP="00794EB9">
      <w:pPr>
        <w:pStyle w:val="TtuloPG2"/>
        <w:ind w:leftChars="0" w:left="718" w:firstLineChars="0" w:firstLine="0"/>
        <w:jc w:val="both"/>
        <w:rPr>
          <w:b w:val="0"/>
          <w:color w:val="auto"/>
          <w:sz w:val="22"/>
          <w:szCs w:val="22"/>
        </w:rPr>
      </w:pPr>
    </w:p>
    <w:p w14:paraId="5F6062A6" w14:textId="77777777" w:rsidR="00794EB9" w:rsidRPr="00794EB9" w:rsidRDefault="00794EB9" w:rsidP="00794EB9">
      <w:pPr>
        <w:pStyle w:val="TtuloPG2"/>
        <w:ind w:leftChars="0" w:left="718" w:firstLineChars="0" w:firstLine="0"/>
        <w:jc w:val="both"/>
        <w:rPr>
          <w:b w:val="0"/>
          <w:color w:val="auto"/>
          <w:sz w:val="22"/>
          <w:szCs w:val="22"/>
        </w:rPr>
      </w:pPr>
    </w:p>
    <w:tbl>
      <w:tblPr>
        <w:tblW w:w="4948" w:type="pct"/>
        <w:tblLook w:val="0600" w:firstRow="0" w:lastRow="0" w:firstColumn="0" w:lastColumn="0" w:noHBand="1" w:noVBand="1"/>
      </w:tblPr>
      <w:tblGrid>
        <w:gridCol w:w="2288"/>
        <w:gridCol w:w="6458"/>
      </w:tblGrid>
      <w:tr w:rsidR="00794EB9" w:rsidRPr="00794EB9" w14:paraId="511998B8" w14:textId="77777777" w:rsidTr="00C307FB">
        <w:trPr>
          <w:trHeight w:val="57"/>
        </w:trPr>
        <w:tc>
          <w:tcPr>
            <w:tcW w:w="5000" w:type="pct"/>
            <w:gridSpan w:val="2"/>
            <w:shd w:val="clear" w:color="auto" w:fill="F2F2F2" w:themeFill="background1" w:themeFillShade="F2"/>
            <w:tcMar>
              <w:top w:w="20" w:type="dxa"/>
              <w:left w:w="20" w:type="dxa"/>
              <w:bottom w:w="100" w:type="dxa"/>
              <w:right w:w="20" w:type="dxa"/>
            </w:tcMar>
          </w:tcPr>
          <w:p w14:paraId="0FB57112"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Proyecto:</w:t>
            </w:r>
          </w:p>
          <w:p w14:paraId="3EBF6F32"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VT. 1.1 Gobierno Digital León</w:t>
            </w:r>
          </w:p>
        </w:tc>
      </w:tr>
      <w:tr w:rsidR="00794EB9" w:rsidRPr="00794EB9" w14:paraId="525CE925" w14:textId="77777777" w:rsidTr="00C307FB">
        <w:trPr>
          <w:trHeight w:val="57"/>
        </w:trPr>
        <w:tc>
          <w:tcPr>
            <w:tcW w:w="5000" w:type="pct"/>
            <w:gridSpan w:val="2"/>
            <w:tcMar>
              <w:top w:w="20" w:type="dxa"/>
              <w:left w:w="20" w:type="dxa"/>
              <w:bottom w:w="100" w:type="dxa"/>
              <w:right w:w="20" w:type="dxa"/>
            </w:tcMar>
          </w:tcPr>
          <w:p w14:paraId="5E04B697"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lastRenderedPageBreak/>
              <w:t>Propósito u objetivo del proyecto</w:t>
            </w:r>
          </w:p>
          <w:p w14:paraId="75DDA056"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Lograr que  los servicios y trámites de mayor demanda por parte de la población se ofrezcan de manera digital para otorgando facilidades a los usuarios, así como la mejora regulatoria en los principales servicios y la promoción intensiva del proceso de apertura rápida de empresas.</w:t>
            </w:r>
          </w:p>
        </w:tc>
      </w:tr>
      <w:tr w:rsidR="00794EB9" w:rsidRPr="00794EB9" w14:paraId="460365A8" w14:textId="77777777" w:rsidTr="00C307FB">
        <w:trPr>
          <w:trHeight w:val="57"/>
        </w:trPr>
        <w:tc>
          <w:tcPr>
            <w:tcW w:w="1308" w:type="pct"/>
            <w:shd w:val="clear" w:color="auto" w:fill="F2F2F2" w:themeFill="background1" w:themeFillShade="F2"/>
            <w:tcMar>
              <w:top w:w="20" w:type="dxa"/>
              <w:left w:w="20" w:type="dxa"/>
              <w:bottom w:w="100" w:type="dxa"/>
              <w:right w:w="20" w:type="dxa"/>
            </w:tcMar>
          </w:tcPr>
          <w:p w14:paraId="51690B7B"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c>
          <w:tcPr>
            <w:tcW w:w="3692" w:type="pct"/>
            <w:shd w:val="clear" w:color="auto" w:fill="F2F2F2" w:themeFill="background1" w:themeFillShade="F2"/>
            <w:tcMar>
              <w:top w:w="20" w:type="dxa"/>
              <w:left w:w="20" w:type="dxa"/>
              <w:bottom w:w="100" w:type="dxa"/>
              <w:right w:w="20" w:type="dxa"/>
            </w:tcMar>
          </w:tcPr>
          <w:p w14:paraId="45EA3BC2" w14:textId="77777777" w:rsidR="00794EB9" w:rsidRPr="00794EB9" w:rsidRDefault="00794EB9" w:rsidP="00C307FB">
            <w:pPr>
              <w:keepLines/>
              <w:ind w:hanging="2"/>
              <w:jc w:val="both"/>
              <w:rPr>
                <w:rFonts w:ascii="Arial" w:hAnsi="Arial" w:cs="Arial"/>
                <w:sz w:val="22"/>
                <w:szCs w:val="22"/>
              </w:rPr>
            </w:pPr>
            <w:r w:rsidRPr="00794EB9">
              <w:rPr>
                <w:rFonts w:ascii="Arial" w:hAnsi="Arial" w:cs="Arial"/>
                <w:sz w:val="22"/>
                <w:szCs w:val="22"/>
              </w:rPr>
              <w:t xml:space="preserve"> </w:t>
            </w:r>
          </w:p>
        </w:tc>
      </w:tr>
    </w:tbl>
    <w:p w14:paraId="0B5FB241" w14:textId="77777777" w:rsidR="00794EB9" w:rsidRPr="00794EB9" w:rsidRDefault="00794EB9" w:rsidP="00794EB9">
      <w:pPr>
        <w:pStyle w:val="PGAcciones"/>
        <w:rPr>
          <w:color w:val="auto"/>
          <w:sz w:val="22"/>
          <w:szCs w:val="22"/>
        </w:rPr>
      </w:pPr>
      <w:r w:rsidRPr="00794EB9">
        <w:rPr>
          <w:color w:val="auto"/>
          <w:sz w:val="22"/>
          <w:szCs w:val="22"/>
        </w:rPr>
        <w:t>VT. 1.1.1 Identificar los trámites que representan el 80% de las interacciones de los ciudadanos en las diferentes dependencias y entidades municipales.</w:t>
      </w:r>
    </w:p>
    <w:p w14:paraId="71462161" w14:textId="77777777" w:rsidR="00794EB9" w:rsidRPr="00794EB9" w:rsidRDefault="00794EB9" w:rsidP="00794EB9">
      <w:pPr>
        <w:pStyle w:val="PGAcciones"/>
        <w:rPr>
          <w:color w:val="auto"/>
          <w:sz w:val="22"/>
          <w:szCs w:val="22"/>
        </w:rPr>
      </w:pPr>
      <w:r w:rsidRPr="00794EB9">
        <w:rPr>
          <w:color w:val="auto"/>
          <w:sz w:val="22"/>
          <w:szCs w:val="22"/>
        </w:rPr>
        <w:t>VT. 1.1.2 Revisar e implementar acciones para la simplificación de trámites identificados como parte del proceso de mejora regulatoria.</w:t>
      </w:r>
    </w:p>
    <w:p w14:paraId="2A7B882A" w14:textId="77777777" w:rsidR="00794EB9" w:rsidRPr="00794EB9" w:rsidRDefault="00794EB9" w:rsidP="00794EB9">
      <w:pPr>
        <w:pStyle w:val="PGAcciones"/>
        <w:rPr>
          <w:color w:val="auto"/>
          <w:sz w:val="22"/>
          <w:szCs w:val="22"/>
        </w:rPr>
      </w:pPr>
      <w:r w:rsidRPr="00794EB9">
        <w:rPr>
          <w:color w:val="auto"/>
          <w:sz w:val="22"/>
          <w:szCs w:val="22"/>
        </w:rPr>
        <w:t>VT. 1.1.3 Digitalización de los trámites identificados.</w:t>
      </w:r>
    </w:p>
    <w:p w14:paraId="60238BE5" w14:textId="77777777" w:rsidR="00794EB9" w:rsidRPr="00794EB9" w:rsidRDefault="00794EB9" w:rsidP="00794EB9">
      <w:pPr>
        <w:pStyle w:val="PGAcciones"/>
        <w:rPr>
          <w:color w:val="auto"/>
          <w:sz w:val="22"/>
          <w:szCs w:val="22"/>
        </w:rPr>
      </w:pPr>
      <w:r w:rsidRPr="00794EB9">
        <w:rPr>
          <w:color w:val="auto"/>
          <w:sz w:val="22"/>
          <w:szCs w:val="22"/>
        </w:rPr>
        <w:t>VT. 1.1.4 Simplificar y agilizar la tramitología contemplada en el Sistema de Apertura Rápida de Empresas.</w:t>
      </w:r>
    </w:p>
    <w:p w14:paraId="4EBACBD3" w14:textId="77777777" w:rsidR="00794EB9" w:rsidRPr="00794EB9" w:rsidRDefault="00794EB9" w:rsidP="00794EB9">
      <w:pPr>
        <w:pStyle w:val="PGAcciones"/>
        <w:rPr>
          <w:color w:val="auto"/>
          <w:sz w:val="22"/>
          <w:szCs w:val="22"/>
        </w:rPr>
      </w:pPr>
      <w:r w:rsidRPr="00794EB9">
        <w:rPr>
          <w:color w:val="auto"/>
          <w:sz w:val="22"/>
          <w:szCs w:val="22"/>
        </w:rPr>
        <w:t>VT. 1.1.5 Realizar una mayor promoción y seguimiento de los resultados del programa.</w:t>
      </w:r>
    </w:p>
    <w:p w14:paraId="6F2A2C40" w14:textId="77777777" w:rsidR="00794EB9" w:rsidRPr="00794EB9" w:rsidRDefault="00794EB9" w:rsidP="00794EB9">
      <w:pPr>
        <w:jc w:val="both"/>
        <w:rPr>
          <w:rFonts w:ascii="Arial" w:hAnsi="Arial" w:cs="Arial"/>
          <w:sz w:val="22"/>
          <w:szCs w:val="22"/>
        </w:rPr>
      </w:pPr>
    </w:p>
    <w:p w14:paraId="3FF081D8" w14:textId="77777777" w:rsidR="00794EB9" w:rsidRPr="00794EB9" w:rsidRDefault="00794EB9" w:rsidP="00794EB9">
      <w:pPr>
        <w:jc w:val="both"/>
        <w:rPr>
          <w:rFonts w:ascii="Arial" w:hAnsi="Arial" w:cs="Arial"/>
          <w:sz w:val="22"/>
          <w:szCs w:val="22"/>
        </w:rPr>
      </w:pPr>
    </w:p>
    <w:tbl>
      <w:tblPr>
        <w:tblW w:w="4948" w:type="pct"/>
        <w:tblLook w:val="0600" w:firstRow="0" w:lastRow="0" w:firstColumn="0" w:lastColumn="0" w:noHBand="1" w:noVBand="1"/>
      </w:tblPr>
      <w:tblGrid>
        <w:gridCol w:w="2557"/>
        <w:gridCol w:w="6189"/>
      </w:tblGrid>
      <w:tr w:rsidR="00794EB9" w:rsidRPr="00794EB9" w14:paraId="7AA11D36" w14:textId="77777777" w:rsidTr="00C307FB">
        <w:trPr>
          <w:trHeight w:val="57"/>
        </w:trPr>
        <w:tc>
          <w:tcPr>
            <w:tcW w:w="5000" w:type="pct"/>
            <w:gridSpan w:val="2"/>
            <w:shd w:val="clear" w:color="auto" w:fill="F2F2F2" w:themeFill="background1" w:themeFillShade="F2"/>
            <w:tcMar>
              <w:top w:w="20" w:type="dxa"/>
              <w:left w:w="20" w:type="dxa"/>
              <w:bottom w:w="100" w:type="dxa"/>
              <w:right w:w="20" w:type="dxa"/>
            </w:tcMar>
          </w:tcPr>
          <w:p w14:paraId="08B21935"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Proyecto:</w:t>
            </w:r>
          </w:p>
          <w:p w14:paraId="337DC2A6"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VT. 1.2 Modelo de Delegaciones</w:t>
            </w:r>
          </w:p>
        </w:tc>
      </w:tr>
      <w:tr w:rsidR="00794EB9" w:rsidRPr="00794EB9" w14:paraId="71574A46" w14:textId="77777777" w:rsidTr="00C307FB">
        <w:trPr>
          <w:trHeight w:val="57"/>
        </w:trPr>
        <w:tc>
          <w:tcPr>
            <w:tcW w:w="5000" w:type="pct"/>
            <w:gridSpan w:val="2"/>
            <w:tcMar>
              <w:top w:w="20" w:type="dxa"/>
              <w:left w:w="20" w:type="dxa"/>
              <w:bottom w:w="100" w:type="dxa"/>
              <w:right w:w="20" w:type="dxa"/>
            </w:tcMar>
          </w:tcPr>
          <w:p w14:paraId="11EAA8B1"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72563C61"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Crear un sistema de organización de las labores del gobierno municipal con base en una estructura territorial de Delegaciones para ofrecer servicios con mayor cercanía y calidad a los ciudadanos.</w:t>
            </w:r>
          </w:p>
        </w:tc>
      </w:tr>
      <w:tr w:rsidR="00794EB9" w:rsidRPr="00794EB9" w14:paraId="70EA343F" w14:textId="77777777" w:rsidTr="00C307FB">
        <w:trPr>
          <w:trHeight w:val="57"/>
        </w:trPr>
        <w:tc>
          <w:tcPr>
            <w:tcW w:w="1462" w:type="pct"/>
            <w:shd w:val="clear" w:color="auto" w:fill="F2F2F2" w:themeFill="background1" w:themeFillShade="F2"/>
            <w:tcMar>
              <w:top w:w="20" w:type="dxa"/>
              <w:left w:w="20" w:type="dxa"/>
              <w:bottom w:w="100" w:type="dxa"/>
              <w:right w:w="20" w:type="dxa"/>
            </w:tcMar>
          </w:tcPr>
          <w:p w14:paraId="3CC95524"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c>
          <w:tcPr>
            <w:tcW w:w="3538" w:type="pct"/>
            <w:shd w:val="clear" w:color="auto" w:fill="F2F2F2" w:themeFill="background1" w:themeFillShade="F2"/>
            <w:tcMar>
              <w:top w:w="20" w:type="dxa"/>
              <w:left w:w="20" w:type="dxa"/>
              <w:bottom w:w="100" w:type="dxa"/>
              <w:right w:w="20" w:type="dxa"/>
            </w:tcMar>
          </w:tcPr>
          <w:p w14:paraId="12D42DB5" w14:textId="77777777" w:rsidR="00794EB9" w:rsidRPr="00794EB9" w:rsidRDefault="00794EB9" w:rsidP="00C307FB">
            <w:pPr>
              <w:keepLines/>
              <w:ind w:left="299" w:hangingChars="136" w:hanging="299"/>
              <w:jc w:val="both"/>
              <w:rPr>
                <w:rFonts w:ascii="Arial" w:hAnsi="Arial" w:cs="Arial"/>
                <w:sz w:val="22"/>
                <w:szCs w:val="22"/>
              </w:rPr>
            </w:pPr>
            <w:r w:rsidRPr="00794EB9">
              <w:rPr>
                <w:rFonts w:ascii="Arial" w:hAnsi="Arial" w:cs="Arial"/>
                <w:sz w:val="22"/>
                <w:szCs w:val="22"/>
              </w:rPr>
              <w:t xml:space="preserve"> </w:t>
            </w:r>
          </w:p>
        </w:tc>
      </w:tr>
    </w:tbl>
    <w:p w14:paraId="63E33744" w14:textId="77777777" w:rsidR="00794EB9" w:rsidRPr="00794EB9" w:rsidRDefault="00794EB9" w:rsidP="00794EB9">
      <w:pPr>
        <w:pStyle w:val="PGAcciones"/>
        <w:rPr>
          <w:color w:val="auto"/>
          <w:sz w:val="22"/>
          <w:szCs w:val="22"/>
        </w:rPr>
      </w:pPr>
      <w:r w:rsidRPr="00794EB9">
        <w:rPr>
          <w:color w:val="auto"/>
          <w:sz w:val="22"/>
          <w:szCs w:val="22"/>
        </w:rPr>
        <w:t>VT. 1.2.1 Definir el modelo de operación de las oficinas de atención en las Delegaciones.</w:t>
      </w:r>
    </w:p>
    <w:p w14:paraId="1ECC1894" w14:textId="77777777" w:rsidR="00794EB9" w:rsidRPr="00794EB9" w:rsidRDefault="00794EB9" w:rsidP="00794EB9">
      <w:pPr>
        <w:pStyle w:val="PGAcciones"/>
        <w:rPr>
          <w:color w:val="auto"/>
          <w:sz w:val="22"/>
          <w:szCs w:val="22"/>
        </w:rPr>
      </w:pPr>
      <w:r w:rsidRPr="00794EB9">
        <w:rPr>
          <w:color w:val="auto"/>
          <w:sz w:val="22"/>
          <w:szCs w:val="22"/>
        </w:rPr>
        <w:t>VT. 1.2.2 Instalar las oficinas de representación en las delegaciones.</w:t>
      </w:r>
    </w:p>
    <w:p w14:paraId="16D79652" w14:textId="77777777" w:rsidR="00794EB9" w:rsidRPr="00794EB9" w:rsidRDefault="00794EB9" w:rsidP="00794EB9">
      <w:pPr>
        <w:jc w:val="both"/>
        <w:rPr>
          <w:rFonts w:ascii="Arial" w:hAnsi="Arial" w:cs="Arial"/>
          <w:sz w:val="22"/>
          <w:szCs w:val="22"/>
        </w:rPr>
      </w:pPr>
    </w:p>
    <w:p w14:paraId="67AE963D" w14:textId="77777777" w:rsidR="00794EB9" w:rsidRPr="00794EB9" w:rsidRDefault="00794EB9" w:rsidP="00794EB9">
      <w:pPr>
        <w:jc w:val="both"/>
        <w:rPr>
          <w:rFonts w:ascii="Arial" w:hAnsi="Arial" w:cs="Arial"/>
          <w:sz w:val="22"/>
          <w:szCs w:val="22"/>
        </w:rPr>
      </w:pPr>
    </w:p>
    <w:tbl>
      <w:tblPr>
        <w:tblW w:w="4999" w:type="pct"/>
        <w:tblLook w:val="0600" w:firstRow="0" w:lastRow="0" w:firstColumn="0" w:lastColumn="0" w:noHBand="1" w:noVBand="1"/>
      </w:tblPr>
      <w:tblGrid>
        <w:gridCol w:w="8746"/>
        <w:gridCol w:w="90"/>
      </w:tblGrid>
      <w:tr w:rsidR="00794EB9" w:rsidRPr="00794EB9" w14:paraId="193F8CED" w14:textId="77777777" w:rsidTr="00C307FB">
        <w:trPr>
          <w:trHeight w:val="57"/>
        </w:trPr>
        <w:tc>
          <w:tcPr>
            <w:tcW w:w="5000" w:type="pct"/>
            <w:gridSpan w:val="2"/>
            <w:shd w:val="clear" w:color="auto" w:fill="F2F2F2" w:themeFill="background1" w:themeFillShade="F2"/>
            <w:tcMar>
              <w:top w:w="20" w:type="dxa"/>
              <w:left w:w="20" w:type="dxa"/>
              <w:bottom w:w="100" w:type="dxa"/>
              <w:right w:w="20" w:type="dxa"/>
            </w:tcMar>
          </w:tcPr>
          <w:p w14:paraId="2FC682D2"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6D9571E7"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VT. 1.3 Presupuesto Participativo</w:t>
            </w:r>
          </w:p>
        </w:tc>
      </w:tr>
      <w:tr w:rsidR="00794EB9" w:rsidRPr="00794EB9" w14:paraId="5F86897D" w14:textId="77777777" w:rsidTr="00C307FB">
        <w:trPr>
          <w:trHeight w:val="57"/>
        </w:trPr>
        <w:tc>
          <w:tcPr>
            <w:tcW w:w="5000" w:type="pct"/>
            <w:gridSpan w:val="2"/>
            <w:tcMar>
              <w:top w:w="20" w:type="dxa"/>
              <w:left w:w="20" w:type="dxa"/>
              <w:bottom w:w="100" w:type="dxa"/>
              <w:right w:w="20" w:type="dxa"/>
            </w:tcMar>
          </w:tcPr>
          <w:p w14:paraId="360E2A0E"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58701946"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 xml:space="preserve">Generar un ejercicio de planeación participativa mediante el voto directo de los ciudadanos por cada Delegación para elegir las obras de mayor prioridad. </w:t>
            </w:r>
          </w:p>
        </w:tc>
      </w:tr>
      <w:tr w:rsidR="00794EB9" w:rsidRPr="00794EB9" w14:paraId="340ED169" w14:textId="77777777" w:rsidTr="00C307FB">
        <w:trPr>
          <w:gridAfter w:val="1"/>
          <w:wAfter w:w="51" w:type="pct"/>
          <w:trHeight w:val="276"/>
        </w:trPr>
        <w:tc>
          <w:tcPr>
            <w:tcW w:w="4949" w:type="pct"/>
            <w:shd w:val="clear" w:color="auto" w:fill="F2F2F2" w:themeFill="background1" w:themeFillShade="F2"/>
            <w:tcMar>
              <w:top w:w="20" w:type="dxa"/>
              <w:left w:w="20" w:type="dxa"/>
              <w:bottom w:w="100" w:type="dxa"/>
              <w:right w:w="20" w:type="dxa"/>
            </w:tcMar>
          </w:tcPr>
          <w:p w14:paraId="4755724D"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37847007" w14:textId="77777777" w:rsidR="00794EB9" w:rsidRPr="00794EB9" w:rsidRDefault="00794EB9" w:rsidP="00794EB9">
      <w:pPr>
        <w:pStyle w:val="PGAcciones"/>
        <w:rPr>
          <w:color w:val="auto"/>
          <w:sz w:val="22"/>
          <w:szCs w:val="22"/>
        </w:rPr>
      </w:pPr>
      <w:r w:rsidRPr="00794EB9">
        <w:rPr>
          <w:color w:val="auto"/>
          <w:sz w:val="22"/>
          <w:szCs w:val="22"/>
        </w:rPr>
        <w:t>VT. 1.3.1 Implementar un Sistema de participación ciudadana para la asignación del presupuesto</w:t>
      </w:r>
    </w:p>
    <w:p w14:paraId="6ECA8FF0" w14:textId="77777777" w:rsidR="00794EB9" w:rsidRPr="00794EB9" w:rsidRDefault="00794EB9" w:rsidP="00794EB9">
      <w:pPr>
        <w:pStyle w:val="PGAcciones"/>
        <w:rPr>
          <w:color w:val="auto"/>
          <w:sz w:val="22"/>
          <w:szCs w:val="22"/>
        </w:rPr>
      </w:pPr>
      <w:r w:rsidRPr="00794EB9">
        <w:rPr>
          <w:color w:val="auto"/>
          <w:sz w:val="22"/>
          <w:szCs w:val="22"/>
        </w:rPr>
        <w:t>VT. 1.3.2 Establecer los mecanismos y difundir los procesos de postulación y votación de acciones por Delegación</w:t>
      </w:r>
    </w:p>
    <w:p w14:paraId="6C00CA65" w14:textId="77777777" w:rsidR="00794EB9" w:rsidRPr="00794EB9" w:rsidRDefault="00794EB9" w:rsidP="00794EB9">
      <w:pPr>
        <w:rPr>
          <w:rFonts w:ascii="Arial" w:hAnsi="Arial" w:cs="Arial"/>
          <w:sz w:val="22"/>
          <w:szCs w:val="22"/>
        </w:rPr>
      </w:pPr>
    </w:p>
    <w:p w14:paraId="75616738" w14:textId="77777777" w:rsidR="00794EB9" w:rsidRPr="00794EB9" w:rsidRDefault="00794EB9" w:rsidP="00794EB9">
      <w:pPr>
        <w:rPr>
          <w:rFonts w:ascii="Arial" w:hAnsi="Arial" w:cs="Arial"/>
          <w:sz w:val="22"/>
          <w:szCs w:val="22"/>
        </w:rPr>
      </w:pPr>
    </w:p>
    <w:p w14:paraId="34C1CA27" w14:textId="77777777" w:rsidR="00794EB9" w:rsidRPr="00794EB9" w:rsidRDefault="00794EB9" w:rsidP="00794EB9">
      <w:pPr>
        <w:rPr>
          <w:rFonts w:ascii="Arial" w:hAnsi="Arial" w:cs="Arial"/>
          <w:sz w:val="22"/>
          <w:szCs w:val="22"/>
        </w:rPr>
      </w:pPr>
    </w:p>
    <w:p w14:paraId="097508EC" w14:textId="77777777" w:rsidR="00794EB9" w:rsidRPr="00794EB9" w:rsidRDefault="00794EB9" w:rsidP="00794EB9">
      <w:pPr>
        <w:rPr>
          <w:rFonts w:ascii="Arial" w:hAnsi="Arial" w:cs="Arial"/>
          <w:sz w:val="22"/>
          <w:szCs w:val="22"/>
        </w:rPr>
      </w:pPr>
    </w:p>
    <w:p w14:paraId="69E3F589" w14:textId="77777777" w:rsidR="00794EB9" w:rsidRPr="00794EB9" w:rsidRDefault="00794EB9" w:rsidP="00794EB9">
      <w:pPr>
        <w:jc w:val="both"/>
        <w:rPr>
          <w:rFonts w:ascii="Arial" w:hAnsi="Arial" w:cs="Arial"/>
          <w:sz w:val="22"/>
          <w:szCs w:val="22"/>
        </w:rPr>
      </w:pPr>
    </w:p>
    <w:tbl>
      <w:tblPr>
        <w:tblW w:w="5000" w:type="pct"/>
        <w:tblLook w:val="0600" w:firstRow="0" w:lastRow="0" w:firstColumn="0" w:lastColumn="0" w:noHBand="1" w:noVBand="1"/>
      </w:tblPr>
      <w:tblGrid>
        <w:gridCol w:w="8838"/>
      </w:tblGrid>
      <w:tr w:rsidR="00794EB9" w:rsidRPr="00794EB9" w14:paraId="5039EFB8" w14:textId="77777777" w:rsidTr="00C307FB">
        <w:trPr>
          <w:trHeight w:val="57"/>
        </w:trPr>
        <w:tc>
          <w:tcPr>
            <w:tcW w:w="5000" w:type="pct"/>
            <w:shd w:val="clear" w:color="auto" w:fill="F2F2F2" w:themeFill="background1" w:themeFillShade="F2"/>
            <w:tcMar>
              <w:top w:w="20" w:type="dxa"/>
              <w:left w:w="20" w:type="dxa"/>
              <w:bottom w:w="100" w:type="dxa"/>
              <w:right w:w="20" w:type="dxa"/>
            </w:tcMar>
          </w:tcPr>
          <w:p w14:paraId="694F84A0"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2A9FD1A2"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VT. 1.4 Nuevo Modelo de Atención Ciudadana</w:t>
            </w:r>
          </w:p>
        </w:tc>
      </w:tr>
      <w:tr w:rsidR="00794EB9" w:rsidRPr="00794EB9" w14:paraId="2FA776F4" w14:textId="77777777" w:rsidTr="00C307FB">
        <w:trPr>
          <w:trHeight w:val="57"/>
        </w:trPr>
        <w:tc>
          <w:tcPr>
            <w:tcW w:w="5000" w:type="pct"/>
            <w:tcMar>
              <w:top w:w="20" w:type="dxa"/>
              <w:left w:w="20" w:type="dxa"/>
              <w:bottom w:w="100" w:type="dxa"/>
              <w:right w:w="20" w:type="dxa"/>
            </w:tcMar>
          </w:tcPr>
          <w:p w14:paraId="59AE44B4"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0D8E8596"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 xml:space="preserve">Abrir a la ciudadanía diversos canales de comunicación para la recepción de sus demandas y prioridades, así como para que el Gobierno Municipal y la alcaldesa estén en contacto con los habitantes del municipio ofreciendo los diversos servicios que pueden prestar las dependencias municipales. </w:t>
            </w:r>
          </w:p>
        </w:tc>
      </w:tr>
      <w:tr w:rsidR="00794EB9" w:rsidRPr="00794EB9" w14:paraId="64AE134A" w14:textId="77777777" w:rsidTr="00C307FB">
        <w:trPr>
          <w:trHeight w:val="338"/>
        </w:trPr>
        <w:tc>
          <w:tcPr>
            <w:tcW w:w="5000" w:type="pct"/>
            <w:shd w:val="clear" w:color="auto" w:fill="F2F2F2" w:themeFill="background1" w:themeFillShade="F2"/>
            <w:tcMar>
              <w:top w:w="20" w:type="dxa"/>
              <w:left w:w="20" w:type="dxa"/>
              <w:bottom w:w="100" w:type="dxa"/>
              <w:right w:w="20" w:type="dxa"/>
            </w:tcMar>
          </w:tcPr>
          <w:p w14:paraId="468B2F9A"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0526F0C0" w14:textId="77777777" w:rsidR="00794EB9" w:rsidRPr="00794EB9" w:rsidRDefault="00794EB9" w:rsidP="00794EB9">
      <w:pPr>
        <w:pStyle w:val="PGAcciones"/>
        <w:rPr>
          <w:color w:val="auto"/>
          <w:sz w:val="22"/>
          <w:szCs w:val="22"/>
        </w:rPr>
      </w:pPr>
      <w:r w:rsidRPr="00794EB9">
        <w:rPr>
          <w:color w:val="auto"/>
          <w:sz w:val="22"/>
          <w:szCs w:val="22"/>
        </w:rPr>
        <w:t>VT. 1.4.1 Relanzar el Miércoles Ciudadano para la atención de solicitudes de la ciudadanía.</w:t>
      </w:r>
    </w:p>
    <w:p w14:paraId="41EEBAAF" w14:textId="77777777" w:rsidR="00794EB9" w:rsidRPr="00794EB9" w:rsidRDefault="00794EB9" w:rsidP="00794EB9">
      <w:pPr>
        <w:pStyle w:val="PGAcciones"/>
        <w:rPr>
          <w:color w:val="auto"/>
          <w:sz w:val="22"/>
          <w:szCs w:val="22"/>
        </w:rPr>
      </w:pPr>
      <w:r w:rsidRPr="00794EB9">
        <w:rPr>
          <w:color w:val="auto"/>
          <w:sz w:val="22"/>
          <w:szCs w:val="22"/>
        </w:rPr>
        <w:t xml:space="preserve">VT. 1.4.2 Lanzar el programa Mi Barrio Habla en comunidades rurales y urbanas que comprende la organización de asambleas, mesa de servicios y atención ciudadana. </w:t>
      </w:r>
    </w:p>
    <w:p w14:paraId="7E7CA99B" w14:textId="77777777" w:rsidR="00794EB9" w:rsidRPr="00794EB9" w:rsidRDefault="00794EB9" w:rsidP="00794EB9">
      <w:pPr>
        <w:pStyle w:val="PGAcciones"/>
        <w:rPr>
          <w:color w:val="auto"/>
          <w:sz w:val="22"/>
          <w:szCs w:val="22"/>
        </w:rPr>
      </w:pPr>
      <w:r w:rsidRPr="00794EB9">
        <w:rPr>
          <w:color w:val="auto"/>
          <w:sz w:val="22"/>
          <w:szCs w:val="22"/>
        </w:rPr>
        <w:t>VT. 1.4.3 Lanzar el programa de Presidenta en Tu Casa, con la visita de la Alcaldesa a una casa en diferentes colonias.</w:t>
      </w:r>
    </w:p>
    <w:p w14:paraId="0F839DF1" w14:textId="77777777" w:rsidR="00794EB9" w:rsidRPr="00794EB9" w:rsidRDefault="00794EB9" w:rsidP="00794EB9">
      <w:pPr>
        <w:pStyle w:val="PGAcciones"/>
        <w:rPr>
          <w:color w:val="auto"/>
          <w:sz w:val="22"/>
          <w:szCs w:val="22"/>
        </w:rPr>
      </w:pPr>
      <w:r w:rsidRPr="00794EB9">
        <w:rPr>
          <w:color w:val="auto"/>
          <w:sz w:val="22"/>
          <w:szCs w:val="22"/>
        </w:rPr>
        <w:t>VT. 1.4.4. Relanzar el sistema de atención ciudadana a través del programa Hola León! que contempla la integración de diferentes mecanismos de atención vía página web, atención vía WhatsApp, App Móvil, línea 072 y Redes Sociales.</w:t>
      </w:r>
    </w:p>
    <w:p w14:paraId="474ED921" w14:textId="77777777" w:rsidR="00794EB9" w:rsidRPr="00794EB9" w:rsidRDefault="00794EB9" w:rsidP="00794EB9">
      <w:pPr>
        <w:pStyle w:val="PGAcciones"/>
        <w:rPr>
          <w:color w:val="auto"/>
          <w:sz w:val="22"/>
          <w:szCs w:val="22"/>
        </w:rPr>
      </w:pPr>
      <w:r w:rsidRPr="00794EB9">
        <w:rPr>
          <w:color w:val="auto"/>
          <w:sz w:val="22"/>
          <w:szCs w:val="22"/>
        </w:rPr>
        <w:t xml:space="preserve">VT. 1.4.5. Realizar una ampliación de los horarios de atención en todas las dependencias que cuentan con ventanilla de atención al público. </w:t>
      </w:r>
    </w:p>
    <w:p w14:paraId="36EC91C5" w14:textId="77777777" w:rsidR="00794EB9" w:rsidRPr="00794EB9" w:rsidRDefault="00794EB9" w:rsidP="00794EB9">
      <w:pPr>
        <w:jc w:val="both"/>
        <w:rPr>
          <w:rFonts w:ascii="Arial" w:hAnsi="Arial" w:cs="Arial"/>
          <w:b/>
          <w:sz w:val="22"/>
          <w:szCs w:val="22"/>
        </w:rPr>
      </w:pPr>
    </w:p>
    <w:p w14:paraId="2CA0F0AF" w14:textId="77777777" w:rsidR="00794EB9" w:rsidRPr="00794EB9" w:rsidRDefault="00794EB9" w:rsidP="00794EB9">
      <w:pPr>
        <w:jc w:val="both"/>
        <w:rPr>
          <w:rFonts w:ascii="Arial" w:hAnsi="Arial" w:cs="Arial"/>
          <w:b/>
          <w:sz w:val="22"/>
          <w:szCs w:val="22"/>
        </w:rPr>
      </w:pPr>
    </w:p>
    <w:tbl>
      <w:tblPr>
        <w:tblW w:w="5000" w:type="pct"/>
        <w:tblLook w:val="0600" w:firstRow="0" w:lastRow="0" w:firstColumn="0" w:lastColumn="0" w:noHBand="1" w:noVBand="1"/>
      </w:tblPr>
      <w:tblGrid>
        <w:gridCol w:w="8838"/>
      </w:tblGrid>
      <w:tr w:rsidR="00794EB9" w:rsidRPr="00794EB9" w14:paraId="5C6FCE9B" w14:textId="77777777" w:rsidTr="00C307FB">
        <w:trPr>
          <w:trHeight w:val="57"/>
        </w:trPr>
        <w:tc>
          <w:tcPr>
            <w:tcW w:w="5000" w:type="pct"/>
            <w:shd w:val="clear" w:color="auto" w:fill="F2F2F2" w:themeFill="background1" w:themeFillShade="F2"/>
            <w:tcMar>
              <w:top w:w="20" w:type="dxa"/>
              <w:left w:w="20" w:type="dxa"/>
              <w:bottom w:w="100" w:type="dxa"/>
              <w:right w:w="20" w:type="dxa"/>
            </w:tcMar>
          </w:tcPr>
          <w:p w14:paraId="353E334E"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2E4306FC"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VT. 1.5  Servidores Públicos al 100</w:t>
            </w:r>
          </w:p>
        </w:tc>
      </w:tr>
      <w:tr w:rsidR="00794EB9" w:rsidRPr="00794EB9" w14:paraId="4FAC0541" w14:textId="77777777" w:rsidTr="00C307FB">
        <w:trPr>
          <w:trHeight w:val="57"/>
        </w:trPr>
        <w:tc>
          <w:tcPr>
            <w:tcW w:w="5000" w:type="pct"/>
            <w:tcMar>
              <w:top w:w="20" w:type="dxa"/>
              <w:left w:w="20" w:type="dxa"/>
              <w:bottom w:w="100" w:type="dxa"/>
              <w:right w:w="20" w:type="dxa"/>
            </w:tcMar>
          </w:tcPr>
          <w:p w14:paraId="48560113"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26741DE8"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Asegurar la formación de los Servidores Públicos tanto en el nivel directivo como en el resto de las áreas para ser capaces de ofrecer un liderazgo efectivo en la gestión de proyectos y el la oferta de servicios y procesos de excelencia.</w:t>
            </w:r>
          </w:p>
        </w:tc>
      </w:tr>
      <w:tr w:rsidR="00794EB9" w:rsidRPr="00794EB9" w14:paraId="13AF30A3" w14:textId="77777777" w:rsidTr="00C307FB">
        <w:trPr>
          <w:trHeight w:val="57"/>
        </w:trPr>
        <w:tc>
          <w:tcPr>
            <w:tcW w:w="5000" w:type="pct"/>
            <w:shd w:val="clear" w:color="auto" w:fill="F2F2F2" w:themeFill="background1" w:themeFillShade="F2"/>
            <w:tcMar>
              <w:top w:w="20" w:type="dxa"/>
              <w:left w:w="20" w:type="dxa"/>
              <w:bottom w:w="100" w:type="dxa"/>
              <w:right w:w="20" w:type="dxa"/>
            </w:tcMar>
          </w:tcPr>
          <w:p w14:paraId="15525C64"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42E99B8E" w14:textId="77777777" w:rsidR="00794EB9" w:rsidRPr="00794EB9" w:rsidRDefault="00794EB9" w:rsidP="00794EB9">
      <w:pPr>
        <w:pStyle w:val="PGAcciones"/>
        <w:rPr>
          <w:color w:val="auto"/>
          <w:sz w:val="22"/>
          <w:szCs w:val="22"/>
        </w:rPr>
      </w:pPr>
      <w:r w:rsidRPr="00794EB9">
        <w:rPr>
          <w:color w:val="auto"/>
          <w:sz w:val="22"/>
          <w:szCs w:val="22"/>
        </w:rPr>
        <w:t>VT. 1.5.1 Desarrollar un programa para el desarrollo de competencias y el fortalecimiento de las habilidades de liderazgo para titulares de dependencias</w:t>
      </w:r>
    </w:p>
    <w:p w14:paraId="17017539" w14:textId="77777777" w:rsidR="00794EB9" w:rsidRPr="00794EB9" w:rsidRDefault="00794EB9" w:rsidP="00794EB9">
      <w:pPr>
        <w:pStyle w:val="PGAcciones"/>
        <w:rPr>
          <w:color w:val="auto"/>
          <w:sz w:val="22"/>
          <w:szCs w:val="22"/>
        </w:rPr>
      </w:pPr>
      <w:r w:rsidRPr="00794EB9">
        <w:rPr>
          <w:color w:val="auto"/>
          <w:sz w:val="22"/>
          <w:szCs w:val="22"/>
        </w:rPr>
        <w:t>VT. 1.5.2 Desarrollar un programa de formación de servidores públicos enfocado a fortalecer la vocación de servicio y mejorar la atención ciudadana.</w:t>
      </w:r>
    </w:p>
    <w:p w14:paraId="2DFACEFE" w14:textId="77777777" w:rsidR="00794EB9" w:rsidRPr="00794EB9" w:rsidRDefault="00794EB9" w:rsidP="00794EB9">
      <w:pPr>
        <w:jc w:val="both"/>
        <w:rPr>
          <w:rFonts w:ascii="Arial" w:hAnsi="Arial" w:cs="Arial"/>
          <w:b/>
          <w:sz w:val="22"/>
          <w:szCs w:val="22"/>
        </w:rPr>
      </w:pPr>
    </w:p>
    <w:p w14:paraId="09E3C476" w14:textId="77777777" w:rsidR="00794EB9" w:rsidRPr="00794EB9" w:rsidRDefault="00794EB9" w:rsidP="00794EB9">
      <w:pPr>
        <w:jc w:val="both"/>
        <w:rPr>
          <w:rFonts w:ascii="Arial" w:hAnsi="Arial" w:cs="Arial"/>
          <w:sz w:val="22"/>
          <w:szCs w:val="22"/>
        </w:rPr>
      </w:pPr>
    </w:p>
    <w:tbl>
      <w:tblPr>
        <w:tblW w:w="5000" w:type="pct"/>
        <w:tblLook w:val="0600" w:firstRow="0" w:lastRow="0" w:firstColumn="0" w:lastColumn="0" w:noHBand="1" w:noVBand="1"/>
      </w:tblPr>
      <w:tblGrid>
        <w:gridCol w:w="8838"/>
      </w:tblGrid>
      <w:tr w:rsidR="00794EB9" w:rsidRPr="00794EB9" w14:paraId="68E7CFED" w14:textId="77777777" w:rsidTr="00C307FB">
        <w:trPr>
          <w:trHeight w:val="57"/>
        </w:trPr>
        <w:tc>
          <w:tcPr>
            <w:tcW w:w="5000" w:type="pct"/>
            <w:shd w:val="clear" w:color="auto" w:fill="F2F2F2" w:themeFill="background1" w:themeFillShade="F2"/>
            <w:tcMar>
              <w:top w:w="20" w:type="dxa"/>
              <w:left w:w="20" w:type="dxa"/>
              <w:bottom w:w="100" w:type="dxa"/>
              <w:right w:w="20" w:type="dxa"/>
            </w:tcMar>
          </w:tcPr>
          <w:p w14:paraId="01F4A2B6"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2112CA4E"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VT. 1.6 Sistema de Inteligencia Municipal (SIM)</w:t>
            </w:r>
          </w:p>
        </w:tc>
      </w:tr>
      <w:tr w:rsidR="00794EB9" w:rsidRPr="00794EB9" w14:paraId="3B5DE078" w14:textId="77777777" w:rsidTr="00C307FB">
        <w:trPr>
          <w:trHeight w:val="57"/>
        </w:trPr>
        <w:tc>
          <w:tcPr>
            <w:tcW w:w="5000" w:type="pct"/>
            <w:tcMar>
              <w:top w:w="20" w:type="dxa"/>
              <w:left w:w="20" w:type="dxa"/>
              <w:bottom w:w="100" w:type="dxa"/>
              <w:right w:w="20" w:type="dxa"/>
            </w:tcMar>
          </w:tcPr>
          <w:p w14:paraId="2020B3C8"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219DBCBA"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 xml:space="preserve">Concentrar la información existente en una plataforma para la georreferenciación y cruce de datos que permita la generación de reportes de inteligencia para la toma de decisiones y el diseño de políticas públicas municipales.  </w:t>
            </w:r>
          </w:p>
        </w:tc>
      </w:tr>
      <w:tr w:rsidR="00794EB9" w:rsidRPr="00794EB9" w14:paraId="15626539" w14:textId="77777777" w:rsidTr="00C307FB">
        <w:trPr>
          <w:trHeight w:val="57"/>
        </w:trPr>
        <w:tc>
          <w:tcPr>
            <w:tcW w:w="5000" w:type="pct"/>
            <w:shd w:val="clear" w:color="auto" w:fill="F2F2F2" w:themeFill="background1" w:themeFillShade="F2"/>
            <w:tcMar>
              <w:top w:w="20" w:type="dxa"/>
              <w:left w:w="20" w:type="dxa"/>
              <w:bottom w:w="100" w:type="dxa"/>
              <w:right w:w="20" w:type="dxa"/>
            </w:tcMar>
          </w:tcPr>
          <w:p w14:paraId="1B793E94"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lastRenderedPageBreak/>
              <w:t>Acciones del proyecto</w:t>
            </w:r>
          </w:p>
        </w:tc>
      </w:tr>
    </w:tbl>
    <w:p w14:paraId="7AD1EAAF" w14:textId="77777777" w:rsidR="00794EB9" w:rsidRPr="00794EB9" w:rsidRDefault="00794EB9" w:rsidP="00794EB9">
      <w:pPr>
        <w:pStyle w:val="PGAcciones"/>
        <w:rPr>
          <w:color w:val="auto"/>
          <w:sz w:val="22"/>
          <w:szCs w:val="22"/>
        </w:rPr>
      </w:pPr>
      <w:r w:rsidRPr="00794EB9">
        <w:rPr>
          <w:color w:val="auto"/>
          <w:sz w:val="22"/>
          <w:szCs w:val="22"/>
        </w:rPr>
        <w:t xml:space="preserve">VT. 1.6.1 Integrar capas de información existente para desarrollar de manera analítica el cruce de capas de información que permitan el diseño y desarrollo de reportes de inteligencia, así como la integración de un tablero de indicadores para la toma de decisiones. </w:t>
      </w:r>
    </w:p>
    <w:p w14:paraId="62253781" w14:textId="77777777" w:rsidR="00794EB9" w:rsidRPr="00794EB9" w:rsidRDefault="00794EB9" w:rsidP="00794EB9">
      <w:pPr>
        <w:jc w:val="both"/>
        <w:rPr>
          <w:rFonts w:ascii="Arial" w:hAnsi="Arial" w:cs="Arial"/>
          <w:b/>
          <w:sz w:val="22"/>
          <w:szCs w:val="22"/>
        </w:rPr>
      </w:pPr>
    </w:p>
    <w:p w14:paraId="48CF3A7C" w14:textId="77777777" w:rsidR="00794EB9" w:rsidRPr="00794EB9" w:rsidRDefault="00794EB9" w:rsidP="00794EB9">
      <w:pPr>
        <w:pStyle w:val="TtuloPG2"/>
        <w:ind w:left="0"/>
        <w:jc w:val="both"/>
        <w:rPr>
          <w:color w:val="auto"/>
          <w:sz w:val="22"/>
          <w:szCs w:val="22"/>
          <w:lang w:val="es-ES" w:eastAsia="es-MX"/>
        </w:rPr>
      </w:pPr>
      <w:r w:rsidRPr="00794EB9">
        <w:rPr>
          <w:color w:val="auto"/>
          <w:sz w:val="22"/>
          <w:szCs w:val="22"/>
          <w:lang w:val="es-ES" w:eastAsia="es-MX"/>
        </w:rPr>
        <w:t>PROGRAMA: VT. 2. MOVILIDAD SEGURA</w:t>
      </w:r>
    </w:p>
    <w:p w14:paraId="51039318" w14:textId="77777777" w:rsidR="00794EB9" w:rsidRPr="00794EB9" w:rsidRDefault="00794EB9" w:rsidP="00794EB9">
      <w:pPr>
        <w:ind w:hanging="2"/>
        <w:jc w:val="both"/>
        <w:rPr>
          <w:rFonts w:ascii="Arial" w:hAnsi="Arial" w:cs="Arial"/>
          <w:sz w:val="22"/>
          <w:szCs w:val="22"/>
        </w:rPr>
      </w:pPr>
    </w:p>
    <w:p w14:paraId="112ED6B7"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4CEFD989"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Poner a León en movimiento, con más opciones para que cueste menos tiempo y dinero moverse entre casa, trabajo, escuela y cualquier lugar.</w:t>
      </w:r>
    </w:p>
    <w:p w14:paraId="2879394F" w14:textId="77777777" w:rsidR="00794EB9" w:rsidRPr="00794EB9" w:rsidRDefault="00794EB9" w:rsidP="00794EB9">
      <w:pPr>
        <w:pStyle w:val="TtuloPG2"/>
        <w:ind w:left="0"/>
        <w:jc w:val="both"/>
        <w:rPr>
          <w:color w:val="auto"/>
          <w:sz w:val="22"/>
          <w:szCs w:val="22"/>
        </w:rPr>
      </w:pPr>
    </w:p>
    <w:p w14:paraId="4D984BB0"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669C7D6C"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Fortalecer al municipio, volverlo seguro y ordenado, para que la movilidad urbana sea más ágil, lo que incluye transporte público, privado, bicicletas, y corredores seguros, esto para atender la actual demanda.</w:t>
      </w:r>
    </w:p>
    <w:p w14:paraId="1C8473F3" w14:textId="77777777" w:rsidR="00794EB9" w:rsidRPr="00794EB9" w:rsidRDefault="00794EB9" w:rsidP="00794EB9">
      <w:pPr>
        <w:pStyle w:val="TtuloPG2"/>
        <w:ind w:left="0"/>
        <w:jc w:val="both"/>
        <w:rPr>
          <w:b w:val="0"/>
          <w:color w:val="auto"/>
          <w:sz w:val="22"/>
          <w:szCs w:val="22"/>
        </w:rPr>
      </w:pPr>
    </w:p>
    <w:p w14:paraId="2060F158"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42177C0F"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Impulsar de forma integral acciones para mejorar la movilidad urbana de forma sustentable y que se orienten a que los ciudadanos circulen de forma segura y ágil, utilizando racionalmente las herramientas tecnológicas de última generación.</w:t>
      </w:r>
    </w:p>
    <w:p w14:paraId="19FF230B" w14:textId="77777777" w:rsidR="00794EB9" w:rsidRPr="00794EB9" w:rsidRDefault="00794EB9" w:rsidP="00794EB9">
      <w:pPr>
        <w:pStyle w:val="SubttuloPG"/>
        <w:ind w:left="0" w:hanging="2"/>
        <w:rPr>
          <w:rFonts w:ascii="Arial" w:hAnsi="Arial"/>
          <w:b w:val="0"/>
          <w:i/>
          <w:color w:val="auto"/>
          <w:sz w:val="22"/>
          <w:szCs w:val="22"/>
        </w:rPr>
      </w:pPr>
    </w:p>
    <w:p w14:paraId="6BF01D6F"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75A60D41"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Dirección General de Movilidad</w:t>
      </w:r>
    </w:p>
    <w:p w14:paraId="7E576009" w14:textId="77777777" w:rsidR="00794EB9" w:rsidRPr="00794EB9" w:rsidRDefault="00794EB9" w:rsidP="00794EB9">
      <w:pPr>
        <w:pStyle w:val="TtuloPG2"/>
        <w:ind w:left="0"/>
        <w:jc w:val="both"/>
        <w:rPr>
          <w:b w:val="0"/>
          <w:color w:val="auto"/>
          <w:sz w:val="22"/>
          <w:szCs w:val="22"/>
        </w:rPr>
      </w:pPr>
    </w:p>
    <w:p w14:paraId="790C28FC"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628D4527"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2.1 Ciclociudad</w:t>
      </w:r>
    </w:p>
    <w:p w14:paraId="60A2E1E0"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2.2 Circuito de Rutas Exprés Perimetrales</w:t>
      </w:r>
    </w:p>
    <w:p w14:paraId="63C0401D"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2.3 Evolución del SIT</w:t>
      </w:r>
    </w:p>
    <w:p w14:paraId="61688E65"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2.4 Red de Corredores Seguros</w:t>
      </w:r>
    </w:p>
    <w:p w14:paraId="032BAE2F"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2.5 Urbanismo Táctico</w:t>
      </w:r>
    </w:p>
    <w:p w14:paraId="3DC5ED5B" w14:textId="77777777" w:rsidR="00794EB9" w:rsidRPr="00794EB9" w:rsidRDefault="00794EB9" w:rsidP="00794EB9">
      <w:pPr>
        <w:keepLines/>
        <w:ind w:hanging="2"/>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25248F30"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6D2FA34F"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57990A14"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VT. 2.1 Ciclociudad</w:t>
            </w:r>
          </w:p>
        </w:tc>
      </w:tr>
      <w:tr w:rsidR="00794EB9" w:rsidRPr="00794EB9" w14:paraId="3F35B178"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0695E9D3"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4037FEC5"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Crecer  la red de infraestructura ciclista y peatonal, creando circuitos que beneficien al total de las Delegaciones, y que faciliten la intermodalidad con el Transporte Público, y generando una cultura de movilidad no motorizada entre amplias capas de la población.</w:t>
            </w:r>
          </w:p>
        </w:tc>
      </w:tr>
      <w:tr w:rsidR="00794EB9" w:rsidRPr="00794EB9" w14:paraId="5CF1CBED"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09E623A3"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43292747" w14:textId="77777777" w:rsidR="00794EB9" w:rsidRPr="00794EB9" w:rsidRDefault="00794EB9" w:rsidP="00794EB9">
      <w:pPr>
        <w:pStyle w:val="PGAcciones"/>
        <w:rPr>
          <w:color w:val="auto"/>
          <w:sz w:val="22"/>
          <w:szCs w:val="22"/>
        </w:rPr>
      </w:pPr>
      <w:r w:rsidRPr="00794EB9">
        <w:rPr>
          <w:color w:val="auto"/>
          <w:sz w:val="22"/>
          <w:szCs w:val="22"/>
        </w:rPr>
        <w:t>VT. 2.1.1 Realizar estudios y proyectos para el desarrollo de ciclovías y rutas peatonales</w:t>
      </w:r>
    </w:p>
    <w:p w14:paraId="1CD4A304" w14:textId="77777777" w:rsidR="00794EB9" w:rsidRPr="00794EB9" w:rsidRDefault="00794EB9" w:rsidP="00794EB9">
      <w:pPr>
        <w:pStyle w:val="PGAcciones"/>
        <w:rPr>
          <w:color w:val="auto"/>
          <w:sz w:val="22"/>
          <w:szCs w:val="22"/>
        </w:rPr>
      </w:pPr>
      <w:r w:rsidRPr="00794EB9">
        <w:rPr>
          <w:color w:val="auto"/>
          <w:sz w:val="22"/>
          <w:szCs w:val="22"/>
        </w:rPr>
        <w:t xml:space="preserve">VT. 2.1.2.  Construir 112 km de ciclovías adicionales a los existentes </w:t>
      </w:r>
    </w:p>
    <w:p w14:paraId="247E8A3A" w14:textId="77777777" w:rsidR="00794EB9" w:rsidRPr="00794EB9" w:rsidRDefault="00794EB9" w:rsidP="00794EB9">
      <w:pPr>
        <w:pStyle w:val="PGAcciones"/>
        <w:rPr>
          <w:color w:val="auto"/>
          <w:sz w:val="22"/>
          <w:szCs w:val="22"/>
        </w:rPr>
      </w:pPr>
      <w:r w:rsidRPr="00794EB9">
        <w:rPr>
          <w:color w:val="auto"/>
          <w:sz w:val="22"/>
          <w:szCs w:val="22"/>
        </w:rPr>
        <w:t>VT. 2.1.3 Construir 20 km de ruta peatonal o banquetas adicionales a los existentes</w:t>
      </w:r>
    </w:p>
    <w:p w14:paraId="25898845" w14:textId="77777777" w:rsidR="00794EB9" w:rsidRPr="00794EB9" w:rsidRDefault="00794EB9" w:rsidP="00794EB9">
      <w:pPr>
        <w:pStyle w:val="PGAcciones"/>
        <w:rPr>
          <w:color w:val="auto"/>
          <w:sz w:val="22"/>
          <w:szCs w:val="22"/>
        </w:rPr>
      </w:pPr>
      <w:r w:rsidRPr="00794EB9">
        <w:rPr>
          <w:color w:val="auto"/>
          <w:sz w:val="22"/>
          <w:szCs w:val="22"/>
        </w:rPr>
        <w:t>VT. 2.1.4 Rehabilitar 45 km de ciclovías deterioradas.</w:t>
      </w:r>
    </w:p>
    <w:p w14:paraId="283D978F" w14:textId="1EF0C1D7" w:rsidR="00794EB9" w:rsidRDefault="004522BD" w:rsidP="00794EB9">
      <w:pPr>
        <w:pStyle w:val="PGAcciones"/>
        <w:rPr>
          <w:color w:val="auto"/>
          <w:sz w:val="22"/>
          <w:szCs w:val="22"/>
        </w:rPr>
      </w:pPr>
      <w:r>
        <w:rPr>
          <w:color w:val="auto"/>
          <w:sz w:val="22"/>
          <w:szCs w:val="22"/>
        </w:rPr>
        <w:t>VT. 2.1.5 Adicionar un nuevo polígono</w:t>
      </w:r>
      <w:r w:rsidR="00794EB9" w:rsidRPr="00794EB9">
        <w:rPr>
          <w:color w:val="auto"/>
          <w:sz w:val="22"/>
          <w:szCs w:val="22"/>
        </w:rPr>
        <w:t xml:space="preserve"> y mantener el Sistema de Bicicleta Pública (SBP) Poliforum-Centro.</w:t>
      </w:r>
    </w:p>
    <w:p w14:paraId="58555E5D" w14:textId="2915EED1" w:rsidR="004522BD" w:rsidRPr="00794EB9" w:rsidRDefault="004522BD" w:rsidP="004522BD">
      <w:pPr>
        <w:pStyle w:val="PGAcciones"/>
        <w:numPr>
          <w:ilvl w:val="0"/>
          <w:numId w:val="0"/>
        </w:numPr>
        <w:ind w:left="709"/>
        <w:jc w:val="right"/>
        <w:rPr>
          <w:color w:val="auto"/>
          <w:sz w:val="22"/>
          <w:szCs w:val="22"/>
        </w:rPr>
      </w:pPr>
      <w:r>
        <w:rPr>
          <w:b/>
          <w:color w:val="002060"/>
          <w:sz w:val="18"/>
          <w:szCs w:val="18"/>
          <w:lang w:eastAsia="es-MX"/>
        </w:rPr>
        <w:lastRenderedPageBreak/>
        <w:t>Acción modificada P.O. 27-12</w:t>
      </w:r>
      <w:r w:rsidRPr="004522BD">
        <w:rPr>
          <w:b/>
          <w:color w:val="002060"/>
          <w:sz w:val="18"/>
          <w:szCs w:val="18"/>
          <w:lang w:eastAsia="es-MX"/>
        </w:rPr>
        <w:t>-2022</w:t>
      </w:r>
    </w:p>
    <w:p w14:paraId="5DEC1048" w14:textId="77777777" w:rsidR="00794EB9" w:rsidRPr="00794EB9" w:rsidRDefault="00794EB9" w:rsidP="00794EB9">
      <w:pPr>
        <w:pStyle w:val="PGAcciones"/>
        <w:rPr>
          <w:color w:val="auto"/>
          <w:sz w:val="22"/>
          <w:szCs w:val="22"/>
        </w:rPr>
      </w:pPr>
      <w:r w:rsidRPr="00794EB9">
        <w:rPr>
          <w:color w:val="auto"/>
          <w:sz w:val="22"/>
          <w:szCs w:val="22"/>
        </w:rPr>
        <w:t xml:space="preserve">VT. 2.1.6 Impartir talleres de fomento al uso de la bicicleta, seguridad para los ciclistas, peatones y conductores de manera integral                                </w:t>
      </w:r>
    </w:p>
    <w:p w14:paraId="44397100" w14:textId="77777777" w:rsidR="00794EB9" w:rsidRPr="00794EB9" w:rsidRDefault="00794EB9" w:rsidP="00794EB9">
      <w:pPr>
        <w:pStyle w:val="PGAcciones"/>
        <w:rPr>
          <w:color w:val="auto"/>
          <w:sz w:val="22"/>
          <w:szCs w:val="22"/>
        </w:rPr>
      </w:pPr>
      <w:r w:rsidRPr="00794EB9">
        <w:rPr>
          <w:color w:val="auto"/>
          <w:sz w:val="22"/>
          <w:szCs w:val="22"/>
        </w:rPr>
        <w:t xml:space="preserve">VT. 2.1.7 Realizar 12 eventos de Paseo Ciclista en la ciudad anualmente. </w:t>
      </w:r>
    </w:p>
    <w:p w14:paraId="6AB0D47B" w14:textId="77777777" w:rsidR="00794EB9" w:rsidRPr="00794EB9" w:rsidRDefault="00794EB9" w:rsidP="00794EB9">
      <w:pPr>
        <w:pStyle w:val="PGAcciones"/>
        <w:rPr>
          <w:color w:val="auto"/>
          <w:sz w:val="22"/>
          <w:szCs w:val="22"/>
        </w:rPr>
      </w:pPr>
      <w:r w:rsidRPr="00794EB9">
        <w:rPr>
          <w:color w:val="auto"/>
          <w:sz w:val="22"/>
          <w:szCs w:val="22"/>
        </w:rPr>
        <w:t>VT. 2.1.8 Lograr la Certificación para el 2022 para mantener a León en el Top 5 nacional de ciudades ciclistas (índice ITDP- Ciclociudades).</w:t>
      </w:r>
    </w:p>
    <w:p w14:paraId="1CD45777"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7E1327D1"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92C2F79"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4F25F41F"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VT. 2.2 Circuito de Rutas Exprés Perimetrales </w:t>
            </w:r>
          </w:p>
        </w:tc>
      </w:tr>
      <w:tr w:rsidR="00794EB9" w:rsidRPr="00794EB9" w14:paraId="3631D7C1" w14:textId="77777777" w:rsidTr="00C307FB">
        <w:trPr>
          <w:trHeight w:val="57"/>
        </w:trPr>
        <w:tc>
          <w:tcPr>
            <w:tcW w:w="5000" w:type="pct"/>
            <w:tcBorders>
              <w:top w:val="nil"/>
              <w:left w:val="nil"/>
              <w:bottom w:val="nil"/>
              <w:right w:val="nil"/>
            </w:tcBorders>
            <w:shd w:val="clear" w:color="auto" w:fill="auto"/>
            <w:tcMar>
              <w:top w:w="20" w:type="dxa"/>
              <w:left w:w="20" w:type="dxa"/>
              <w:bottom w:w="100" w:type="dxa"/>
              <w:right w:w="20" w:type="dxa"/>
            </w:tcMar>
          </w:tcPr>
          <w:p w14:paraId="3FEB85F8"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497F5D79"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Crear un anillo de transporte exprés que abarque toda la ciudad, así como en los perímetros de las Delegaciones, conectando puntos prioritarios de origen - destino de los pasajeros.</w:t>
            </w:r>
          </w:p>
        </w:tc>
      </w:tr>
      <w:tr w:rsidR="00794EB9" w:rsidRPr="00794EB9" w14:paraId="6CFD5362"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12ED710"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4D74B6E2" w14:textId="77777777" w:rsidR="00794EB9" w:rsidRPr="00794EB9" w:rsidRDefault="00794EB9" w:rsidP="00794EB9">
      <w:pPr>
        <w:pStyle w:val="PGAcciones"/>
        <w:rPr>
          <w:color w:val="auto"/>
          <w:sz w:val="22"/>
          <w:szCs w:val="22"/>
        </w:rPr>
      </w:pPr>
      <w:r w:rsidRPr="00794EB9">
        <w:rPr>
          <w:color w:val="auto"/>
          <w:sz w:val="22"/>
          <w:szCs w:val="22"/>
        </w:rPr>
        <w:t>VT. 2.2.1 Crear el primer circuito de transporte exprés en la ciudad y Delegaciones.</w:t>
      </w:r>
    </w:p>
    <w:p w14:paraId="1198E5AE" w14:textId="77777777" w:rsidR="00794EB9" w:rsidRPr="00794EB9" w:rsidRDefault="00794EB9" w:rsidP="00794EB9">
      <w:pPr>
        <w:jc w:val="both"/>
        <w:rPr>
          <w:rFonts w:ascii="Arial" w:hAnsi="Arial" w:cs="Arial"/>
          <w:b/>
          <w:sz w:val="22"/>
          <w:szCs w:val="22"/>
        </w:rPr>
      </w:pPr>
    </w:p>
    <w:p w14:paraId="31AFF511" w14:textId="77777777" w:rsidR="00794EB9" w:rsidRPr="00794EB9" w:rsidRDefault="00794EB9" w:rsidP="00794EB9">
      <w:pPr>
        <w:jc w:val="both"/>
        <w:rPr>
          <w:rFonts w:ascii="Arial" w:hAnsi="Arial" w:cs="Arial"/>
          <w:b/>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3ABF9AF1"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6595123"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6B8A7BE3"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VT. 2.3 Evolución del SIT</w:t>
            </w:r>
          </w:p>
        </w:tc>
      </w:tr>
      <w:tr w:rsidR="00794EB9" w:rsidRPr="00794EB9" w14:paraId="08215CEC" w14:textId="77777777" w:rsidTr="00C307FB">
        <w:trPr>
          <w:trHeight w:val="57"/>
        </w:trPr>
        <w:tc>
          <w:tcPr>
            <w:tcW w:w="5000" w:type="pct"/>
            <w:tcBorders>
              <w:top w:val="nil"/>
              <w:left w:val="nil"/>
              <w:bottom w:val="nil"/>
              <w:right w:val="nil"/>
            </w:tcBorders>
            <w:shd w:val="clear" w:color="auto" w:fill="auto"/>
            <w:tcMar>
              <w:top w:w="20" w:type="dxa"/>
              <w:left w:w="20" w:type="dxa"/>
              <w:bottom w:w="100" w:type="dxa"/>
              <w:right w:w="20" w:type="dxa"/>
            </w:tcMar>
          </w:tcPr>
          <w:p w14:paraId="63A7E38B"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3AD13D17"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Realizar la reingeniería del modelo de operación y explotación del SIT considerando la multimodalidad, la movilidad incluyente y sustentable, e incorporando nuevas zonas de la ciudad en expansión, así como una mejora operativa que genere un servicio más eficiente para los usuarios.</w:t>
            </w:r>
          </w:p>
        </w:tc>
      </w:tr>
      <w:tr w:rsidR="00794EB9" w:rsidRPr="00794EB9" w14:paraId="44CF768F"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02F67ABE"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660413E1" w14:textId="77777777" w:rsidR="00794EB9" w:rsidRPr="00794EB9" w:rsidRDefault="00794EB9" w:rsidP="00794EB9">
      <w:pPr>
        <w:pStyle w:val="PGAcciones"/>
        <w:rPr>
          <w:color w:val="auto"/>
          <w:sz w:val="22"/>
          <w:szCs w:val="22"/>
        </w:rPr>
      </w:pPr>
      <w:r w:rsidRPr="00794EB9">
        <w:rPr>
          <w:color w:val="auto"/>
          <w:sz w:val="22"/>
          <w:szCs w:val="22"/>
        </w:rPr>
        <w:t>VT. 2.3.1 Realizar un estudio Integral Origen-Destino de Zona Metropolitana, que contemple aspectos de modelación y micro simulación.</w:t>
      </w:r>
    </w:p>
    <w:p w14:paraId="457B9DF7" w14:textId="77777777" w:rsidR="00794EB9" w:rsidRPr="00794EB9" w:rsidRDefault="00794EB9" w:rsidP="00794EB9">
      <w:pPr>
        <w:pStyle w:val="PGAcciones"/>
        <w:rPr>
          <w:color w:val="auto"/>
          <w:sz w:val="22"/>
          <w:szCs w:val="22"/>
        </w:rPr>
      </w:pPr>
      <w:r w:rsidRPr="00794EB9">
        <w:rPr>
          <w:color w:val="auto"/>
          <w:sz w:val="22"/>
          <w:szCs w:val="22"/>
        </w:rPr>
        <w:t xml:space="preserve">VT. 2.3.2 Realizar un Plan Maestro de nuevas rutas troncales y estaciones de Transferencia. </w:t>
      </w:r>
    </w:p>
    <w:p w14:paraId="3267F6E8" w14:textId="6D9CE2A9" w:rsidR="00794EB9" w:rsidRDefault="004522BD" w:rsidP="00794EB9">
      <w:pPr>
        <w:pStyle w:val="PGAcciones"/>
        <w:rPr>
          <w:color w:val="auto"/>
          <w:sz w:val="22"/>
          <w:szCs w:val="22"/>
        </w:rPr>
      </w:pPr>
      <w:r>
        <w:rPr>
          <w:color w:val="auto"/>
          <w:sz w:val="22"/>
          <w:szCs w:val="22"/>
        </w:rPr>
        <w:t>VT. 2.3.3 Construir una nueva terminal</w:t>
      </w:r>
      <w:r w:rsidR="00794EB9" w:rsidRPr="00794EB9">
        <w:rPr>
          <w:color w:val="auto"/>
          <w:sz w:val="22"/>
          <w:szCs w:val="22"/>
        </w:rPr>
        <w:t xml:space="preserve"> del SIT y habilitar paraderos seguros.</w:t>
      </w:r>
    </w:p>
    <w:p w14:paraId="05FCC070" w14:textId="79AEF2E9" w:rsidR="004522BD" w:rsidRPr="00794EB9" w:rsidRDefault="004522BD" w:rsidP="004522BD">
      <w:pPr>
        <w:pStyle w:val="PGAcciones"/>
        <w:numPr>
          <w:ilvl w:val="0"/>
          <w:numId w:val="0"/>
        </w:numPr>
        <w:ind w:left="709"/>
        <w:jc w:val="right"/>
        <w:rPr>
          <w:color w:val="auto"/>
          <w:sz w:val="22"/>
          <w:szCs w:val="22"/>
        </w:rPr>
      </w:pPr>
      <w:r>
        <w:rPr>
          <w:b/>
          <w:color w:val="002060"/>
          <w:sz w:val="18"/>
          <w:szCs w:val="18"/>
          <w:lang w:eastAsia="es-MX"/>
        </w:rPr>
        <w:t xml:space="preserve">Acción modificada </w:t>
      </w:r>
      <w:r w:rsidR="00B87FCE">
        <w:rPr>
          <w:b/>
          <w:color w:val="002060"/>
          <w:sz w:val="18"/>
          <w:szCs w:val="18"/>
          <w:lang w:eastAsia="es-MX"/>
        </w:rPr>
        <w:t>P.O. 27-12</w:t>
      </w:r>
      <w:r w:rsidRPr="004522BD">
        <w:rPr>
          <w:b/>
          <w:color w:val="002060"/>
          <w:sz w:val="18"/>
          <w:szCs w:val="18"/>
          <w:lang w:eastAsia="es-MX"/>
        </w:rPr>
        <w:t>-2022</w:t>
      </w:r>
    </w:p>
    <w:p w14:paraId="5977E484" w14:textId="77777777" w:rsidR="00794EB9" w:rsidRPr="00794EB9" w:rsidRDefault="00794EB9" w:rsidP="00794EB9">
      <w:pPr>
        <w:pStyle w:val="PGAcciones"/>
        <w:rPr>
          <w:color w:val="auto"/>
          <w:sz w:val="22"/>
          <w:szCs w:val="22"/>
        </w:rPr>
      </w:pPr>
      <w:r w:rsidRPr="00794EB9">
        <w:rPr>
          <w:color w:val="auto"/>
          <w:sz w:val="22"/>
          <w:szCs w:val="22"/>
        </w:rPr>
        <w:t xml:space="preserve">VT. 2.3.4 Implementar un esquema de apoyos para el subsidio de transporte a diferentes grupos en situación de vulnerabilidad de la población. </w:t>
      </w:r>
    </w:p>
    <w:p w14:paraId="67868BAB" w14:textId="77777777" w:rsidR="00794EB9" w:rsidRPr="00794EB9" w:rsidRDefault="00794EB9" w:rsidP="00794EB9">
      <w:pPr>
        <w:pStyle w:val="PGAcciones"/>
        <w:rPr>
          <w:color w:val="auto"/>
          <w:sz w:val="22"/>
          <w:szCs w:val="22"/>
        </w:rPr>
      </w:pPr>
      <w:r w:rsidRPr="00794EB9">
        <w:rPr>
          <w:color w:val="auto"/>
          <w:sz w:val="22"/>
          <w:szCs w:val="22"/>
        </w:rPr>
        <w:t>VT. 2.3.5 Ejecutar el Plan de Reordenamiento de Rutas Suburbanas.</w:t>
      </w:r>
    </w:p>
    <w:p w14:paraId="2FA918A8"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74D4CE2C"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0523B057"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45309BC6"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VT. 2.4 Red de Corredores Seguros</w:t>
            </w:r>
          </w:p>
        </w:tc>
      </w:tr>
      <w:tr w:rsidR="00794EB9" w:rsidRPr="00794EB9" w14:paraId="5CB87958" w14:textId="77777777" w:rsidTr="00C307FB">
        <w:trPr>
          <w:trHeight w:val="57"/>
        </w:trPr>
        <w:tc>
          <w:tcPr>
            <w:tcW w:w="5000" w:type="pct"/>
            <w:tcBorders>
              <w:top w:val="nil"/>
              <w:left w:val="nil"/>
              <w:bottom w:val="nil"/>
              <w:right w:val="nil"/>
            </w:tcBorders>
            <w:shd w:val="clear" w:color="auto" w:fill="auto"/>
            <w:tcMar>
              <w:top w:w="20" w:type="dxa"/>
              <w:left w:w="20" w:type="dxa"/>
              <w:bottom w:w="100" w:type="dxa"/>
              <w:right w:w="20" w:type="dxa"/>
            </w:tcMar>
          </w:tcPr>
          <w:p w14:paraId="22F6669F"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61CBA652"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Diseñar y construir modelos de corredores que ofrezcan espacios de alta seguridad a los peatones y ciclistas, con el uso de tecnología, iluminación y diseño,  conectando con vialidades primarias.</w:t>
            </w:r>
          </w:p>
        </w:tc>
      </w:tr>
      <w:tr w:rsidR="00794EB9" w:rsidRPr="00794EB9" w14:paraId="18FD3C06"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C1411D7"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45F480A1" w14:textId="77777777" w:rsidR="00794EB9" w:rsidRPr="00794EB9" w:rsidRDefault="00794EB9" w:rsidP="00794EB9">
      <w:pPr>
        <w:pStyle w:val="PGAcciones"/>
        <w:rPr>
          <w:color w:val="auto"/>
          <w:sz w:val="22"/>
          <w:szCs w:val="22"/>
        </w:rPr>
      </w:pPr>
      <w:r w:rsidRPr="00794EB9">
        <w:rPr>
          <w:color w:val="auto"/>
          <w:sz w:val="22"/>
          <w:szCs w:val="22"/>
        </w:rPr>
        <w:lastRenderedPageBreak/>
        <w:t>VT. 2.4.1 Desarrollar e implementar el modelo de corredores seguros que conecten con las principales vialidades de la ciudad.</w:t>
      </w:r>
    </w:p>
    <w:p w14:paraId="4FF78125" w14:textId="77777777" w:rsidR="00794EB9" w:rsidRPr="00794EB9" w:rsidRDefault="00794EB9" w:rsidP="00794EB9">
      <w:pPr>
        <w:jc w:val="both"/>
        <w:rPr>
          <w:rFonts w:ascii="Arial" w:hAnsi="Arial" w:cs="Arial"/>
          <w:b/>
          <w:sz w:val="22"/>
          <w:szCs w:val="22"/>
        </w:rPr>
      </w:pPr>
    </w:p>
    <w:p w14:paraId="65224E6B" w14:textId="77777777" w:rsidR="00794EB9" w:rsidRPr="00794EB9" w:rsidRDefault="00794EB9" w:rsidP="00794EB9">
      <w:pPr>
        <w:jc w:val="both"/>
        <w:rPr>
          <w:rFonts w:ascii="Arial" w:hAnsi="Arial" w:cs="Arial"/>
          <w:sz w:val="22"/>
          <w:szCs w:val="22"/>
        </w:rPr>
      </w:pPr>
    </w:p>
    <w:p w14:paraId="702740E0" w14:textId="77777777" w:rsidR="00794EB9" w:rsidRPr="00794EB9" w:rsidRDefault="00794EB9" w:rsidP="00794EB9">
      <w:pPr>
        <w:jc w:val="both"/>
        <w:rPr>
          <w:rFonts w:ascii="Arial" w:hAnsi="Arial" w:cs="Arial"/>
          <w:sz w:val="22"/>
          <w:szCs w:val="22"/>
        </w:rPr>
      </w:pPr>
    </w:p>
    <w:p w14:paraId="2CF0C1B2" w14:textId="77777777" w:rsidR="00794EB9" w:rsidRPr="00794EB9" w:rsidRDefault="00794EB9" w:rsidP="00794EB9">
      <w:pPr>
        <w:jc w:val="both"/>
        <w:rPr>
          <w:rFonts w:ascii="Arial" w:hAnsi="Arial" w:cs="Arial"/>
          <w:sz w:val="22"/>
          <w:szCs w:val="22"/>
        </w:rPr>
      </w:pPr>
    </w:p>
    <w:p w14:paraId="2B4387EE" w14:textId="77777777" w:rsidR="00794EB9" w:rsidRPr="00794EB9" w:rsidRDefault="00794EB9" w:rsidP="00794EB9">
      <w:pPr>
        <w:jc w:val="both"/>
        <w:rPr>
          <w:rFonts w:ascii="Arial" w:hAnsi="Arial" w:cs="Arial"/>
          <w:sz w:val="22"/>
          <w:szCs w:val="22"/>
        </w:rPr>
      </w:pPr>
    </w:p>
    <w:p w14:paraId="58C28D20"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6AC01A39"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AACF265"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17DBEA81"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VT. 2.5 Urbanismo Táctico</w:t>
            </w:r>
          </w:p>
        </w:tc>
      </w:tr>
      <w:tr w:rsidR="00794EB9" w:rsidRPr="00794EB9" w14:paraId="48E8D249" w14:textId="77777777" w:rsidTr="00C307FB">
        <w:trPr>
          <w:trHeight w:val="57"/>
        </w:trPr>
        <w:tc>
          <w:tcPr>
            <w:tcW w:w="5000" w:type="pct"/>
            <w:tcBorders>
              <w:top w:val="nil"/>
              <w:left w:val="nil"/>
              <w:bottom w:val="nil"/>
              <w:right w:val="nil"/>
            </w:tcBorders>
            <w:shd w:val="clear" w:color="auto" w:fill="auto"/>
            <w:tcMar>
              <w:top w:w="20" w:type="dxa"/>
              <w:left w:w="20" w:type="dxa"/>
              <w:bottom w:w="100" w:type="dxa"/>
              <w:right w:w="20" w:type="dxa"/>
            </w:tcMar>
          </w:tcPr>
          <w:p w14:paraId="66BAE1DC"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2A779701"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Atender los principales problemas de la infraestructura urbana de movilidad, realizando acciones tácticas que maximicen las inversiones públicas en todas los componentes del sistema, con énfasis en la seguridad, la economía de operación, la accesibilidad y la inclusión social.</w:t>
            </w:r>
          </w:p>
        </w:tc>
      </w:tr>
      <w:tr w:rsidR="00794EB9" w:rsidRPr="00794EB9" w14:paraId="4B8ED3B6"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6D81AF4"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415CDB7D" w14:textId="77777777" w:rsidR="00794EB9" w:rsidRPr="00794EB9" w:rsidRDefault="00794EB9" w:rsidP="00794EB9">
      <w:pPr>
        <w:pStyle w:val="PGAcciones"/>
        <w:rPr>
          <w:color w:val="auto"/>
          <w:sz w:val="22"/>
          <w:szCs w:val="22"/>
        </w:rPr>
      </w:pPr>
      <w:r w:rsidRPr="00794EB9">
        <w:rPr>
          <w:color w:val="auto"/>
          <w:sz w:val="22"/>
          <w:szCs w:val="22"/>
        </w:rPr>
        <w:t>VT. 2.5.1 Rehabilitar los principales puentes y viaductos de la ciudad.</w:t>
      </w:r>
    </w:p>
    <w:p w14:paraId="225D133E" w14:textId="77777777" w:rsidR="00794EB9" w:rsidRPr="00794EB9" w:rsidRDefault="00794EB9" w:rsidP="00794EB9">
      <w:pPr>
        <w:pStyle w:val="PGAcciones"/>
        <w:rPr>
          <w:color w:val="auto"/>
          <w:sz w:val="22"/>
          <w:szCs w:val="22"/>
        </w:rPr>
      </w:pPr>
      <w:r w:rsidRPr="00794EB9">
        <w:rPr>
          <w:color w:val="auto"/>
          <w:sz w:val="22"/>
          <w:szCs w:val="22"/>
        </w:rPr>
        <w:t>VT. 2.5.2 Rehabilitar vialidades prioritarias mediante un sistema de bacheo y mantenimiento eficiente.</w:t>
      </w:r>
    </w:p>
    <w:p w14:paraId="67B7FA47" w14:textId="77777777" w:rsidR="00794EB9" w:rsidRPr="00794EB9" w:rsidRDefault="00794EB9" w:rsidP="00794EB9">
      <w:pPr>
        <w:pStyle w:val="PGAcciones"/>
        <w:rPr>
          <w:color w:val="auto"/>
          <w:sz w:val="22"/>
          <w:szCs w:val="22"/>
        </w:rPr>
      </w:pPr>
      <w:r w:rsidRPr="00794EB9">
        <w:rPr>
          <w:color w:val="auto"/>
          <w:sz w:val="22"/>
          <w:szCs w:val="22"/>
        </w:rPr>
        <w:t>VT 2.5.3 Realizar el Mantenimiento y Rehabilitación del sistema de alumbrado público</w:t>
      </w:r>
    </w:p>
    <w:p w14:paraId="18095DF2" w14:textId="77777777" w:rsidR="00794EB9" w:rsidRPr="00794EB9" w:rsidRDefault="00794EB9" w:rsidP="00794EB9">
      <w:pPr>
        <w:pStyle w:val="PGAcciones"/>
        <w:rPr>
          <w:color w:val="auto"/>
          <w:sz w:val="22"/>
          <w:szCs w:val="22"/>
        </w:rPr>
      </w:pPr>
      <w:r w:rsidRPr="00794EB9">
        <w:rPr>
          <w:color w:val="auto"/>
          <w:sz w:val="22"/>
          <w:szCs w:val="22"/>
        </w:rPr>
        <w:t xml:space="preserve">VT. 2.5.4 Optimizar la señalética en las principales vialidades de la ciudad. </w:t>
      </w:r>
    </w:p>
    <w:p w14:paraId="3A65D2D3" w14:textId="77777777" w:rsidR="00794EB9" w:rsidRPr="00794EB9" w:rsidRDefault="00794EB9" w:rsidP="00794EB9">
      <w:pPr>
        <w:pStyle w:val="PGAcciones"/>
        <w:rPr>
          <w:color w:val="auto"/>
          <w:sz w:val="22"/>
          <w:szCs w:val="22"/>
        </w:rPr>
      </w:pPr>
      <w:r w:rsidRPr="00794EB9">
        <w:rPr>
          <w:color w:val="auto"/>
          <w:sz w:val="22"/>
          <w:szCs w:val="22"/>
        </w:rPr>
        <w:t>VT. 2.5.5 Actualizar los Estudios y Proyectos en materia de movilidad con base en el Modelo de Delegaciones.</w:t>
      </w:r>
    </w:p>
    <w:p w14:paraId="6F55AE2F" w14:textId="77777777" w:rsidR="00794EB9" w:rsidRPr="00794EB9" w:rsidRDefault="00794EB9" w:rsidP="00794EB9">
      <w:pPr>
        <w:pStyle w:val="PGAcciones"/>
        <w:rPr>
          <w:color w:val="auto"/>
          <w:sz w:val="22"/>
          <w:szCs w:val="22"/>
        </w:rPr>
      </w:pPr>
      <w:r w:rsidRPr="00794EB9">
        <w:rPr>
          <w:color w:val="auto"/>
          <w:sz w:val="22"/>
          <w:szCs w:val="22"/>
        </w:rPr>
        <w:t xml:space="preserve">VT. 2.5.6 Desarrollar los proyectos ejecutivos y ejecutar las obras viales para pavimentar las vialidades primarias y secundarias de la ciudad, así como obras prioritarias para el desarrollo social </w:t>
      </w:r>
    </w:p>
    <w:p w14:paraId="4508307E" w14:textId="77777777" w:rsidR="00794EB9" w:rsidRPr="00794EB9" w:rsidRDefault="00794EB9" w:rsidP="00794EB9">
      <w:pPr>
        <w:pStyle w:val="PGAcciones"/>
        <w:rPr>
          <w:color w:val="auto"/>
          <w:sz w:val="22"/>
          <w:szCs w:val="22"/>
        </w:rPr>
      </w:pPr>
      <w:r w:rsidRPr="00794EB9">
        <w:rPr>
          <w:color w:val="auto"/>
          <w:sz w:val="22"/>
          <w:szCs w:val="22"/>
        </w:rPr>
        <w:t>VT. 2.5.7 Realizar estudios de movilidad en zonas de conflicto y pares viales.</w:t>
      </w:r>
    </w:p>
    <w:p w14:paraId="66392F82" w14:textId="77777777" w:rsidR="00794EB9" w:rsidRPr="00794EB9" w:rsidRDefault="00794EB9" w:rsidP="00794EB9">
      <w:pPr>
        <w:pStyle w:val="PGAcciones"/>
        <w:rPr>
          <w:color w:val="auto"/>
          <w:sz w:val="22"/>
          <w:szCs w:val="22"/>
        </w:rPr>
      </w:pPr>
      <w:r w:rsidRPr="00794EB9">
        <w:rPr>
          <w:color w:val="auto"/>
          <w:sz w:val="22"/>
          <w:szCs w:val="22"/>
        </w:rPr>
        <w:t>VT. 2.5.8 Ejecutar las acciones de mejora en zonas prioritarias y pares viales.</w:t>
      </w:r>
    </w:p>
    <w:p w14:paraId="3AE070FC" w14:textId="77777777" w:rsidR="00794EB9" w:rsidRPr="00794EB9" w:rsidRDefault="00794EB9" w:rsidP="00794EB9">
      <w:pPr>
        <w:pStyle w:val="PGAcciones"/>
        <w:rPr>
          <w:color w:val="auto"/>
          <w:sz w:val="22"/>
          <w:szCs w:val="22"/>
        </w:rPr>
      </w:pPr>
      <w:r w:rsidRPr="00794EB9">
        <w:rPr>
          <w:color w:val="auto"/>
          <w:sz w:val="22"/>
          <w:szCs w:val="22"/>
        </w:rPr>
        <w:t xml:space="preserve">VT. 2.5.9 Implementar el Modelo de Ordenamiento de Transporte de carga para mejorar la movilidad de la ciudad.                                       </w:t>
      </w:r>
    </w:p>
    <w:p w14:paraId="4F5B3675" w14:textId="77777777" w:rsidR="00794EB9" w:rsidRPr="00794EB9" w:rsidRDefault="00794EB9" w:rsidP="00794EB9">
      <w:pPr>
        <w:pStyle w:val="PGAcciones"/>
        <w:rPr>
          <w:color w:val="auto"/>
          <w:sz w:val="22"/>
          <w:szCs w:val="22"/>
        </w:rPr>
      </w:pPr>
      <w:r w:rsidRPr="00794EB9">
        <w:rPr>
          <w:color w:val="auto"/>
          <w:sz w:val="22"/>
          <w:szCs w:val="22"/>
        </w:rPr>
        <w:t>VT. 2.5.10 Intervenir los principales accesos de la ciudad como parte del Modelo de Ordenamiento de Transporte de carga.</w:t>
      </w:r>
    </w:p>
    <w:p w14:paraId="79450835" w14:textId="77777777" w:rsidR="00794EB9" w:rsidRPr="00794EB9" w:rsidRDefault="00794EB9" w:rsidP="00794EB9">
      <w:pPr>
        <w:pStyle w:val="PGAcciones"/>
        <w:rPr>
          <w:color w:val="auto"/>
          <w:sz w:val="22"/>
          <w:szCs w:val="22"/>
        </w:rPr>
      </w:pPr>
      <w:r w:rsidRPr="00794EB9">
        <w:rPr>
          <w:color w:val="auto"/>
          <w:sz w:val="22"/>
          <w:szCs w:val="22"/>
        </w:rPr>
        <w:t>VT. 2.5.11 Realizar la siguiente etapa de Modernización del Alumbrado Público.</w:t>
      </w:r>
    </w:p>
    <w:p w14:paraId="6858D40F" w14:textId="77777777" w:rsidR="00794EB9" w:rsidRPr="00794EB9" w:rsidRDefault="00794EB9" w:rsidP="00794EB9">
      <w:pPr>
        <w:pStyle w:val="PGAcciones"/>
        <w:rPr>
          <w:color w:val="auto"/>
          <w:sz w:val="22"/>
          <w:szCs w:val="22"/>
        </w:rPr>
      </w:pPr>
      <w:r w:rsidRPr="00794EB9">
        <w:rPr>
          <w:color w:val="auto"/>
          <w:sz w:val="22"/>
          <w:szCs w:val="22"/>
        </w:rPr>
        <w:t xml:space="preserve">VT. 2.5.12 Llevar a cabo Servicios Complementarios a la Obra Pública, en materia de liberación de afectaciones, laboratorios, supervisión, estudios y proyectos, ampliaciones presupuestales, obras emergentes y acciones de remediación </w:t>
      </w:r>
    </w:p>
    <w:p w14:paraId="32CC3890" w14:textId="77777777" w:rsidR="00794EB9" w:rsidRPr="00794EB9" w:rsidRDefault="00794EB9" w:rsidP="00794EB9">
      <w:pPr>
        <w:jc w:val="both"/>
        <w:rPr>
          <w:rFonts w:ascii="Arial" w:hAnsi="Arial" w:cs="Arial"/>
          <w:b/>
          <w:sz w:val="22"/>
          <w:szCs w:val="22"/>
        </w:rPr>
      </w:pPr>
    </w:p>
    <w:p w14:paraId="5FA2C27A" w14:textId="77777777" w:rsidR="00794EB9" w:rsidRPr="00794EB9" w:rsidRDefault="00794EB9" w:rsidP="00794EB9">
      <w:pPr>
        <w:pStyle w:val="TtuloPG2"/>
        <w:ind w:left="0"/>
        <w:jc w:val="both"/>
        <w:rPr>
          <w:color w:val="auto"/>
          <w:sz w:val="22"/>
          <w:szCs w:val="22"/>
          <w:lang w:val="es-ES" w:eastAsia="es-MX"/>
        </w:rPr>
      </w:pPr>
      <w:r w:rsidRPr="00794EB9">
        <w:rPr>
          <w:color w:val="auto"/>
          <w:sz w:val="22"/>
          <w:szCs w:val="22"/>
          <w:lang w:val="es-ES" w:eastAsia="es-MX"/>
        </w:rPr>
        <w:t>PROGRAMA: VT3. NUEVO MODELO DE SEGURIDAD</w:t>
      </w:r>
    </w:p>
    <w:p w14:paraId="020BBE2E" w14:textId="77777777" w:rsidR="00794EB9" w:rsidRPr="00794EB9" w:rsidRDefault="00794EB9" w:rsidP="00794EB9">
      <w:pPr>
        <w:ind w:hanging="2"/>
        <w:jc w:val="both"/>
        <w:rPr>
          <w:rFonts w:ascii="Arial" w:hAnsi="Arial" w:cs="Arial"/>
          <w:sz w:val="22"/>
          <w:szCs w:val="22"/>
        </w:rPr>
      </w:pPr>
    </w:p>
    <w:p w14:paraId="178BA7DB"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63B3386D"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Implementar un nuevo modelo de seguridad basado en los principios de Seguridad Máxima, Prevención Activa y Tolerancia Cero.</w:t>
      </w:r>
    </w:p>
    <w:p w14:paraId="6D88A375" w14:textId="77777777" w:rsidR="00794EB9" w:rsidRPr="00794EB9" w:rsidRDefault="00794EB9" w:rsidP="00794EB9">
      <w:pPr>
        <w:pStyle w:val="TtuloPG2"/>
        <w:ind w:left="0"/>
        <w:jc w:val="both"/>
        <w:rPr>
          <w:color w:val="auto"/>
          <w:sz w:val="22"/>
          <w:szCs w:val="22"/>
        </w:rPr>
      </w:pPr>
    </w:p>
    <w:p w14:paraId="2DF3B4FE"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797346EB"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Ya que actualmente se cuenta con más de 80 mil folios de infracción a ciudadanos, y una percepción negativa respecto a la seguridad, se generará un modelo de seguridad que culmine con una respuesta rápida, cercana y capaz.</w:t>
      </w:r>
    </w:p>
    <w:p w14:paraId="56748C9F" w14:textId="77777777" w:rsidR="00794EB9" w:rsidRPr="00794EB9" w:rsidRDefault="00794EB9" w:rsidP="00794EB9">
      <w:pPr>
        <w:pStyle w:val="TtuloPG2"/>
        <w:ind w:left="0"/>
        <w:jc w:val="both"/>
        <w:rPr>
          <w:b w:val="0"/>
          <w:color w:val="auto"/>
          <w:sz w:val="22"/>
          <w:szCs w:val="22"/>
        </w:rPr>
      </w:pPr>
    </w:p>
    <w:p w14:paraId="5043954A"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4BC31671"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Generar mejoras sustantivas en la eficiencia de la policía para atender sus labores de prevención y acción, con mejores condiciones de preparación, elementos tecnológicos, norma ética de la corporación y colaboración con la ciudadanía, abonando a la cercanía y la capacidad de respuesta más efectiva.</w:t>
      </w:r>
    </w:p>
    <w:p w14:paraId="1640CFBC" w14:textId="77777777" w:rsidR="00794EB9" w:rsidRPr="00794EB9" w:rsidRDefault="00794EB9" w:rsidP="00794EB9">
      <w:pPr>
        <w:pStyle w:val="TtuloPG2"/>
        <w:ind w:left="0"/>
        <w:jc w:val="both"/>
        <w:rPr>
          <w:b w:val="0"/>
          <w:color w:val="auto"/>
          <w:sz w:val="22"/>
          <w:szCs w:val="22"/>
        </w:rPr>
      </w:pPr>
    </w:p>
    <w:p w14:paraId="4F6E1B3D"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4E17D8FD"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Secretaría de Seguridad, Prevención y Protección Ciudadana</w:t>
      </w:r>
    </w:p>
    <w:p w14:paraId="03EC35FC" w14:textId="77777777" w:rsidR="00794EB9" w:rsidRPr="00794EB9" w:rsidRDefault="00794EB9" w:rsidP="00794EB9">
      <w:pPr>
        <w:pStyle w:val="TtuloPG2"/>
        <w:ind w:left="0"/>
        <w:jc w:val="both"/>
        <w:rPr>
          <w:b w:val="0"/>
          <w:color w:val="auto"/>
          <w:sz w:val="22"/>
          <w:szCs w:val="22"/>
        </w:rPr>
      </w:pPr>
    </w:p>
    <w:p w14:paraId="17DFB062" w14:textId="77777777" w:rsidR="00794EB9" w:rsidRPr="00794EB9" w:rsidRDefault="00794EB9" w:rsidP="00794EB9">
      <w:pPr>
        <w:pStyle w:val="TtuloPG2"/>
        <w:ind w:left="0"/>
        <w:jc w:val="both"/>
        <w:rPr>
          <w:b w:val="0"/>
          <w:color w:val="auto"/>
          <w:sz w:val="22"/>
          <w:szCs w:val="22"/>
        </w:rPr>
      </w:pPr>
    </w:p>
    <w:p w14:paraId="7B7E5D0A"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39C446BD"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3.1 Calidad Máxima</w:t>
      </w:r>
    </w:p>
    <w:p w14:paraId="39DA8F1C"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 xml:space="preserve">VT. 3.2 Prevención Activa </w:t>
      </w:r>
    </w:p>
    <w:p w14:paraId="10B105D5"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3.3 Tolerancia Cero</w:t>
      </w:r>
    </w:p>
    <w:p w14:paraId="72397BFE" w14:textId="77777777" w:rsidR="00794EB9" w:rsidRPr="00794EB9" w:rsidRDefault="00794EB9" w:rsidP="00794EB9">
      <w:pPr>
        <w:jc w:val="both"/>
        <w:rPr>
          <w:rFonts w:ascii="Arial" w:hAnsi="Arial" w:cs="Arial"/>
          <w:b/>
          <w:sz w:val="22"/>
          <w:szCs w:val="22"/>
          <w:lang w:eastAsia="es-MX"/>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7C7B43B9"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256A148"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7076111C"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VT. 3.1 Calidad Máxima</w:t>
            </w:r>
          </w:p>
        </w:tc>
      </w:tr>
      <w:tr w:rsidR="00794EB9" w:rsidRPr="00794EB9" w14:paraId="5EC9314E"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1FE2076C"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3D436D69"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Ofrecer una mejora sustancial en los servicios de seguridad contando con un proceso formativo de los policías, proporcionando un sueldo más alto, equipamiento y condiciones que promuevan su permanencia y constante superación, además de generar mejores condiciones en la ciudad en la ampliación de la red de tecnología de vigilancia, trabajo de inteligencia y servicio cercano con el modelo de cuadrantes y delegaciones.</w:t>
            </w:r>
          </w:p>
        </w:tc>
      </w:tr>
      <w:tr w:rsidR="00794EB9" w:rsidRPr="00794EB9" w14:paraId="1E054F59"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67756735"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4CC1BCCF" w14:textId="77777777" w:rsidR="00794EB9" w:rsidRPr="00794EB9" w:rsidRDefault="00794EB9" w:rsidP="00794EB9">
      <w:pPr>
        <w:pStyle w:val="PGAcciones"/>
        <w:rPr>
          <w:color w:val="auto"/>
          <w:sz w:val="22"/>
          <w:szCs w:val="22"/>
        </w:rPr>
      </w:pPr>
      <w:r w:rsidRPr="00794EB9">
        <w:rPr>
          <w:color w:val="auto"/>
          <w:sz w:val="22"/>
          <w:szCs w:val="22"/>
        </w:rPr>
        <w:t xml:space="preserve">VT. 3.1.1 Convertir a la Academia Metropolitana de Seguridad Pública en Universidad de Seguridad Pública, modificando la currícula actual y elevando el perfil de los formadores de la Academia. </w:t>
      </w:r>
    </w:p>
    <w:p w14:paraId="3F7522DF" w14:textId="77777777" w:rsidR="00794EB9" w:rsidRPr="00794EB9" w:rsidRDefault="00794EB9" w:rsidP="00794EB9">
      <w:pPr>
        <w:pStyle w:val="PGAcciones"/>
        <w:rPr>
          <w:color w:val="auto"/>
          <w:sz w:val="22"/>
          <w:szCs w:val="22"/>
        </w:rPr>
      </w:pPr>
      <w:r w:rsidRPr="00794EB9">
        <w:rPr>
          <w:color w:val="auto"/>
          <w:sz w:val="22"/>
          <w:szCs w:val="22"/>
        </w:rPr>
        <w:t>VT. 3.1.2 Realizar un estudio de factibilidad de las nuevas instalaciones de la Secretaría de Seguridad, Prevención y Protección Ciudadana y de los Juzgados Cívicos.</w:t>
      </w:r>
    </w:p>
    <w:p w14:paraId="0BC79E68" w14:textId="77777777" w:rsidR="00794EB9" w:rsidRPr="00794EB9" w:rsidRDefault="00794EB9" w:rsidP="00794EB9">
      <w:pPr>
        <w:pStyle w:val="PGAcciones"/>
        <w:rPr>
          <w:color w:val="auto"/>
          <w:sz w:val="22"/>
          <w:szCs w:val="22"/>
        </w:rPr>
      </w:pPr>
      <w:r w:rsidRPr="00794EB9">
        <w:rPr>
          <w:color w:val="auto"/>
          <w:sz w:val="22"/>
          <w:szCs w:val="22"/>
        </w:rPr>
        <w:t>VT. 3.1.3 Realizar las adecuaciones necesarias para mejorar la infraestructura física de la Secretaría de Seguridad, Prevención y Protección Ciudadana.</w:t>
      </w:r>
    </w:p>
    <w:p w14:paraId="0414A3A6" w14:textId="77777777" w:rsidR="00794EB9" w:rsidRPr="00794EB9" w:rsidRDefault="00794EB9" w:rsidP="00794EB9">
      <w:pPr>
        <w:pStyle w:val="PGAcciones"/>
        <w:rPr>
          <w:color w:val="auto"/>
          <w:sz w:val="22"/>
          <w:szCs w:val="22"/>
        </w:rPr>
      </w:pPr>
      <w:r w:rsidRPr="00794EB9">
        <w:rPr>
          <w:color w:val="auto"/>
          <w:sz w:val="22"/>
          <w:szCs w:val="22"/>
        </w:rPr>
        <w:t>VT. 3.1.4. Dotar de equipamiento a los policías para que ejerzan con efectividad y seguridad sus labores</w:t>
      </w:r>
    </w:p>
    <w:p w14:paraId="26D6BCB2" w14:textId="77777777" w:rsidR="00794EB9" w:rsidRPr="00794EB9" w:rsidRDefault="00794EB9" w:rsidP="00794EB9">
      <w:pPr>
        <w:pStyle w:val="PGAcciones"/>
        <w:rPr>
          <w:color w:val="auto"/>
          <w:sz w:val="22"/>
          <w:szCs w:val="22"/>
        </w:rPr>
      </w:pPr>
      <w:r w:rsidRPr="00794EB9">
        <w:rPr>
          <w:color w:val="auto"/>
          <w:sz w:val="22"/>
          <w:szCs w:val="22"/>
        </w:rPr>
        <w:t>VT. 3.1.5 Mejorar las condiciones salariales de los elementos de policía y policía vial municipal.</w:t>
      </w:r>
    </w:p>
    <w:p w14:paraId="1711C4A5" w14:textId="77777777" w:rsidR="00794EB9" w:rsidRPr="00794EB9" w:rsidRDefault="00794EB9" w:rsidP="00794EB9">
      <w:pPr>
        <w:pStyle w:val="PGAcciones"/>
        <w:rPr>
          <w:color w:val="auto"/>
          <w:sz w:val="22"/>
          <w:szCs w:val="22"/>
        </w:rPr>
      </w:pPr>
      <w:r w:rsidRPr="00794EB9">
        <w:rPr>
          <w:color w:val="auto"/>
          <w:sz w:val="22"/>
          <w:szCs w:val="22"/>
        </w:rPr>
        <w:t>VT. 3.1.6 Actualizar e implementar la Sectorización para establecer el Modelo de Cuadrantes.</w:t>
      </w:r>
    </w:p>
    <w:p w14:paraId="1FB1A876" w14:textId="77777777" w:rsidR="00794EB9" w:rsidRPr="00794EB9" w:rsidRDefault="00794EB9" w:rsidP="00794EB9">
      <w:pPr>
        <w:pStyle w:val="PGAcciones"/>
        <w:rPr>
          <w:color w:val="auto"/>
          <w:sz w:val="22"/>
          <w:szCs w:val="22"/>
        </w:rPr>
      </w:pPr>
      <w:r w:rsidRPr="00794EB9">
        <w:rPr>
          <w:color w:val="auto"/>
          <w:sz w:val="22"/>
          <w:szCs w:val="22"/>
        </w:rPr>
        <w:t>VT. 3.1.7 Instalar Puntos de Monitoreo Inteligente para aumentar la conexión de cámaras de particulares sumadas al proyecto León Vigilante.</w:t>
      </w:r>
    </w:p>
    <w:p w14:paraId="7D988B62" w14:textId="77777777" w:rsidR="00794EB9" w:rsidRPr="00794EB9" w:rsidRDefault="00794EB9" w:rsidP="00794EB9">
      <w:pPr>
        <w:pStyle w:val="PGAcciones"/>
        <w:rPr>
          <w:color w:val="auto"/>
          <w:sz w:val="22"/>
          <w:szCs w:val="22"/>
        </w:rPr>
      </w:pPr>
      <w:r w:rsidRPr="00794EB9">
        <w:rPr>
          <w:color w:val="auto"/>
          <w:sz w:val="22"/>
          <w:szCs w:val="22"/>
        </w:rPr>
        <w:lastRenderedPageBreak/>
        <w:t>VT. 3.1.8 Incrementar el número de cámaras de particulares sumadas al proyecto León Vigilante.</w:t>
      </w:r>
    </w:p>
    <w:p w14:paraId="60282A9B" w14:textId="77777777" w:rsidR="00794EB9" w:rsidRPr="00794EB9" w:rsidRDefault="00794EB9" w:rsidP="00794EB9">
      <w:pPr>
        <w:pStyle w:val="PGAcciones"/>
        <w:rPr>
          <w:color w:val="auto"/>
          <w:sz w:val="22"/>
          <w:szCs w:val="22"/>
        </w:rPr>
      </w:pPr>
      <w:r w:rsidRPr="00794EB9">
        <w:rPr>
          <w:color w:val="auto"/>
          <w:sz w:val="22"/>
          <w:szCs w:val="22"/>
        </w:rPr>
        <w:t>VT. 3.1.9 Reacreditar las Certificaciones de los tres programas del Triple Arco de CALEA.</w:t>
      </w:r>
    </w:p>
    <w:p w14:paraId="7FF76DD2" w14:textId="77777777" w:rsidR="00794EB9" w:rsidRPr="00794EB9" w:rsidRDefault="00794EB9" w:rsidP="00794EB9">
      <w:pPr>
        <w:jc w:val="both"/>
        <w:rPr>
          <w:rFonts w:ascii="Arial" w:hAnsi="Arial" w:cs="Arial"/>
          <w:b/>
          <w:sz w:val="22"/>
          <w:szCs w:val="22"/>
        </w:rPr>
      </w:pPr>
    </w:p>
    <w:p w14:paraId="523D189C"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0FC19A1C"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0CE5F450"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6CDA5A28"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VT. 3.2 Prevención Activa </w:t>
            </w:r>
          </w:p>
        </w:tc>
      </w:tr>
      <w:tr w:rsidR="00794EB9" w:rsidRPr="00794EB9" w14:paraId="7C3C5BED"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1141D51A"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25991160"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 xml:space="preserve">Lograr que León sea la primera ciudad en implementar la nueva Ley de Prevención del Delito, desde la planeación, la activación de comités de seguridad urbana en las colonias y comunidades y contando con un sistema de vigilancia en los principales accesos para incrementar la disuasión. </w:t>
            </w:r>
          </w:p>
        </w:tc>
      </w:tr>
      <w:tr w:rsidR="00794EB9" w:rsidRPr="00794EB9" w14:paraId="2B3C8CD4"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29F7AF3"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4CF35E9B" w14:textId="77777777" w:rsidR="00794EB9" w:rsidRPr="00794EB9" w:rsidRDefault="00794EB9" w:rsidP="00794EB9">
      <w:pPr>
        <w:pStyle w:val="PGAcciones"/>
        <w:rPr>
          <w:color w:val="auto"/>
          <w:sz w:val="22"/>
          <w:szCs w:val="22"/>
        </w:rPr>
      </w:pPr>
      <w:r w:rsidRPr="00794EB9">
        <w:rPr>
          <w:color w:val="auto"/>
          <w:sz w:val="22"/>
          <w:szCs w:val="22"/>
        </w:rPr>
        <w:t>VT. 3.2.1 Desarrollar y publicar el Programa para la Prevención Social de la Violencia y la Delincuencia del Municipio de León.</w:t>
      </w:r>
    </w:p>
    <w:p w14:paraId="2F8145FD" w14:textId="77777777" w:rsidR="00794EB9" w:rsidRPr="00794EB9" w:rsidRDefault="00794EB9" w:rsidP="00794EB9">
      <w:pPr>
        <w:pStyle w:val="PGAcciones"/>
        <w:rPr>
          <w:color w:val="auto"/>
          <w:sz w:val="22"/>
          <w:szCs w:val="22"/>
        </w:rPr>
      </w:pPr>
      <w:r w:rsidRPr="00794EB9">
        <w:rPr>
          <w:color w:val="auto"/>
          <w:sz w:val="22"/>
          <w:szCs w:val="22"/>
        </w:rPr>
        <w:t xml:space="preserve">VT. 3.2.2 Cumplir con los 4 ejes del Programa de Prevención de la SSPPC que permitan el conocimiento permanente de la problemática delictiva, la participación de la comunidad y el trabajo con la sociedad civil organizada. </w:t>
      </w:r>
    </w:p>
    <w:p w14:paraId="0D66C10C" w14:textId="77777777" w:rsidR="00794EB9" w:rsidRPr="00794EB9" w:rsidRDefault="00794EB9" w:rsidP="00794EB9">
      <w:pPr>
        <w:pStyle w:val="PGAcciones"/>
        <w:rPr>
          <w:color w:val="auto"/>
          <w:sz w:val="22"/>
          <w:szCs w:val="22"/>
        </w:rPr>
      </w:pPr>
      <w:r w:rsidRPr="00794EB9">
        <w:rPr>
          <w:color w:val="auto"/>
          <w:sz w:val="22"/>
          <w:szCs w:val="22"/>
        </w:rPr>
        <w:t>VT. 3.2.3 Cubrir los accesos principales de la ciudad con arcos carreteros a través de un esquema de Seguridad Perimetral Urbana.</w:t>
      </w:r>
    </w:p>
    <w:p w14:paraId="3A089D6F" w14:textId="77777777" w:rsidR="00794EB9" w:rsidRPr="00794EB9" w:rsidRDefault="00794EB9" w:rsidP="00794EB9">
      <w:pPr>
        <w:pStyle w:val="PGAcciones"/>
        <w:rPr>
          <w:color w:val="auto"/>
          <w:sz w:val="22"/>
          <w:szCs w:val="22"/>
        </w:rPr>
      </w:pPr>
      <w:r w:rsidRPr="00794EB9">
        <w:rPr>
          <w:color w:val="auto"/>
          <w:sz w:val="22"/>
          <w:szCs w:val="22"/>
        </w:rPr>
        <w:t>VT. 3.2.4 Reactivar los Comités de Seguridad Urbana para el trabajo permanente en materia de prevención del delito en el municipio.</w:t>
      </w:r>
    </w:p>
    <w:p w14:paraId="778C8E60" w14:textId="77777777" w:rsidR="00794EB9" w:rsidRPr="00794EB9" w:rsidRDefault="00794EB9" w:rsidP="00794EB9">
      <w:pPr>
        <w:pStyle w:val="PGAcciones"/>
        <w:rPr>
          <w:color w:val="auto"/>
          <w:sz w:val="22"/>
          <w:szCs w:val="22"/>
        </w:rPr>
      </w:pPr>
      <w:r w:rsidRPr="00794EB9">
        <w:rPr>
          <w:color w:val="auto"/>
          <w:sz w:val="22"/>
          <w:szCs w:val="22"/>
        </w:rPr>
        <w:t>VT 3.2.5 Construir y mantener entornos seguros en escuelas en zonas de alta incidencia delictiva</w:t>
      </w:r>
    </w:p>
    <w:p w14:paraId="663EFE05" w14:textId="77777777" w:rsidR="00794EB9" w:rsidRPr="00794EB9" w:rsidRDefault="00794EB9" w:rsidP="00794EB9">
      <w:pPr>
        <w:jc w:val="both"/>
        <w:rPr>
          <w:rFonts w:ascii="Arial" w:hAnsi="Arial" w:cs="Arial"/>
          <w:b/>
          <w:sz w:val="22"/>
          <w:szCs w:val="22"/>
        </w:rPr>
      </w:pPr>
    </w:p>
    <w:p w14:paraId="19A3FD7B"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35388A95"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3400E3B" w14:textId="77777777" w:rsidR="00794EB9" w:rsidRPr="00794EB9" w:rsidRDefault="00794EB9" w:rsidP="00C307FB">
            <w:pPr>
              <w:pStyle w:val="TtuloPG2"/>
              <w:shd w:val="clear" w:color="auto" w:fill="F2F2F2" w:themeFill="background1" w:themeFillShade="F2"/>
              <w:ind w:left="0"/>
              <w:jc w:val="both"/>
              <w:rPr>
                <w:color w:val="auto"/>
                <w:sz w:val="22"/>
                <w:szCs w:val="22"/>
                <w:lang w:val="es-ES" w:eastAsia="es-MX"/>
              </w:rPr>
            </w:pPr>
            <w:r w:rsidRPr="00794EB9">
              <w:rPr>
                <w:color w:val="auto"/>
                <w:sz w:val="22"/>
                <w:szCs w:val="22"/>
                <w:lang w:val="es-ES" w:eastAsia="es-MX"/>
              </w:rPr>
              <w:t xml:space="preserve">Proyecto: </w:t>
            </w:r>
          </w:p>
          <w:p w14:paraId="0B6ED044"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sz w:val="22"/>
                <w:szCs w:val="22"/>
                <w:lang w:eastAsia="es-MX"/>
              </w:rPr>
              <w:t>VT. 3.3 Tolerancia Cero</w:t>
            </w:r>
          </w:p>
        </w:tc>
      </w:tr>
      <w:tr w:rsidR="00794EB9" w:rsidRPr="00794EB9" w14:paraId="3F171D20"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552953B7"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2D7D684D"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Generar un ambiente de tranquilidad entre la ciudadanía con un actuar de las autoridades basados en la cero tolerancia a los delitos y fortaleciendo un modelo más efectivo del actuar cívico ciudadano.</w:t>
            </w:r>
          </w:p>
        </w:tc>
      </w:tr>
      <w:tr w:rsidR="00794EB9" w:rsidRPr="00794EB9" w14:paraId="4CA5709E"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4C53594"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01DE2F00" w14:textId="77777777" w:rsidR="00794EB9" w:rsidRPr="00794EB9" w:rsidRDefault="00794EB9" w:rsidP="00794EB9">
      <w:pPr>
        <w:pStyle w:val="PGAcciones"/>
        <w:rPr>
          <w:color w:val="auto"/>
          <w:sz w:val="22"/>
          <w:szCs w:val="22"/>
        </w:rPr>
      </w:pPr>
      <w:r w:rsidRPr="00794EB9">
        <w:rPr>
          <w:color w:val="auto"/>
          <w:sz w:val="22"/>
          <w:szCs w:val="22"/>
        </w:rPr>
        <w:t xml:space="preserve">VT. 3.3.1 Cubrir las principales vialidades de la ciudad con equipamiento tecnológico para disminuir la accidentalidad y detectar posibles delitos y faltas al reglamento de policía y vialidad. </w:t>
      </w:r>
    </w:p>
    <w:p w14:paraId="43BDBF0F" w14:textId="77777777" w:rsidR="00794EB9" w:rsidRPr="00794EB9" w:rsidRDefault="00794EB9" w:rsidP="00794EB9">
      <w:pPr>
        <w:pStyle w:val="PGAcciones"/>
        <w:rPr>
          <w:color w:val="auto"/>
          <w:sz w:val="22"/>
          <w:szCs w:val="22"/>
        </w:rPr>
      </w:pPr>
      <w:r w:rsidRPr="00794EB9">
        <w:rPr>
          <w:color w:val="auto"/>
          <w:sz w:val="22"/>
          <w:szCs w:val="22"/>
        </w:rPr>
        <w:t>VT. 3.3.2 Desarrollar un software y sistematizar el proceso del cumplimiento de la prerrogativa de actividades comunitarias.</w:t>
      </w:r>
    </w:p>
    <w:p w14:paraId="615774CC" w14:textId="77777777" w:rsidR="00794EB9" w:rsidRPr="00794EB9" w:rsidRDefault="00794EB9" w:rsidP="00794EB9">
      <w:pPr>
        <w:pStyle w:val="PGAcciones"/>
        <w:rPr>
          <w:b/>
          <w:color w:val="auto"/>
          <w:sz w:val="22"/>
          <w:szCs w:val="22"/>
          <w:lang w:val="es-ES" w:eastAsia="es-MX"/>
        </w:rPr>
      </w:pPr>
      <w:r w:rsidRPr="00794EB9">
        <w:rPr>
          <w:color w:val="auto"/>
          <w:sz w:val="22"/>
          <w:szCs w:val="22"/>
        </w:rPr>
        <w:t>VT. 3.3.3 Realizar una campaña de difusión de cultura de la legalidad y justicia cívica (reglamentos).</w:t>
      </w:r>
    </w:p>
    <w:p w14:paraId="7328987D" w14:textId="77777777" w:rsidR="00794EB9" w:rsidRPr="00794EB9" w:rsidRDefault="00794EB9" w:rsidP="00794EB9">
      <w:pPr>
        <w:pStyle w:val="PGAcciones"/>
        <w:numPr>
          <w:ilvl w:val="0"/>
          <w:numId w:val="0"/>
        </w:numPr>
        <w:rPr>
          <w:color w:val="auto"/>
          <w:sz w:val="22"/>
          <w:szCs w:val="22"/>
          <w:lang w:val="es-ES" w:eastAsia="es-MX"/>
        </w:rPr>
      </w:pPr>
    </w:p>
    <w:p w14:paraId="776EE034" w14:textId="77777777" w:rsidR="00794EB9" w:rsidRPr="00794EB9" w:rsidRDefault="00794EB9" w:rsidP="00794EB9">
      <w:pPr>
        <w:pStyle w:val="TtuloPG2"/>
        <w:ind w:left="0"/>
        <w:jc w:val="both"/>
        <w:rPr>
          <w:bCs/>
          <w:color w:val="auto"/>
          <w:sz w:val="22"/>
          <w:szCs w:val="22"/>
        </w:rPr>
      </w:pPr>
      <w:r w:rsidRPr="00794EB9">
        <w:rPr>
          <w:bCs/>
          <w:color w:val="auto"/>
          <w:sz w:val="22"/>
          <w:szCs w:val="22"/>
        </w:rPr>
        <w:t>Estrategia 2.  CULTURA E IDENTIDAD</w:t>
      </w:r>
    </w:p>
    <w:p w14:paraId="739C2133" w14:textId="77777777" w:rsidR="00794EB9" w:rsidRPr="00794EB9" w:rsidRDefault="00794EB9" w:rsidP="00794EB9">
      <w:pPr>
        <w:pStyle w:val="TtuloPG2"/>
        <w:ind w:left="0"/>
        <w:jc w:val="both"/>
        <w:rPr>
          <w:color w:val="auto"/>
          <w:sz w:val="22"/>
          <w:szCs w:val="22"/>
          <w:lang w:val="es-ES" w:eastAsia="es-MX"/>
        </w:rPr>
      </w:pPr>
    </w:p>
    <w:p w14:paraId="47B29A89"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Promoción de la cultura en el municipio mediante eventos que resalten la identidad leonesa para posicionar a la ciudad con una marca específica e identificable hacia el exterior del territorio.</w:t>
      </w:r>
    </w:p>
    <w:p w14:paraId="29DF6119" w14:textId="77777777" w:rsidR="00794EB9" w:rsidRPr="00794EB9" w:rsidRDefault="00794EB9" w:rsidP="00794EB9">
      <w:pPr>
        <w:pStyle w:val="TtuloPG2"/>
        <w:ind w:left="0"/>
        <w:jc w:val="both"/>
        <w:rPr>
          <w:b w:val="0"/>
          <w:bCs/>
          <w:color w:val="auto"/>
          <w:sz w:val="22"/>
          <w:szCs w:val="22"/>
          <w:lang w:val="es-ES" w:eastAsia="es-MX"/>
        </w:rPr>
      </w:pPr>
    </w:p>
    <w:p w14:paraId="799CC210"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Programas:</w:t>
      </w:r>
    </w:p>
    <w:p w14:paraId="0DCDD2AE"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VT.4. León ciudad de emoción.</w:t>
      </w:r>
    </w:p>
    <w:p w14:paraId="2C182239" w14:textId="77777777" w:rsidR="00794EB9" w:rsidRPr="00794EB9" w:rsidRDefault="00794EB9" w:rsidP="00794EB9">
      <w:pPr>
        <w:pStyle w:val="TtuloPG2"/>
        <w:ind w:left="0"/>
        <w:jc w:val="both"/>
        <w:rPr>
          <w:color w:val="auto"/>
          <w:sz w:val="22"/>
          <w:szCs w:val="22"/>
          <w:lang w:val="es-ES" w:eastAsia="es-MX"/>
        </w:rPr>
      </w:pPr>
    </w:p>
    <w:p w14:paraId="34E5A359" w14:textId="77777777" w:rsidR="00794EB9" w:rsidRPr="00794EB9" w:rsidRDefault="00794EB9" w:rsidP="00794EB9">
      <w:pPr>
        <w:pStyle w:val="TtuloPG2"/>
        <w:ind w:left="0"/>
        <w:rPr>
          <w:color w:val="auto"/>
          <w:sz w:val="22"/>
          <w:szCs w:val="22"/>
          <w:lang w:val="es-ES" w:eastAsia="es-MX"/>
        </w:rPr>
      </w:pPr>
      <w:r w:rsidRPr="00794EB9">
        <w:rPr>
          <w:color w:val="auto"/>
          <w:sz w:val="22"/>
          <w:szCs w:val="22"/>
          <w:lang w:val="es-ES" w:eastAsia="es-MX"/>
        </w:rPr>
        <w:t>PROGRAMA: VT4. LEÓN CIUDAD EMOCIÓN</w:t>
      </w:r>
    </w:p>
    <w:p w14:paraId="68B86179" w14:textId="77777777" w:rsidR="00794EB9" w:rsidRPr="00794EB9" w:rsidRDefault="00794EB9" w:rsidP="00794EB9">
      <w:pPr>
        <w:ind w:hanging="2"/>
        <w:jc w:val="both"/>
        <w:rPr>
          <w:rFonts w:ascii="Arial" w:hAnsi="Arial" w:cs="Arial"/>
          <w:sz w:val="22"/>
          <w:szCs w:val="22"/>
        </w:rPr>
      </w:pPr>
    </w:p>
    <w:p w14:paraId="04805E7D"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4BB59ABB"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Consiste en fortalecer la identidad leonesa y elevar el posicionamiento del municipio a nivel internacional.</w:t>
      </w:r>
    </w:p>
    <w:p w14:paraId="10FDD00D" w14:textId="77777777" w:rsidR="00794EB9" w:rsidRPr="00794EB9" w:rsidRDefault="00794EB9" w:rsidP="00794EB9">
      <w:pPr>
        <w:pStyle w:val="TtuloPG2"/>
        <w:ind w:left="0"/>
        <w:rPr>
          <w:color w:val="auto"/>
          <w:sz w:val="22"/>
          <w:szCs w:val="22"/>
        </w:rPr>
      </w:pPr>
    </w:p>
    <w:p w14:paraId="74234D93"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0963EBDA"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El sector turismo requiere mayor atención, siendo que se identifican los factores clave para generar una ciudad más segura e impulsar el desarrollo económico.</w:t>
      </w:r>
    </w:p>
    <w:p w14:paraId="595BCFF4" w14:textId="77777777" w:rsidR="00794EB9" w:rsidRPr="00794EB9" w:rsidRDefault="00794EB9" w:rsidP="00794EB9">
      <w:pPr>
        <w:pStyle w:val="TtuloPG2"/>
        <w:ind w:left="0"/>
        <w:jc w:val="both"/>
        <w:rPr>
          <w:b w:val="0"/>
          <w:color w:val="auto"/>
          <w:sz w:val="22"/>
          <w:szCs w:val="22"/>
        </w:rPr>
      </w:pPr>
    </w:p>
    <w:p w14:paraId="3245A19A"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3455623E"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Desarrollar una intensa promoción de actividades artísticas, culturales y científicas en colaboración con la iniciativa privada y organizaciones sociales, que ayuden a mejorar las condiciones de convivencia social, la conservación del patrimonio cultural y el fortalecimiento de la identidad local.</w:t>
      </w:r>
    </w:p>
    <w:p w14:paraId="4AA6C16F" w14:textId="77777777" w:rsidR="00794EB9" w:rsidRPr="00794EB9" w:rsidRDefault="00794EB9" w:rsidP="00794EB9">
      <w:pPr>
        <w:pStyle w:val="TtuloPG2"/>
        <w:ind w:left="0"/>
        <w:jc w:val="both"/>
        <w:rPr>
          <w:b w:val="0"/>
          <w:color w:val="auto"/>
          <w:sz w:val="22"/>
          <w:szCs w:val="22"/>
        </w:rPr>
      </w:pPr>
    </w:p>
    <w:p w14:paraId="7A57A227"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0EF4A26A"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Secretaría para la Reactivación Económica de León</w:t>
      </w:r>
    </w:p>
    <w:p w14:paraId="5A0773E1" w14:textId="77777777" w:rsidR="00794EB9" w:rsidRPr="00794EB9" w:rsidRDefault="00794EB9" w:rsidP="00794EB9">
      <w:pPr>
        <w:pStyle w:val="TtuloPG2"/>
        <w:ind w:left="0"/>
        <w:jc w:val="both"/>
        <w:rPr>
          <w:b w:val="0"/>
          <w:color w:val="auto"/>
          <w:sz w:val="22"/>
          <w:szCs w:val="22"/>
        </w:rPr>
      </w:pPr>
    </w:p>
    <w:p w14:paraId="6AF5617E"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62AA080C"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 xml:space="preserve">VT. 4.1 Patrimonio Cultural e Identidad Leonesa </w:t>
      </w:r>
    </w:p>
    <w:p w14:paraId="30039624"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4.2. Marca Ciudad</w:t>
      </w:r>
    </w:p>
    <w:p w14:paraId="14A3BE7E"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 xml:space="preserve">VT. 4.3 Atracción y Promoción de Eventos Turísticos y Culturales </w:t>
      </w:r>
    </w:p>
    <w:p w14:paraId="68CFB253" w14:textId="77777777" w:rsidR="00794EB9" w:rsidRPr="00794EB9" w:rsidRDefault="00794EB9" w:rsidP="00794EB9">
      <w:pPr>
        <w:jc w:val="both"/>
        <w:rPr>
          <w:rFonts w:ascii="Arial" w:hAnsi="Arial" w:cs="Arial"/>
          <w:b/>
          <w:sz w:val="22"/>
          <w:szCs w:val="22"/>
        </w:rPr>
      </w:pPr>
    </w:p>
    <w:p w14:paraId="02F91018" w14:textId="77777777" w:rsidR="00794EB9" w:rsidRPr="00794EB9" w:rsidRDefault="00794EB9" w:rsidP="00794EB9">
      <w:pPr>
        <w:jc w:val="both"/>
        <w:rPr>
          <w:rFonts w:ascii="Arial" w:hAnsi="Arial" w:cs="Arial"/>
          <w:b/>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3ACC029A"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7EB1873"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0115C24F"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VT. 4.1 Patrimonio Cultural e Identidad Leonesa </w:t>
            </w:r>
          </w:p>
        </w:tc>
      </w:tr>
      <w:tr w:rsidR="00794EB9" w:rsidRPr="00794EB9" w14:paraId="28F8B070"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3F8CA6BD"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11E568F8"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 xml:space="preserve">Realizar acciones de fomento a la cultura, el arte y al deporte que incrementen el sentido de identidad entre la ciudadanía, incluido el rescate de los elementos históricos y patrimoniales en el Centro y los Barrios, en lo que se conoce como la Ciudad Histórica. </w:t>
            </w:r>
          </w:p>
        </w:tc>
      </w:tr>
      <w:tr w:rsidR="00794EB9" w:rsidRPr="00794EB9" w14:paraId="6B1B50A7"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679570F5"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11F1F4DB" w14:textId="77777777" w:rsidR="00794EB9" w:rsidRPr="00794EB9" w:rsidRDefault="00794EB9" w:rsidP="00794EB9">
      <w:pPr>
        <w:pStyle w:val="PGAcciones"/>
        <w:rPr>
          <w:color w:val="auto"/>
          <w:sz w:val="22"/>
          <w:szCs w:val="22"/>
        </w:rPr>
      </w:pPr>
      <w:r w:rsidRPr="00794EB9">
        <w:rPr>
          <w:color w:val="auto"/>
          <w:sz w:val="22"/>
          <w:szCs w:val="22"/>
        </w:rPr>
        <w:t>VT. 4.1.1 Desarrollar el Plan de Manejo de la Ciudad Histórica.</w:t>
      </w:r>
    </w:p>
    <w:p w14:paraId="0A4B357A" w14:textId="77777777" w:rsidR="00794EB9" w:rsidRPr="00794EB9" w:rsidRDefault="00794EB9" w:rsidP="00794EB9">
      <w:pPr>
        <w:pStyle w:val="PGAcciones"/>
        <w:rPr>
          <w:color w:val="auto"/>
          <w:sz w:val="22"/>
          <w:szCs w:val="22"/>
        </w:rPr>
      </w:pPr>
      <w:r w:rsidRPr="00794EB9">
        <w:rPr>
          <w:color w:val="auto"/>
          <w:sz w:val="22"/>
          <w:szCs w:val="22"/>
        </w:rPr>
        <w:t>VT. 4.1.2 Realizar estudios y proyectos de regeneración urbana en Barrios Históricos.</w:t>
      </w:r>
    </w:p>
    <w:p w14:paraId="024F3A7A" w14:textId="77777777" w:rsidR="00794EB9" w:rsidRPr="00794EB9" w:rsidRDefault="00794EB9" w:rsidP="00794EB9">
      <w:pPr>
        <w:pStyle w:val="PGAcciones"/>
        <w:rPr>
          <w:color w:val="auto"/>
          <w:sz w:val="22"/>
          <w:szCs w:val="22"/>
        </w:rPr>
      </w:pPr>
      <w:r w:rsidRPr="00794EB9">
        <w:rPr>
          <w:color w:val="auto"/>
          <w:sz w:val="22"/>
          <w:szCs w:val="22"/>
        </w:rPr>
        <w:t>VT. 4.1.3 Otorgar apoyos a equipos deportivos representativos de León, de acuerdo a la normativa del Reglamento de Apoyos Deportivos.</w:t>
      </w:r>
    </w:p>
    <w:p w14:paraId="348313CB" w14:textId="77777777" w:rsidR="00794EB9" w:rsidRPr="00794EB9" w:rsidRDefault="00794EB9" w:rsidP="00794EB9">
      <w:pPr>
        <w:pStyle w:val="PGAcciones"/>
        <w:rPr>
          <w:color w:val="auto"/>
          <w:sz w:val="22"/>
          <w:szCs w:val="22"/>
        </w:rPr>
      </w:pPr>
      <w:r w:rsidRPr="00794EB9">
        <w:rPr>
          <w:color w:val="auto"/>
          <w:sz w:val="22"/>
          <w:szCs w:val="22"/>
        </w:rPr>
        <w:lastRenderedPageBreak/>
        <w:t>VT. 4.1.4 Realizar un Programa anual de conferencias, proyectos académicos, exposiciones y activaciones artísticas en los diferentes recintos ubicados en zonas con valor histórico para la ciudadanía.</w:t>
      </w:r>
    </w:p>
    <w:p w14:paraId="239B1271" w14:textId="77777777" w:rsidR="00794EB9" w:rsidRPr="00794EB9" w:rsidRDefault="00794EB9" w:rsidP="00794EB9">
      <w:pPr>
        <w:pStyle w:val="PGAcciones"/>
        <w:rPr>
          <w:color w:val="auto"/>
          <w:sz w:val="22"/>
          <w:szCs w:val="22"/>
        </w:rPr>
      </w:pPr>
      <w:r w:rsidRPr="00794EB9">
        <w:rPr>
          <w:color w:val="auto"/>
          <w:sz w:val="22"/>
          <w:szCs w:val="22"/>
        </w:rPr>
        <w:t>VT 4.1.5 Realizar exposiciones en las diferentes salas del MIL (Museo de las Identidades Leonesas) con temáticas de identidad, orígenes e historia de León, arte y objetos culturales.</w:t>
      </w:r>
    </w:p>
    <w:p w14:paraId="0F1F2C4E" w14:textId="77777777" w:rsidR="00794EB9" w:rsidRPr="00794EB9" w:rsidRDefault="00794EB9" w:rsidP="00794EB9">
      <w:pPr>
        <w:jc w:val="both"/>
        <w:rPr>
          <w:rFonts w:ascii="Arial" w:hAnsi="Arial" w:cs="Arial"/>
          <w:b/>
          <w:sz w:val="22"/>
          <w:szCs w:val="22"/>
        </w:rPr>
      </w:pPr>
    </w:p>
    <w:p w14:paraId="39F3691A" w14:textId="77777777" w:rsidR="00794EB9" w:rsidRPr="00794EB9" w:rsidRDefault="00794EB9" w:rsidP="00794EB9">
      <w:pPr>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6C2F73CE"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A13F033"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79F2A1A0"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VT. 4.2. Marca Ciudad</w:t>
            </w:r>
          </w:p>
        </w:tc>
      </w:tr>
      <w:tr w:rsidR="00794EB9" w:rsidRPr="00794EB9" w14:paraId="379056A8"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737A8943"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3EF0D10B"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Promover una cultura de esfuerzo, creatividad y hermandad a través de una plataforma de comunicación diseñada y gestionada por un Consejo multidisciplinario de Marca Ciudad que rescate y promueva la historia, los valores y atractivos turísticos de León para fortalecer el sentido de pertenencia, disminuir la inseguridad, fomentar la sana convivencia, el espíritu de trabajo y atracción de turismo e inversiones a esta ciudad.</w:t>
            </w:r>
          </w:p>
        </w:tc>
      </w:tr>
      <w:tr w:rsidR="00794EB9" w:rsidRPr="00794EB9" w14:paraId="76D38F42"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75945B2"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2D2BCFC3" w14:textId="77777777" w:rsidR="00794EB9" w:rsidRPr="00794EB9" w:rsidRDefault="00794EB9" w:rsidP="00794EB9">
      <w:pPr>
        <w:pStyle w:val="PGAcciones"/>
        <w:rPr>
          <w:color w:val="auto"/>
          <w:sz w:val="22"/>
          <w:szCs w:val="22"/>
        </w:rPr>
      </w:pPr>
      <w:r w:rsidRPr="00794EB9">
        <w:rPr>
          <w:color w:val="auto"/>
          <w:sz w:val="22"/>
          <w:szCs w:val="22"/>
        </w:rPr>
        <w:t xml:space="preserve">VT. 4.2.1 Instalar decoración emblemática acorde a temporada en los principales puntos y avenidas de la ciudad como parte de los esfuerzos para fortalecer la identidad local. </w:t>
      </w:r>
    </w:p>
    <w:p w14:paraId="04CE3E31" w14:textId="77777777" w:rsidR="00794EB9" w:rsidRPr="00794EB9" w:rsidRDefault="00794EB9" w:rsidP="00794EB9">
      <w:pPr>
        <w:pStyle w:val="PGAcciones"/>
        <w:rPr>
          <w:color w:val="auto"/>
          <w:sz w:val="22"/>
          <w:szCs w:val="22"/>
        </w:rPr>
      </w:pPr>
      <w:r w:rsidRPr="00794EB9">
        <w:rPr>
          <w:color w:val="auto"/>
          <w:sz w:val="22"/>
          <w:szCs w:val="22"/>
        </w:rPr>
        <w:t>VT. 4.2.2 Intervenir zonas emblemáticas con iluminación escénica en la ciudad.</w:t>
      </w:r>
    </w:p>
    <w:p w14:paraId="773482D0" w14:textId="77777777" w:rsidR="00794EB9" w:rsidRPr="00794EB9" w:rsidRDefault="00794EB9" w:rsidP="00794EB9">
      <w:pPr>
        <w:pStyle w:val="PGAcciones"/>
        <w:rPr>
          <w:color w:val="auto"/>
          <w:sz w:val="22"/>
          <w:szCs w:val="22"/>
        </w:rPr>
      </w:pPr>
      <w:r w:rsidRPr="00794EB9">
        <w:rPr>
          <w:color w:val="auto"/>
          <w:sz w:val="22"/>
          <w:szCs w:val="22"/>
        </w:rPr>
        <w:t>VT. 4.2.3 Reconocer a jóvenes leoneses destacados en las artes, la cultura, la ciencia y el desarrollo social.</w:t>
      </w:r>
    </w:p>
    <w:p w14:paraId="348B5B6D" w14:textId="77777777" w:rsidR="00794EB9" w:rsidRPr="00794EB9" w:rsidRDefault="00794EB9" w:rsidP="00794EB9">
      <w:pPr>
        <w:pStyle w:val="PGAcciones"/>
        <w:rPr>
          <w:color w:val="auto"/>
          <w:sz w:val="22"/>
          <w:szCs w:val="22"/>
        </w:rPr>
      </w:pPr>
      <w:r w:rsidRPr="00794EB9">
        <w:rPr>
          <w:color w:val="auto"/>
          <w:sz w:val="22"/>
          <w:szCs w:val="22"/>
        </w:rPr>
        <w:t xml:space="preserve">VT. 4.2.4 Reconocer a los atletas más sobresalientes en las diferentes disciplinas deportivas que se practican en la ciudad y desarrollar mecanismos de participación y promoción de los mismos con organizaciones privadas para posicionar a León como ciudad líder en promoción del deporte.  </w:t>
      </w:r>
    </w:p>
    <w:p w14:paraId="613F33CC" w14:textId="77777777" w:rsidR="00794EB9" w:rsidRPr="00794EB9" w:rsidRDefault="00794EB9" w:rsidP="00794EB9">
      <w:pPr>
        <w:pStyle w:val="PGAcciones"/>
        <w:rPr>
          <w:color w:val="auto"/>
          <w:sz w:val="22"/>
          <w:szCs w:val="22"/>
        </w:rPr>
      </w:pPr>
      <w:r w:rsidRPr="00794EB9">
        <w:rPr>
          <w:color w:val="auto"/>
          <w:sz w:val="22"/>
          <w:szCs w:val="22"/>
        </w:rPr>
        <w:t xml:space="preserve">VT. 4.2.5 Implementar un consejo renovado que integre a los diferentes organismos empresariales para ser una voz activa ciudadana que diseñe y gestione estrategias de comunicación y promoción orientadas a fortalecer la identidad social, la unión ciudadana y la promoción turística de la ciudad.  </w:t>
      </w:r>
    </w:p>
    <w:p w14:paraId="50B2F2B9" w14:textId="77777777" w:rsidR="00794EB9" w:rsidRPr="00794EB9" w:rsidRDefault="00794EB9" w:rsidP="00794EB9">
      <w:pPr>
        <w:pStyle w:val="PGAcciones"/>
        <w:rPr>
          <w:color w:val="auto"/>
          <w:sz w:val="22"/>
          <w:szCs w:val="22"/>
        </w:rPr>
      </w:pPr>
      <w:r w:rsidRPr="00794EB9">
        <w:rPr>
          <w:color w:val="auto"/>
          <w:sz w:val="22"/>
          <w:szCs w:val="22"/>
        </w:rPr>
        <w:t>VT. 4.2.6 Construcción y operación de módulos móviles con oferta de talleres y eventos artísticos itinerando en las 7 Delegaciones</w:t>
      </w:r>
    </w:p>
    <w:p w14:paraId="7C168655" w14:textId="77777777" w:rsidR="00794EB9" w:rsidRPr="00794EB9" w:rsidRDefault="00794EB9" w:rsidP="00794EB9">
      <w:pPr>
        <w:jc w:val="both"/>
        <w:rPr>
          <w:rFonts w:ascii="Arial" w:hAnsi="Arial" w:cs="Arial"/>
          <w:b/>
          <w:sz w:val="22"/>
          <w:szCs w:val="22"/>
        </w:rPr>
      </w:pPr>
    </w:p>
    <w:p w14:paraId="072C7700"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54F55F08"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FDDE1E3"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0E2FA5B9"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VT. 4.3 Atracción y Promoción de Eventos Turísticos y Culturales </w:t>
            </w:r>
          </w:p>
        </w:tc>
      </w:tr>
      <w:tr w:rsidR="00794EB9" w:rsidRPr="00794EB9" w14:paraId="56C36BAB"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644B91EB"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4229C04F"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Promover la realización de programas culturales y artísticos en diferentes zonas de la ciudad para acercar la cultura a todos los públicos y así fomentar una sana convivencia y buen desarrollo social.</w:t>
            </w:r>
          </w:p>
        </w:tc>
      </w:tr>
      <w:tr w:rsidR="00794EB9" w:rsidRPr="00794EB9" w14:paraId="6872E855"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2065837"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1B47E11E" w14:textId="77777777" w:rsidR="00794EB9" w:rsidRPr="00794EB9" w:rsidRDefault="00794EB9" w:rsidP="00794EB9">
      <w:pPr>
        <w:pStyle w:val="PGAcciones"/>
        <w:rPr>
          <w:color w:val="auto"/>
          <w:sz w:val="22"/>
          <w:szCs w:val="22"/>
        </w:rPr>
      </w:pPr>
      <w:r w:rsidRPr="00794EB9">
        <w:rPr>
          <w:color w:val="auto"/>
          <w:sz w:val="22"/>
          <w:szCs w:val="22"/>
        </w:rPr>
        <w:t>VT 4.3.1 Realizar eventos culturales de impacto nacional e internacional, para proyectar a León</w:t>
      </w:r>
    </w:p>
    <w:p w14:paraId="2F940661" w14:textId="77777777" w:rsidR="00794EB9" w:rsidRPr="00794EB9" w:rsidRDefault="00794EB9" w:rsidP="00794EB9">
      <w:pPr>
        <w:pStyle w:val="PGAcciones"/>
        <w:rPr>
          <w:color w:val="auto"/>
          <w:sz w:val="22"/>
          <w:szCs w:val="22"/>
        </w:rPr>
      </w:pPr>
      <w:r w:rsidRPr="00794EB9">
        <w:rPr>
          <w:color w:val="auto"/>
          <w:sz w:val="22"/>
          <w:szCs w:val="22"/>
        </w:rPr>
        <w:lastRenderedPageBreak/>
        <w:t>VT 4.3.2 Participar y promover la participación en eventos orientados al fortalecimiento de los sectores agroalimentario y agropecuario.</w:t>
      </w:r>
    </w:p>
    <w:p w14:paraId="5CC57FD8" w14:textId="77777777" w:rsidR="00794EB9" w:rsidRPr="00794EB9" w:rsidRDefault="00794EB9" w:rsidP="00794EB9">
      <w:pPr>
        <w:pStyle w:val="PGAcciones"/>
        <w:rPr>
          <w:color w:val="auto"/>
          <w:sz w:val="22"/>
          <w:szCs w:val="22"/>
        </w:rPr>
      </w:pPr>
      <w:r w:rsidRPr="00794EB9">
        <w:rPr>
          <w:color w:val="auto"/>
          <w:sz w:val="22"/>
          <w:szCs w:val="22"/>
        </w:rPr>
        <w:t>VT 4.3.3 Realizar festivales de atracción turística para la ciudad.</w:t>
      </w:r>
    </w:p>
    <w:p w14:paraId="1FC65BAF" w14:textId="77777777" w:rsidR="00794EB9" w:rsidRPr="00794EB9" w:rsidRDefault="00794EB9" w:rsidP="00794EB9">
      <w:pPr>
        <w:pStyle w:val="PGAcciones"/>
        <w:rPr>
          <w:color w:val="auto"/>
          <w:sz w:val="22"/>
          <w:szCs w:val="22"/>
        </w:rPr>
      </w:pPr>
      <w:r w:rsidRPr="00794EB9">
        <w:rPr>
          <w:color w:val="auto"/>
          <w:sz w:val="22"/>
          <w:szCs w:val="22"/>
        </w:rPr>
        <w:t>VT 4.3.4 Realizar eventos de proyección nacional e internacional</w:t>
      </w:r>
    </w:p>
    <w:p w14:paraId="17B816BA" w14:textId="77777777" w:rsidR="00794EB9" w:rsidRPr="00794EB9" w:rsidRDefault="00794EB9" w:rsidP="00794EB9">
      <w:pPr>
        <w:ind w:hanging="2"/>
        <w:jc w:val="both"/>
        <w:rPr>
          <w:rFonts w:ascii="Arial" w:hAnsi="Arial" w:cs="Arial"/>
          <w:sz w:val="22"/>
          <w:szCs w:val="22"/>
        </w:rPr>
      </w:pPr>
    </w:p>
    <w:p w14:paraId="0C4CA25C" w14:textId="77777777" w:rsidR="00794EB9" w:rsidRPr="00794EB9" w:rsidRDefault="00794EB9" w:rsidP="00794EB9">
      <w:pPr>
        <w:ind w:hanging="2"/>
        <w:jc w:val="both"/>
        <w:rPr>
          <w:rFonts w:ascii="Arial" w:hAnsi="Arial" w:cs="Arial"/>
          <w:sz w:val="22"/>
          <w:szCs w:val="22"/>
        </w:rPr>
      </w:pPr>
    </w:p>
    <w:p w14:paraId="72FD4D27" w14:textId="77777777" w:rsidR="00794EB9" w:rsidRPr="00794EB9" w:rsidRDefault="00794EB9" w:rsidP="00794EB9">
      <w:pPr>
        <w:pStyle w:val="TtuloPG2"/>
        <w:ind w:left="0"/>
        <w:jc w:val="both"/>
        <w:rPr>
          <w:bCs/>
          <w:color w:val="auto"/>
          <w:sz w:val="22"/>
          <w:szCs w:val="22"/>
        </w:rPr>
      </w:pPr>
      <w:r w:rsidRPr="00794EB9">
        <w:rPr>
          <w:bCs/>
          <w:color w:val="auto"/>
          <w:sz w:val="22"/>
          <w:szCs w:val="22"/>
        </w:rPr>
        <w:t>Estrategia 3.  MEDIO AMBIENTE Y SUSTENTABILIDAD</w:t>
      </w:r>
    </w:p>
    <w:p w14:paraId="7A85D809" w14:textId="77777777" w:rsidR="00794EB9" w:rsidRPr="00794EB9" w:rsidRDefault="00794EB9" w:rsidP="00794EB9">
      <w:pPr>
        <w:pStyle w:val="TtuloPG2"/>
        <w:ind w:left="0"/>
        <w:jc w:val="both"/>
        <w:rPr>
          <w:bCs/>
          <w:color w:val="auto"/>
          <w:sz w:val="22"/>
          <w:szCs w:val="22"/>
        </w:rPr>
      </w:pPr>
    </w:p>
    <w:p w14:paraId="7BBDCFAC"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Generación de nuevos espacios para la recreación y protección, atención y cuidado de la biodiversidad local y del recurso hídrico.</w:t>
      </w:r>
    </w:p>
    <w:p w14:paraId="3BD4E3CF" w14:textId="77777777" w:rsidR="00794EB9" w:rsidRPr="00794EB9" w:rsidRDefault="00794EB9" w:rsidP="00794EB9">
      <w:pPr>
        <w:pStyle w:val="TtuloPG2"/>
        <w:ind w:left="0"/>
        <w:jc w:val="both"/>
        <w:rPr>
          <w:b w:val="0"/>
          <w:bCs/>
          <w:color w:val="auto"/>
          <w:sz w:val="22"/>
          <w:szCs w:val="22"/>
          <w:lang w:val="es-ES" w:eastAsia="es-MX"/>
        </w:rPr>
      </w:pPr>
    </w:p>
    <w:p w14:paraId="71344C72"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Programas:</w:t>
      </w:r>
    </w:p>
    <w:p w14:paraId="7E659FDB"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VS.1. León Verde.</w:t>
      </w:r>
    </w:p>
    <w:p w14:paraId="1BB28ADF" w14:textId="77777777" w:rsidR="00794EB9" w:rsidRPr="00794EB9" w:rsidRDefault="00794EB9" w:rsidP="00794EB9">
      <w:pPr>
        <w:pStyle w:val="TtuloPG2"/>
        <w:ind w:left="0"/>
        <w:jc w:val="both"/>
        <w:rPr>
          <w:color w:val="auto"/>
          <w:sz w:val="22"/>
          <w:szCs w:val="22"/>
          <w:lang w:val="es-ES" w:eastAsia="es-MX"/>
        </w:rPr>
      </w:pPr>
    </w:p>
    <w:p w14:paraId="2B865FA9" w14:textId="77777777" w:rsidR="00794EB9" w:rsidRPr="00794EB9" w:rsidRDefault="00794EB9" w:rsidP="00794EB9">
      <w:pPr>
        <w:pStyle w:val="TtuloPG2"/>
        <w:ind w:left="0"/>
        <w:jc w:val="both"/>
        <w:rPr>
          <w:color w:val="auto"/>
          <w:sz w:val="22"/>
          <w:szCs w:val="22"/>
          <w:lang w:val="es-ES" w:eastAsia="es-MX"/>
        </w:rPr>
      </w:pPr>
      <w:r w:rsidRPr="00794EB9">
        <w:rPr>
          <w:color w:val="auto"/>
          <w:sz w:val="22"/>
          <w:szCs w:val="22"/>
          <w:lang w:val="es-ES" w:eastAsia="es-MX"/>
        </w:rPr>
        <w:t>PROGRAMA: VS1. LEÓN VERDE</w:t>
      </w:r>
    </w:p>
    <w:p w14:paraId="5D109748" w14:textId="77777777" w:rsidR="00794EB9" w:rsidRPr="00794EB9" w:rsidRDefault="00794EB9" w:rsidP="00794EB9">
      <w:pPr>
        <w:ind w:hanging="2"/>
        <w:jc w:val="both"/>
        <w:rPr>
          <w:rFonts w:ascii="Arial" w:hAnsi="Arial" w:cs="Arial"/>
          <w:sz w:val="22"/>
          <w:szCs w:val="22"/>
        </w:rPr>
      </w:pPr>
    </w:p>
    <w:p w14:paraId="60888A88"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71377A64"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Para que los espacios que compartimos como parques, jardines y calles sean una extensión de nuestra casa, van a ser recuperados a través de una inversión con claro sentido social.</w:t>
      </w:r>
    </w:p>
    <w:p w14:paraId="785F393F" w14:textId="77777777" w:rsidR="00794EB9" w:rsidRPr="00794EB9" w:rsidRDefault="00794EB9" w:rsidP="00794EB9">
      <w:pPr>
        <w:pStyle w:val="TtuloPG2"/>
        <w:ind w:left="0"/>
        <w:jc w:val="both"/>
        <w:rPr>
          <w:color w:val="auto"/>
          <w:sz w:val="22"/>
          <w:szCs w:val="22"/>
        </w:rPr>
      </w:pPr>
    </w:p>
    <w:p w14:paraId="78242DE1"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1F0104A8"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Para todos los leoneses, de forma que tengan acceso a espacios públicos de calidad y una verdadera opción para su convivencia y esparcimiento.</w:t>
      </w:r>
    </w:p>
    <w:p w14:paraId="051C5483" w14:textId="77777777" w:rsidR="00794EB9" w:rsidRPr="00794EB9" w:rsidRDefault="00794EB9" w:rsidP="00794EB9">
      <w:pPr>
        <w:pStyle w:val="TtuloPG2"/>
        <w:ind w:left="0"/>
        <w:jc w:val="both"/>
        <w:rPr>
          <w:b w:val="0"/>
          <w:color w:val="auto"/>
          <w:sz w:val="22"/>
          <w:szCs w:val="22"/>
        </w:rPr>
      </w:pPr>
    </w:p>
    <w:p w14:paraId="2AE2D0E6" w14:textId="77777777" w:rsidR="00794EB9" w:rsidRPr="00794EB9" w:rsidRDefault="00794EB9" w:rsidP="00794EB9">
      <w:pPr>
        <w:pStyle w:val="TtuloPG2"/>
        <w:ind w:left="0"/>
        <w:jc w:val="both"/>
        <w:rPr>
          <w:b w:val="0"/>
          <w:color w:val="auto"/>
          <w:sz w:val="22"/>
          <w:szCs w:val="22"/>
        </w:rPr>
      </w:pPr>
    </w:p>
    <w:p w14:paraId="5A74E0F1"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50E67223"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Lograr que León sea referente como Ciudad Sostenible por el la Red de Parques Urbanos e Infraestructura Verde, sus Parques Metropolitanos, el rescate de sus espacios públicos, la protección a mascotas y fauna, la gestión del agua y el manejo integral de los residuos sólidos, con una base fuerte e colaboración ciudadana.</w:t>
      </w:r>
    </w:p>
    <w:p w14:paraId="33B59AD5" w14:textId="77777777" w:rsidR="00794EB9" w:rsidRPr="00794EB9" w:rsidRDefault="00794EB9" w:rsidP="00794EB9">
      <w:pPr>
        <w:pStyle w:val="TtuloPG2"/>
        <w:ind w:left="0"/>
        <w:jc w:val="both"/>
        <w:rPr>
          <w:b w:val="0"/>
          <w:color w:val="auto"/>
          <w:sz w:val="22"/>
          <w:szCs w:val="22"/>
        </w:rPr>
      </w:pPr>
    </w:p>
    <w:p w14:paraId="5901A95B"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2FCAE8F1"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Dirección General de Medio Ambiente</w:t>
      </w:r>
    </w:p>
    <w:p w14:paraId="16573A13" w14:textId="77777777" w:rsidR="00794EB9" w:rsidRPr="00794EB9" w:rsidRDefault="00794EB9" w:rsidP="00794EB9">
      <w:pPr>
        <w:pStyle w:val="TtuloPG2"/>
        <w:ind w:left="0"/>
        <w:jc w:val="both"/>
        <w:rPr>
          <w:b w:val="0"/>
          <w:color w:val="auto"/>
          <w:sz w:val="22"/>
          <w:szCs w:val="22"/>
        </w:rPr>
      </w:pPr>
    </w:p>
    <w:p w14:paraId="2B5B9A2F"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7436C826"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1.1 Amigos del Planeta</w:t>
      </w:r>
    </w:p>
    <w:p w14:paraId="74A95A27"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1.2 León protector de mascotas y animales en riesgo</w:t>
      </w:r>
    </w:p>
    <w:p w14:paraId="1FF49038"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 xml:space="preserve">VS. 1.3 Red de Parques Urbanos y Áreas Naturales </w:t>
      </w:r>
    </w:p>
    <w:p w14:paraId="044D662D"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1.4 Nuevo Parque Metropolitano</w:t>
      </w:r>
    </w:p>
    <w:p w14:paraId="285577CF"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1.5 Agua para todos</w:t>
      </w:r>
    </w:p>
    <w:p w14:paraId="71E20129"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1.6 León siempre limpio</w:t>
      </w:r>
    </w:p>
    <w:p w14:paraId="06536E3F" w14:textId="77777777" w:rsidR="00794EB9" w:rsidRPr="00794EB9" w:rsidRDefault="00794EB9" w:rsidP="00794EB9">
      <w:pPr>
        <w:keepLines/>
        <w:ind w:hanging="2"/>
        <w:jc w:val="both"/>
        <w:rPr>
          <w:rFonts w:ascii="Arial" w:hAnsi="Arial" w:cs="Arial"/>
          <w:sz w:val="22"/>
          <w:szCs w:val="22"/>
        </w:rPr>
      </w:pPr>
    </w:p>
    <w:p w14:paraId="49B90D2D" w14:textId="77777777" w:rsidR="00794EB9" w:rsidRPr="00794EB9" w:rsidRDefault="00794EB9" w:rsidP="00794EB9">
      <w:pPr>
        <w:keepLines/>
        <w:ind w:hanging="2"/>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359343BB"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5B3B4A38"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0C9B1C24"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VS. 1.1 Amigos del Planeta</w:t>
            </w:r>
          </w:p>
        </w:tc>
      </w:tr>
      <w:tr w:rsidR="00794EB9" w:rsidRPr="00794EB9" w14:paraId="745F104A"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6D9A2EAE"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4EFDA991"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 xml:space="preserve">Realizar la entrega de la certificación "Amigos del Planeta", al año, para individuos, asociaciones y empresas con logros destacados en acciones de forestación, conservación ambiental y otras relacionadas con la mejora del medio ambiente en León. </w:t>
            </w:r>
          </w:p>
        </w:tc>
      </w:tr>
      <w:tr w:rsidR="00794EB9" w:rsidRPr="00794EB9" w14:paraId="03B6A86E"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E00E74E"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lastRenderedPageBreak/>
              <w:t>Acciones del proyecto</w:t>
            </w:r>
          </w:p>
        </w:tc>
      </w:tr>
    </w:tbl>
    <w:p w14:paraId="116838A4" w14:textId="77777777" w:rsidR="00794EB9" w:rsidRPr="00794EB9" w:rsidRDefault="00794EB9" w:rsidP="00794EB9">
      <w:pPr>
        <w:pStyle w:val="PGAcciones"/>
        <w:rPr>
          <w:color w:val="auto"/>
          <w:sz w:val="22"/>
          <w:szCs w:val="22"/>
        </w:rPr>
      </w:pPr>
      <w:r w:rsidRPr="00794EB9">
        <w:rPr>
          <w:color w:val="auto"/>
          <w:sz w:val="22"/>
          <w:szCs w:val="22"/>
        </w:rPr>
        <w:t xml:space="preserve">VS.1.1.1 Diseñar el programa y la entrega de Certificaciones "Amigos del Planeta", dirigido a individuos, asociaciones y empresas con logros destacados en acciones de forestación, conservación ambiental y otras relacionadas con la mejora del medio ambiente en León. </w:t>
      </w:r>
    </w:p>
    <w:p w14:paraId="6651934A" w14:textId="77777777" w:rsidR="00794EB9" w:rsidRPr="00794EB9" w:rsidRDefault="00794EB9" w:rsidP="00794EB9">
      <w:pPr>
        <w:jc w:val="both"/>
        <w:rPr>
          <w:rFonts w:ascii="Arial" w:hAnsi="Arial" w:cs="Arial"/>
          <w:b/>
          <w:sz w:val="22"/>
          <w:szCs w:val="22"/>
        </w:rPr>
      </w:pPr>
    </w:p>
    <w:p w14:paraId="628C620F"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2811B632"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E9AD408"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54C5170A"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VS. 1.2 León protector de mascotas y animales en riesgo</w:t>
            </w:r>
          </w:p>
        </w:tc>
      </w:tr>
      <w:tr w:rsidR="00794EB9" w:rsidRPr="00794EB9" w14:paraId="2B1A7EA1"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4A8774A7"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4993185D"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 xml:space="preserve">Generar un movimiento de conciencia ciudadana y acción efectiva para la protección de las mascotas y de animales en situación de riesgo, mediante campañas veterinarias y la mejora y puesta en operación de instalaciones para su rescate y bienestar. </w:t>
            </w:r>
          </w:p>
        </w:tc>
      </w:tr>
      <w:tr w:rsidR="00794EB9" w:rsidRPr="00794EB9" w14:paraId="5AB6E7DF"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278ADF9"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35EA3B9E" w14:textId="77777777" w:rsidR="00794EB9" w:rsidRPr="00794EB9" w:rsidRDefault="00794EB9" w:rsidP="00794EB9">
      <w:pPr>
        <w:pStyle w:val="PGAcciones"/>
        <w:rPr>
          <w:color w:val="auto"/>
          <w:sz w:val="22"/>
          <w:szCs w:val="22"/>
        </w:rPr>
      </w:pPr>
      <w:r w:rsidRPr="00794EB9">
        <w:rPr>
          <w:color w:val="auto"/>
          <w:sz w:val="22"/>
          <w:szCs w:val="22"/>
        </w:rPr>
        <w:t>VS. 1.2.1 Realizar esterilizaciones de perros y gatos en el Municipio de León para reducir la población de animales en estado de abandono en calle.</w:t>
      </w:r>
    </w:p>
    <w:p w14:paraId="75FDDB8F" w14:textId="77777777" w:rsidR="00794EB9" w:rsidRPr="00794EB9" w:rsidRDefault="00794EB9" w:rsidP="00794EB9">
      <w:pPr>
        <w:pStyle w:val="PGAcciones"/>
        <w:rPr>
          <w:color w:val="auto"/>
          <w:sz w:val="22"/>
          <w:szCs w:val="22"/>
        </w:rPr>
      </w:pPr>
      <w:r w:rsidRPr="00794EB9">
        <w:rPr>
          <w:color w:val="auto"/>
          <w:sz w:val="22"/>
          <w:szCs w:val="22"/>
        </w:rPr>
        <w:t>VS. 1.2.2 Ampliar los horarios y mejorar los servicios de atención del Centro de Control y Bienestar Animal.</w:t>
      </w:r>
    </w:p>
    <w:p w14:paraId="26DD01E0" w14:textId="77777777" w:rsidR="00794EB9" w:rsidRPr="00794EB9" w:rsidRDefault="00794EB9" w:rsidP="00794EB9">
      <w:pPr>
        <w:pStyle w:val="PGAcciones"/>
        <w:rPr>
          <w:color w:val="auto"/>
          <w:sz w:val="22"/>
          <w:szCs w:val="22"/>
        </w:rPr>
      </w:pPr>
      <w:r w:rsidRPr="00794EB9">
        <w:rPr>
          <w:color w:val="auto"/>
          <w:sz w:val="22"/>
          <w:szCs w:val="22"/>
        </w:rPr>
        <w:t>VS. 1.2.3 Crear el Centro de Rescate de Fauna Silvestre en colaboración con el Parque Zoológico de León.</w:t>
      </w:r>
    </w:p>
    <w:p w14:paraId="079DAAD9" w14:textId="77777777" w:rsidR="00794EB9" w:rsidRPr="00794EB9" w:rsidRDefault="00794EB9" w:rsidP="00794EB9">
      <w:pPr>
        <w:pStyle w:val="PGAcciones"/>
        <w:rPr>
          <w:color w:val="auto"/>
          <w:sz w:val="22"/>
          <w:szCs w:val="22"/>
        </w:rPr>
      </w:pPr>
      <w:r w:rsidRPr="00794EB9">
        <w:rPr>
          <w:color w:val="auto"/>
          <w:sz w:val="22"/>
          <w:szCs w:val="22"/>
        </w:rPr>
        <w:t>VS. 1.2.4 Construir y poner en operación el Hospital Público Veterinario.</w:t>
      </w:r>
    </w:p>
    <w:p w14:paraId="46AFEA59" w14:textId="77777777" w:rsidR="00794EB9" w:rsidRPr="00794EB9" w:rsidRDefault="00794EB9" w:rsidP="00794EB9">
      <w:pPr>
        <w:jc w:val="both"/>
        <w:rPr>
          <w:rFonts w:ascii="Arial" w:hAnsi="Arial" w:cs="Arial"/>
          <w:b/>
          <w:sz w:val="22"/>
          <w:szCs w:val="22"/>
        </w:rPr>
      </w:pPr>
    </w:p>
    <w:p w14:paraId="65BE35EA"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79424098"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D274D30"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77C91BF3"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VS. 1.3 Red de Parques Urbanos y Áreas Naturales </w:t>
            </w:r>
          </w:p>
        </w:tc>
      </w:tr>
      <w:tr w:rsidR="00794EB9" w:rsidRPr="00794EB9" w14:paraId="2BA2E9FE"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7DB50937"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252F88E1"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 xml:space="preserve">Desarrollar un sistema de Parques Urbanos, Espacios Públicos y Áreas de valor natural, que a partir de un modelo en red de infraestructura verde generen la interacción de la ciudadanía con la naturaleza, en ambientes de educación para la conservación ambiental, la sana recreación y la activación física; todo lo anterior organizado sistemáticamente en una red de colaboración entre los organismos, consejos y asociaciones relacionados con su operación para maximizar su experiencia y capacidad administrativa. </w:t>
            </w:r>
          </w:p>
        </w:tc>
      </w:tr>
      <w:tr w:rsidR="00794EB9" w:rsidRPr="00794EB9" w14:paraId="6B42BCD1"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3F78F57"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7A529150" w14:textId="77777777" w:rsidR="00794EB9" w:rsidRPr="00794EB9" w:rsidRDefault="00794EB9" w:rsidP="00794EB9">
      <w:pPr>
        <w:pStyle w:val="PGAcciones"/>
        <w:rPr>
          <w:color w:val="auto"/>
          <w:sz w:val="22"/>
          <w:szCs w:val="22"/>
        </w:rPr>
      </w:pPr>
      <w:r w:rsidRPr="00794EB9">
        <w:rPr>
          <w:color w:val="auto"/>
          <w:sz w:val="22"/>
          <w:szCs w:val="22"/>
        </w:rPr>
        <w:t>VS. 1.3.1 Desarrollar el prototipo del Parque Seguro y Educador estableciendo los lineamientos para el sistema de mantenimiento, operación y gestión social.</w:t>
      </w:r>
    </w:p>
    <w:p w14:paraId="4C9D9FC6" w14:textId="77777777" w:rsidR="00794EB9" w:rsidRPr="00794EB9" w:rsidRDefault="00794EB9" w:rsidP="00794EB9">
      <w:pPr>
        <w:pStyle w:val="PGAcciones"/>
        <w:rPr>
          <w:color w:val="auto"/>
          <w:sz w:val="22"/>
          <w:szCs w:val="22"/>
        </w:rPr>
      </w:pPr>
      <w:r w:rsidRPr="00794EB9">
        <w:rPr>
          <w:color w:val="auto"/>
          <w:sz w:val="22"/>
          <w:szCs w:val="22"/>
        </w:rPr>
        <w:t>VS. 1.3.2 Construir, dar mantenimiento y poner en operación el nuevo modelo de Parques Urbanos, Espacios Públicos y Áreas Naturales aplicando los criterios del Índice de Biodiversidad Urbana.</w:t>
      </w:r>
    </w:p>
    <w:p w14:paraId="5607568E" w14:textId="77777777" w:rsidR="00794EB9" w:rsidRPr="00794EB9" w:rsidRDefault="00794EB9" w:rsidP="00794EB9">
      <w:pPr>
        <w:pStyle w:val="PGAcciones"/>
        <w:rPr>
          <w:color w:val="auto"/>
          <w:sz w:val="22"/>
          <w:szCs w:val="22"/>
        </w:rPr>
      </w:pPr>
      <w:r w:rsidRPr="00794EB9">
        <w:rPr>
          <w:color w:val="auto"/>
          <w:sz w:val="22"/>
          <w:szCs w:val="22"/>
        </w:rPr>
        <w:t>VS. 1.3.3 Rehabilitar mini deportivas en zonas prioritarias de la ciudad con criterios de arborización urbana.</w:t>
      </w:r>
    </w:p>
    <w:p w14:paraId="72906771" w14:textId="77777777" w:rsidR="00794EB9" w:rsidRPr="00794EB9" w:rsidRDefault="00794EB9" w:rsidP="00794EB9">
      <w:pPr>
        <w:pStyle w:val="PGAcciones"/>
        <w:rPr>
          <w:color w:val="auto"/>
          <w:sz w:val="22"/>
          <w:szCs w:val="22"/>
        </w:rPr>
      </w:pPr>
      <w:r w:rsidRPr="00794EB9">
        <w:rPr>
          <w:color w:val="auto"/>
          <w:sz w:val="22"/>
          <w:szCs w:val="22"/>
        </w:rPr>
        <w:t>VS. 1.3.4 Construir, ampliar, rehabilitar, equipar y realizar acciones en espacios públicos para la convivencia que fortalezca el tejido social</w:t>
      </w:r>
    </w:p>
    <w:p w14:paraId="28DD3C6F" w14:textId="77777777" w:rsidR="00794EB9" w:rsidRPr="00794EB9" w:rsidRDefault="00794EB9" w:rsidP="00794EB9">
      <w:pPr>
        <w:pStyle w:val="PGAcciones"/>
        <w:rPr>
          <w:color w:val="auto"/>
          <w:sz w:val="22"/>
          <w:szCs w:val="22"/>
        </w:rPr>
      </w:pPr>
      <w:r w:rsidRPr="00794EB9">
        <w:rPr>
          <w:color w:val="auto"/>
          <w:sz w:val="22"/>
          <w:szCs w:val="22"/>
        </w:rPr>
        <w:lastRenderedPageBreak/>
        <w:t>VS. 1.3.5 Construir y habilitar el Parque "Bosque de la Olla", como modelo de parque seguro y educador.</w:t>
      </w:r>
    </w:p>
    <w:p w14:paraId="4A6434D5" w14:textId="77777777" w:rsidR="00794EB9" w:rsidRPr="00794EB9" w:rsidRDefault="00794EB9" w:rsidP="00794EB9">
      <w:pPr>
        <w:pStyle w:val="PGAcciones"/>
        <w:rPr>
          <w:color w:val="auto"/>
          <w:sz w:val="22"/>
          <w:szCs w:val="22"/>
        </w:rPr>
      </w:pPr>
      <w:r w:rsidRPr="00794EB9">
        <w:rPr>
          <w:color w:val="auto"/>
          <w:sz w:val="22"/>
          <w:szCs w:val="22"/>
        </w:rPr>
        <w:t>VS. 1.3.6 Realizar obras de rehabilitación en Unidades Deportivas prioritarias con criterios de arborización urbana.</w:t>
      </w:r>
    </w:p>
    <w:p w14:paraId="014BA64D" w14:textId="77777777" w:rsidR="00794EB9" w:rsidRPr="00794EB9" w:rsidRDefault="00794EB9" w:rsidP="00794EB9">
      <w:pPr>
        <w:pStyle w:val="PGAcciones"/>
        <w:rPr>
          <w:color w:val="auto"/>
          <w:sz w:val="22"/>
          <w:szCs w:val="22"/>
        </w:rPr>
      </w:pPr>
      <w:r w:rsidRPr="00794EB9">
        <w:rPr>
          <w:color w:val="auto"/>
          <w:sz w:val="22"/>
          <w:szCs w:val="22"/>
        </w:rPr>
        <w:t>VS. 1.3.7 Implementar el pase verde en espacios públicos para el acceso gratuito a la ciudadanía.</w:t>
      </w:r>
    </w:p>
    <w:p w14:paraId="4E37800F" w14:textId="77777777" w:rsidR="00794EB9" w:rsidRPr="00794EB9" w:rsidRDefault="00794EB9" w:rsidP="00794EB9">
      <w:pPr>
        <w:pStyle w:val="PGAcciones"/>
        <w:rPr>
          <w:color w:val="auto"/>
          <w:sz w:val="22"/>
          <w:szCs w:val="22"/>
        </w:rPr>
      </w:pPr>
      <w:r w:rsidRPr="00794EB9">
        <w:rPr>
          <w:color w:val="auto"/>
          <w:sz w:val="22"/>
          <w:szCs w:val="22"/>
        </w:rPr>
        <w:t>VS. 1.3.8 Impartir cursos de verano y celebración de festividades conmemorativas para Centros Comunitarios, Plazas de la Ciudadanía, y Espacios Públicos en las 7 delegaciones de la ciudad</w:t>
      </w:r>
    </w:p>
    <w:p w14:paraId="4238A01C" w14:textId="77777777" w:rsidR="00794EB9" w:rsidRPr="00794EB9" w:rsidRDefault="00794EB9" w:rsidP="00794EB9">
      <w:pPr>
        <w:jc w:val="both"/>
        <w:rPr>
          <w:rFonts w:ascii="Arial" w:hAnsi="Arial" w:cs="Arial"/>
          <w:b/>
          <w:sz w:val="22"/>
          <w:szCs w:val="22"/>
        </w:rPr>
      </w:pPr>
    </w:p>
    <w:p w14:paraId="11631D41"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083EB7B8"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265FA3E"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3D3DD5C5"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VS. 1.4 Nuevo Parque Metropolitano</w:t>
            </w:r>
          </w:p>
        </w:tc>
      </w:tr>
      <w:tr w:rsidR="00794EB9" w:rsidRPr="00794EB9" w14:paraId="7CDBE61B"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691AB674"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40D66B37"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Crear al menos un nuevo Parque Metropolitano cercano a zonas de bajos recursos, que ofrezca los servicios de recreación, educación ambiental, deporte y activación física, en un ambiente propicio para la convivencia y aproveche al máximo las capacidades de gestión existentes, así como el valor de los elementos naturales y de paisaje.</w:t>
            </w:r>
          </w:p>
        </w:tc>
      </w:tr>
      <w:tr w:rsidR="00794EB9" w:rsidRPr="00794EB9" w14:paraId="751A2436"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B17A4CE"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06EC205C" w14:textId="77777777" w:rsidR="00794EB9" w:rsidRPr="00794EB9" w:rsidRDefault="00794EB9" w:rsidP="00794EB9">
      <w:pPr>
        <w:pStyle w:val="PGAcciones"/>
        <w:rPr>
          <w:color w:val="auto"/>
          <w:sz w:val="22"/>
          <w:szCs w:val="22"/>
        </w:rPr>
      </w:pPr>
      <w:r w:rsidRPr="00794EB9">
        <w:rPr>
          <w:color w:val="auto"/>
          <w:sz w:val="22"/>
          <w:szCs w:val="22"/>
        </w:rPr>
        <w:t>VS. 1.4.1 Desarrollar los Planes Maestros de los Nuevos Parques Metropolitanos, que integren la definición del marco legal y administrativo.</w:t>
      </w:r>
    </w:p>
    <w:p w14:paraId="2BA21CE6" w14:textId="77777777" w:rsidR="00794EB9" w:rsidRPr="00794EB9" w:rsidRDefault="00794EB9" w:rsidP="00794EB9">
      <w:pPr>
        <w:pStyle w:val="PGAcciones"/>
        <w:rPr>
          <w:color w:val="auto"/>
          <w:sz w:val="22"/>
          <w:szCs w:val="22"/>
        </w:rPr>
      </w:pPr>
      <w:r w:rsidRPr="00794EB9">
        <w:rPr>
          <w:color w:val="auto"/>
          <w:sz w:val="22"/>
          <w:szCs w:val="22"/>
        </w:rPr>
        <w:t>VS. 1.4.2 Desarrollar el proyecto ejecutivo para la 1a Etapa del Parque Metropolitano Las Joyas.</w:t>
      </w:r>
    </w:p>
    <w:p w14:paraId="053B753B" w14:textId="77777777" w:rsidR="00794EB9" w:rsidRPr="00794EB9" w:rsidRDefault="00794EB9" w:rsidP="00794EB9">
      <w:pPr>
        <w:pStyle w:val="PGAcciones"/>
        <w:rPr>
          <w:color w:val="auto"/>
          <w:sz w:val="22"/>
          <w:szCs w:val="22"/>
        </w:rPr>
      </w:pPr>
      <w:r w:rsidRPr="00794EB9">
        <w:rPr>
          <w:color w:val="auto"/>
          <w:sz w:val="22"/>
          <w:szCs w:val="22"/>
        </w:rPr>
        <w:t>VS. 1.4.3 Iniciar las obras para la creación del Parque de la Vida y habilitar el proyecto de la Casa del Agua.</w:t>
      </w:r>
    </w:p>
    <w:p w14:paraId="550D0B75" w14:textId="77777777" w:rsidR="00794EB9" w:rsidRPr="00794EB9" w:rsidRDefault="00794EB9" w:rsidP="00794EB9">
      <w:pPr>
        <w:jc w:val="both"/>
        <w:rPr>
          <w:rFonts w:ascii="Arial" w:hAnsi="Arial" w:cs="Arial"/>
          <w:b/>
          <w:sz w:val="22"/>
          <w:szCs w:val="22"/>
        </w:rPr>
      </w:pPr>
    </w:p>
    <w:p w14:paraId="707D7C17"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71A39A93"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90E7079"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59FD9E02"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VS. 1.5 Agua para todos</w:t>
            </w:r>
          </w:p>
        </w:tc>
      </w:tr>
      <w:tr w:rsidR="00794EB9" w:rsidRPr="00794EB9" w14:paraId="6474B838"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2C6DF02A"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10A3515B"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Lograr que la población leonesa, así como las instituciones, empresas y diversas instalaciones, cuenten con un servicio de abastecimiento de agua, drenaje sanitario y pluvial de calidad, accesible y constante, tanto a nivel urbano como rural, y que promueva una educación para la cultura del cuidado del agua, en un escenario cada vez más restrictivo en el número de fuentes de abastecimiento de agua, en el marco de las condiciones que genera el cambio climático.</w:t>
            </w:r>
          </w:p>
        </w:tc>
      </w:tr>
      <w:tr w:rsidR="00794EB9" w:rsidRPr="00794EB9" w14:paraId="6E8CC2F3"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6CCC23F8"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291FC6CF" w14:textId="77777777" w:rsidR="00794EB9" w:rsidRPr="00794EB9" w:rsidRDefault="00794EB9" w:rsidP="00794EB9">
      <w:pPr>
        <w:pStyle w:val="PGAcciones"/>
        <w:rPr>
          <w:color w:val="auto"/>
          <w:sz w:val="22"/>
          <w:szCs w:val="22"/>
        </w:rPr>
      </w:pPr>
      <w:r w:rsidRPr="00794EB9">
        <w:rPr>
          <w:color w:val="auto"/>
          <w:sz w:val="22"/>
          <w:szCs w:val="22"/>
        </w:rPr>
        <w:t>VS. 1.5.1 Rehabilitar la red de agua potable en zonas prioritarias.</w:t>
      </w:r>
    </w:p>
    <w:p w14:paraId="431AC7A5" w14:textId="77777777" w:rsidR="00794EB9" w:rsidRPr="00794EB9" w:rsidRDefault="00794EB9" w:rsidP="00794EB9">
      <w:pPr>
        <w:pStyle w:val="PGAcciones"/>
        <w:rPr>
          <w:color w:val="auto"/>
          <w:sz w:val="22"/>
          <w:szCs w:val="22"/>
        </w:rPr>
      </w:pPr>
      <w:r w:rsidRPr="00794EB9">
        <w:rPr>
          <w:color w:val="auto"/>
          <w:sz w:val="22"/>
          <w:szCs w:val="22"/>
        </w:rPr>
        <w:t>VS. 1.5.2 Mejorar la calidad del agua en las comunidades rurales en condiciones críticas con la colaboración de los comités de agua locales y realizando acciones de mantenimiento preventivo y correctivo, así como equipamiento de pozos de agua para consumo humano en zona rural.</w:t>
      </w:r>
    </w:p>
    <w:p w14:paraId="7569D39D" w14:textId="77777777" w:rsidR="00794EB9" w:rsidRPr="00794EB9" w:rsidRDefault="00794EB9" w:rsidP="00794EB9">
      <w:pPr>
        <w:pStyle w:val="PGAcciones"/>
        <w:rPr>
          <w:color w:val="auto"/>
          <w:sz w:val="22"/>
          <w:szCs w:val="22"/>
        </w:rPr>
      </w:pPr>
      <w:r w:rsidRPr="00794EB9">
        <w:rPr>
          <w:color w:val="auto"/>
          <w:sz w:val="22"/>
          <w:szCs w:val="22"/>
        </w:rPr>
        <w:t>VS. 1.5.3 Ampliar la red de Línea Morada para dar servicio con agua de reúso a las zonas urbanas, industrial y agrícola.</w:t>
      </w:r>
    </w:p>
    <w:p w14:paraId="77E82398" w14:textId="77777777" w:rsidR="00794EB9" w:rsidRPr="00794EB9" w:rsidRDefault="00794EB9" w:rsidP="00794EB9">
      <w:pPr>
        <w:pStyle w:val="PGAcciones"/>
        <w:rPr>
          <w:color w:val="auto"/>
          <w:sz w:val="22"/>
          <w:szCs w:val="22"/>
        </w:rPr>
      </w:pPr>
      <w:r w:rsidRPr="00794EB9">
        <w:rPr>
          <w:color w:val="auto"/>
          <w:sz w:val="22"/>
          <w:szCs w:val="22"/>
        </w:rPr>
        <w:lastRenderedPageBreak/>
        <w:t>VS. 1.5.4 Dar atención al Drenaje Pluvial en zonas críticas.</w:t>
      </w:r>
    </w:p>
    <w:p w14:paraId="1FAA7E46" w14:textId="77777777" w:rsidR="00794EB9" w:rsidRPr="00794EB9" w:rsidRDefault="00794EB9" w:rsidP="00794EB9">
      <w:pPr>
        <w:pStyle w:val="PGAcciones"/>
        <w:rPr>
          <w:color w:val="auto"/>
          <w:sz w:val="22"/>
          <w:szCs w:val="22"/>
        </w:rPr>
      </w:pPr>
      <w:r w:rsidRPr="00794EB9">
        <w:rPr>
          <w:color w:val="auto"/>
          <w:sz w:val="22"/>
          <w:szCs w:val="22"/>
        </w:rPr>
        <w:t>VM. 1.5.5 Implementar un programa para la prevención de inundaciones.</w:t>
      </w:r>
    </w:p>
    <w:p w14:paraId="6ABB073D" w14:textId="77777777" w:rsidR="00794EB9" w:rsidRPr="00794EB9" w:rsidRDefault="00794EB9" w:rsidP="00794EB9">
      <w:pPr>
        <w:pStyle w:val="PGAcciones"/>
        <w:rPr>
          <w:color w:val="auto"/>
          <w:sz w:val="22"/>
          <w:szCs w:val="22"/>
        </w:rPr>
      </w:pPr>
      <w:r w:rsidRPr="00794EB9">
        <w:rPr>
          <w:color w:val="auto"/>
          <w:sz w:val="22"/>
          <w:szCs w:val="22"/>
        </w:rPr>
        <w:t>VS. 1.5.6 Generar acciones para incrementar la disponibilidad de agua para todos aprovechando las fuentes disponibles y otras alternativas.</w:t>
      </w:r>
    </w:p>
    <w:p w14:paraId="241197C3" w14:textId="77777777" w:rsidR="00794EB9" w:rsidRPr="00794EB9" w:rsidRDefault="00794EB9" w:rsidP="00794EB9">
      <w:pPr>
        <w:pStyle w:val="PGAcciones"/>
        <w:rPr>
          <w:color w:val="auto"/>
          <w:sz w:val="22"/>
          <w:szCs w:val="22"/>
        </w:rPr>
      </w:pPr>
      <w:r w:rsidRPr="00794EB9">
        <w:rPr>
          <w:color w:val="auto"/>
          <w:sz w:val="22"/>
          <w:szCs w:val="22"/>
        </w:rPr>
        <w:t>VS. 1.5.7 Otorgar subsidios para la adquisición de equipos para la eficiencia del riego agrícola</w:t>
      </w:r>
    </w:p>
    <w:p w14:paraId="51F7DD32" w14:textId="77777777" w:rsidR="00794EB9" w:rsidRPr="00794EB9" w:rsidRDefault="00794EB9" w:rsidP="00794EB9">
      <w:pPr>
        <w:pStyle w:val="PGAcciones"/>
        <w:rPr>
          <w:color w:val="auto"/>
          <w:sz w:val="22"/>
          <w:szCs w:val="22"/>
        </w:rPr>
      </w:pPr>
      <w:r w:rsidRPr="00794EB9">
        <w:rPr>
          <w:color w:val="auto"/>
          <w:sz w:val="22"/>
          <w:szCs w:val="22"/>
        </w:rPr>
        <w:t>VS 1.5.8 Implementar acciones y apoyos para la captación de agua de lluvia en comunidades rurales.</w:t>
      </w:r>
    </w:p>
    <w:p w14:paraId="2CED9A56" w14:textId="77777777" w:rsidR="00794EB9" w:rsidRPr="00794EB9" w:rsidRDefault="00794EB9" w:rsidP="00794EB9">
      <w:pPr>
        <w:pStyle w:val="PGAcciones"/>
        <w:rPr>
          <w:color w:val="auto"/>
          <w:sz w:val="22"/>
          <w:szCs w:val="22"/>
        </w:rPr>
      </w:pPr>
      <w:r w:rsidRPr="00794EB9">
        <w:rPr>
          <w:color w:val="auto"/>
          <w:sz w:val="22"/>
          <w:szCs w:val="22"/>
        </w:rPr>
        <w:t>VS. 1.5.9 Realizar obras de infraestructura hidráulica en zonas rurales.</w:t>
      </w:r>
    </w:p>
    <w:p w14:paraId="3246A08C" w14:textId="77777777" w:rsidR="00794EB9" w:rsidRPr="00794EB9" w:rsidRDefault="00794EB9" w:rsidP="00794EB9">
      <w:pPr>
        <w:pStyle w:val="PGAcciones"/>
        <w:rPr>
          <w:color w:val="auto"/>
          <w:sz w:val="22"/>
          <w:szCs w:val="22"/>
        </w:rPr>
      </w:pPr>
      <w:r w:rsidRPr="00794EB9">
        <w:rPr>
          <w:color w:val="auto"/>
          <w:sz w:val="22"/>
          <w:szCs w:val="22"/>
        </w:rPr>
        <w:t xml:space="preserve">VS. 1.5.10. Incorporar a comunidades rurales prioritarias y con disponibilidad social al Sistema Operativo de SAPAL para la dotación del Servicio de Agua Potable y Drenaje Sanitario. </w:t>
      </w:r>
    </w:p>
    <w:p w14:paraId="5A89E363" w14:textId="77777777" w:rsidR="00794EB9" w:rsidRPr="00794EB9" w:rsidRDefault="00794EB9" w:rsidP="00794EB9">
      <w:pPr>
        <w:pStyle w:val="PGAcciones"/>
        <w:rPr>
          <w:color w:val="auto"/>
          <w:sz w:val="22"/>
          <w:szCs w:val="22"/>
        </w:rPr>
      </w:pPr>
      <w:r w:rsidRPr="00794EB9">
        <w:rPr>
          <w:color w:val="auto"/>
          <w:sz w:val="22"/>
          <w:szCs w:val="22"/>
        </w:rPr>
        <w:t>VS. 1.5.11 Implementar un programa para fomentar la cultura del cuidado y reutilización del agua dirigida a la población de mayor consumo.</w:t>
      </w:r>
    </w:p>
    <w:p w14:paraId="76E54692" w14:textId="77777777" w:rsidR="00794EB9" w:rsidRPr="00794EB9" w:rsidRDefault="00794EB9" w:rsidP="00794EB9">
      <w:pPr>
        <w:jc w:val="both"/>
        <w:rPr>
          <w:rFonts w:ascii="Arial" w:hAnsi="Arial" w:cs="Arial"/>
          <w:b/>
          <w:sz w:val="22"/>
          <w:szCs w:val="22"/>
        </w:rPr>
      </w:pPr>
    </w:p>
    <w:p w14:paraId="54D147AC"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4BB76743"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BB77C67"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492C8356"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VS. 1.6 León siempre limpio</w:t>
            </w:r>
          </w:p>
        </w:tc>
      </w:tr>
      <w:tr w:rsidR="00794EB9" w:rsidRPr="00794EB9" w14:paraId="20117BEC"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56015A31"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0CEDF660"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Ofrecer el servicio accesible de recolección, traslado y disposición final de los residuos sólidos, generando  una creciente campaña de separación, reducción y reciclaje de la basura, contando con la colaboración de la ciudadanía bien informada.</w:t>
            </w:r>
          </w:p>
        </w:tc>
      </w:tr>
      <w:tr w:rsidR="00794EB9" w:rsidRPr="00794EB9" w14:paraId="795D207E"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59CBC54E"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04B475D7" w14:textId="77777777" w:rsidR="00794EB9" w:rsidRPr="00794EB9" w:rsidRDefault="00794EB9" w:rsidP="00794EB9">
      <w:pPr>
        <w:pStyle w:val="PGAcciones"/>
        <w:rPr>
          <w:color w:val="auto"/>
          <w:sz w:val="22"/>
          <w:szCs w:val="22"/>
        </w:rPr>
      </w:pPr>
      <w:r w:rsidRPr="00794EB9">
        <w:rPr>
          <w:color w:val="auto"/>
          <w:sz w:val="22"/>
          <w:szCs w:val="22"/>
        </w:rPr>
        <w:t>VS. 1.6.1 Promover la cultura ambiental para la separación de residuos sólidos urbanos a través de la campaña Basura que no es basura.</w:t>
      </w:r>
    </w:p>
    <w:p w14:paraId="1A197A85" w14:textId="77777777" w:rsidR="00794EB9" w:rsidRPr="00794EB9" w:rsidRDefault="00794EB9" w:rsidP="00794EB9">
      <w:pPr>
        <w:pStyle w:val="PGAcciones"/>
        <w:rPr>
          <w:color w:val="auto"/>
          <w:sz w:val="22"/>
          <w:szCs w:val="22"/>
        </w:rPr>
      </w:pPr>
      <w:r w:rsidRPr="00794EB9">
        <w:rPr>
          <w:color w:val="auto"/>
          <w:sz w:val="22"/>
          <w:szCs w:val="22"/>
        </w:rPr>
        <w:t xml:space="preserve">VS.1.6.2 Realizar acciones en materia de limpieza integral de la ciudad. </w:t>
      </w:r>
    </w:p>
    <w:p w14:paraId="5E7E09BF" w14:textId="77777777" w:rsidR="00794EB9" w:rsidRPr="00794EB9" w:rsidRDefault="00794EB9" w:rsidP="00794EB9">
      <w:pPr>
        <w:pStyle w:val="PGAcciones"/>
        <w:rPr>
          <w:color w:val="auto"/>
          <w:sz w:val="22"/>
          <w:szCs w:val="22"/>
        </w:rPr>
      </w:pPr>
      <w:r w:rsidRPr="00794EB9">
        <w:rPr>
          <w:color w:val="auto"/>
          <w:sz w:val="22"/>
          <w:szCs w:val="22"/>
        </w:rPr>
        <w:t>VS. 1.6.3 Diseñar y poner en marcha el proyecto de SIAP Al 100 que integre acciones especiales de recolección, separación, transporte, confinamiento y aprovechamiento de residuos valorizables.</w:t>
      </w:r>
    </w:p>
    <w:p w14:paraId="2448BE87" w14:textId="77777777" w:rsidR="00794EB9" w:rsidRPr="00794EB9" w:rsidRDefault="00794EB9" w:rsidP="00794EB9">
      <w:pPr>
        <w:jc w:val="both"/>
        <w:rPr>
          <w:rFonts w:ascii="Arial" w:hAnsi="Arial" w:cs="Arial"/>
          <w:sz w:val="22"/>
          <w:szCs w:val="22"/>
        </w:rPr>
      </w:pPr>
    </w:p>
    <w:p w14:paraId="15C2083A" w14:textId="77777777" w:rsidR="00794EB9" w:rsidRPr="00794EB9" w:rsidRDefault="00794EB9" w:rsidP="00794EB9">
      <w:pPr>
        <w:pStyle w:val="TtuloPG2"/>
        <w:ind w:left="0"/>
        <w:jc w:val="both"/>
        <w:rPr>
          <w:bCs/>
          <w:color w:val="auto"/>
          <w:sz w:val="22"/>
          <w:szCs w:val="22"/>
        </w:rPr>
      </w:pPr>
      <w:r w:rsidRPr="00794EB9">
        <w:rPr>
          <w:bCs/>
          <w:color w:val="auto"/>
          <w:sz w:val="22"/>
          <w:szCs w:val="22"/>
        </w:rPr>
        <w:t>Estrategia 4.  BIENESTAR PARA LA POBLACIÓN.</w:t>
      </w:r>
    </w:p>
    <w:p w14:paraId="4FC261FA" w14:textId="77777777" w:rsidR="00794EB9" w:rsidRPr="00794EB9" w:rsidRDefault="00794EB9" w:rsidP="00794EB9">
      <w:pPr>
        <w:pStyle w:val="TtuloPG2"/>
        <w:ind w:left="0"/>
        <w:jc w:val="both"/>
        <w:rPr>
          <w:bCs/>
          <w:color w:val="auto"/>
          <w:sz w:val="22"/>
          <w:szCs w:val="22"/>
        </w:rPr>
      </w:pPr>
    </w:p>
    <w:p w14:paraId="6F35838B"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Mejoramiento de las condiciones de vida, mediante la implementación de acciones en contra de la pobreza y el hambre, promoción de la salud y la asistencia médica, así como la dignificación de las viviendas de la población</w:t>
      </w:r>
      <w:r w:rsidRPr="00794EB9">
        <w:rPr>
          <w:color w:val="auto"/>
          <w:sz w:val="22"/>
          <w:szCs w:val="22"/>
        </w:rPr>
        <w:t xml:space="preserve"> </w:t>
      </w:r>
      <w:r w:rsidRPr="00794EB9">
        <w:rPr>
          <w:b w:val="0"/>
          <w:color w:val="auto"/>
          <w:sz w:val="22"/>
          <w:szCs w:val="22"/>
        </w:rPr>
        <w:t>en situación de vulnerabilidad.</w:t>
      </w:r>
    </w:p>
    <w:p w14:paraId="73044F86" w14:textId="77777777" w:rsidR="00794EB9" w:rsidRPr="00794EB9" w:rsidRDefault="00794EB9" w:rsidP="00794EB9">
      <w:pPr>
        <w:pStyle w:val="TtuloPG2"/>
        <w:ind w:left="0"/>
        <w:jc w:val="both"/>
        <w:rPr>
          <w:b w:val="0"/>
          <w:color w:val="auto"/>
          <w:sz w:val="22"/>
          <w:szCs w:val="22"/>
        </w:rPr>
      </w:pPr>
    </w:p>
    <w:p w14:paraId="076BB468"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Programas:</w:t>
      </w:r>
    </w:p>
    <w:p w14:paraId="49F49C79" w14:textId="77777777" w:rsidR="00794EB9" w:rsidRPr="00794EB9" w:rsidRDefault="00794EB9" w:rsidP="00794EB9">
      <w:pPr>
        <w:pStyle w:val="TtuloPG2"/>
        <w:ind w:left="0"/>
        <w:jc w:val="both"/>
        <w:rPr>
          <w:b w:val="0"/>
          <w:color w:val="auto"/>
          <w:sz w:val="22"/>
          <w:szCs w:val="22"/>
        </w:rPr>
      </w:pPr>
    </w:p>
    <w:p w14:paraId="4823AB9E"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VS.2. León sin hambre</w:t>
      </w:r>
    </w:p>
    <w:p w14:paraId="1B7BA830"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VS.3. León saludable</w:t>
      </w:r>
    </w:p>
    <w:p w14:paraId="71F00078"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VS.4. León para todos</w:t>
      </w:r>
    </w:p>
    <w:p w14:paraId="1F4EDCEE" w14:textId="77777777" w:rsidR="00794EB9" w:rsidRPr="00794EB9" w:rsidRDefault="00794EB9" w:rsidP="00794EB9">
      <w:pPr>
        <w:pStyle w:val="TtuloPG2"/>
        <w:ind w:left="0"/>
        <w:jc w:val="both"/>
        <w:rPr>
          <w:color w:val="auto"/>
          <w:sz w:val="22"/>
          <w:szCs w:val="22"/>
          <w:lang w:val="es-ES" w:eastAsia="es-MX"/>
        </w:rPr>
      </w:pPr>
    </w:p>
    <w:p w14:paraId="2F7E4824" w14:textId="77777777" w:rsidR="00794EB9" w:rsidRPr="00794EB9" w:rsidRDefault="00794EB9" w:rsidP="00794EB9">
      <w:pPr>
        <w:jc w:val="both"/>
        <w:rPr>
          <w:rFonts w:ascii="Arial" w:hAnsi="Arial" w:cs="Arial"/>
          <w:b/>
          <w:sz w:val="22"/>
          <w:szCs w:val="22"/>
          <w:lang w:eastAsia="es-MX"/>
        </w:rPr>
      </w:pPr>
    </w:p>
    <w:p w14:paraId="1AA250F7" w14:textId="77777777" w:rsidR="00794EB9" w:rsidRPr="00794EB9" w:rsidRDefault="00794EB9" w:rsidP="00794EB9">
      <w:pPr>
        <w:pStyle w:val="TtuloPG2"/>
        <w:ind w:left="0"/>
        <w:jc w:val="both"/>
        <w:rPr>
          <w:color w:val="auto"/>
          <w:sz w:val="22"/>
          <w:szCs w:val="22"/>
          <w:lang w:val="es-ES" w:eastAsia="es-MX"/>
        </w:rPr>
      </w:pPr>
      <w:r w:rsidRPr="00794EB9">
        <w:rPr>
          <w:color w:val="auto"/>
          <w:sz w:val="22"/>
          <w:szCs w:val="22"/>
          <w:lang w:val="es-ES" w:eastAsia="es-MX"/>
        </w:rPr>
        <w:t>PROGRAMA: VS2. LEÓN SIN HAMBRE</w:t>
      </w:r>
    </w:p>
    <w:p w14:paraId="6008DCEF" w14:textId="77777777" w:rsidR="00794EB9" w:rsidRPr="00794EB9" w:rsidRDefault="00794EB9" w:rsidP="00794EB9">
      <w:pPr>
        <w:ind w:hanging="2"/>
        <w:jc w:val="both"/>
        <w:rPr>
          <w:rFonts w:ascii="Arial" w:hAnsi="Arial" w:cs="Arial"/>
          <w:sz w:val="22"/>
          <w:szCs w:val="22"/>
        </w:rPr>
      </w:pPr>
    </w:p>
    <w:p w14:paraId="4F10A86C"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4D1A0AC7"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Enfocado a garantizar acceso gratuito a alimentos en establecimientos afiliados a quienes más lo necesitan.</w:t>
      </w:r>
    </w:p>
    <w:p w14:paraId="7B1C626F" w14:textId="77777777" w:rsidR="00794EB9" w:rsidRPr="00794EB9" w:rsidRDefault="00794EB9" w:rsidP="00794EB9">
      <w:pPr>
        <w:pStyle w:val="TtuloPG2"/>
        <w:ind w:left="0"/>
        <w:jc w:val="both"/>
        <w:rPr>
          <w:color w:val="auto"/>
          <w:sz w:val="22"/>
          <w:szCs w:val="22"/>
        </w:rPr>
      </w:pPr>
    </w:p>
    <w:p w14:paraId="0AF93CFB"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16A51804"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Poco más del 30% de la población leonesa vive con carencias básicas de alimentación, se busca disminuir la situación.</w:t>
      </w:r>
    </w:p>
    <w:p w14:paraId="56971915" w14:textId="77777777" w:rsidR="00794EB9" w:rsidRPr="00794EB9" w:rsidRDefault="00794EB9" w:rsidP="00794EB9">
      <w:pPr>
        <w:pStyle w:val="SubttuloPG"/>
        <w:ind w:left="0" w:hanging="2"/>
        <w:rPr>
          <w:rFonts w:ascii="Arial" w:hAnsi="Arial"/>
          <w:b w:val="0"/>
          <w:i/>
          <w:color w:val="auto"/>
          <w:sz w:val="22"/>
          <w:szCs w:val="22"/>
        </w:rPr>
      </w:pPr>
    </w:p>
    <w:p w14:paraId="7DAA2D57"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049A6655"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Disminuir la pobreza alimentaria en la población en situación de vulnerabilidad mediante apoyos alimenticios, alianzas institucionales y un proyecto integral de asistencia social.</w:t>
      </w:r>
    </w:p>
    <w:p w14:paraId="32548AF2" w14:textId="77777777" w:rsidR="00794EB9" w:rsidRPr="00794EB9" w:rsidRDefault="00794EB9" w:rsidP="00794EB9">
      <w:pPr>
        <w:pStyle w:val="TtuloPG2"/>
        <w:ind w:left="0"/>
        <w:jc w:val="both"/>
        <w:rPr>
          <w:b w:val="0"/>
          <w:color w:val="auto"/>
          <w:sz w:val="22"/>
          <w:szCs w:val="22"/>
        </w:rPr>
      </w:pPr>
    </w:p>
    <w:p w14:paraId="70632500"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268F6EF5"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Secretaría para el Fortalecimiento Social de León.</w:t>
      </w:r>
    </w:p>
    <w:p w14:paraId="67A06D84" w14:textId="77777777" w:rsidR="00794EB9" w:rsidRPr="00794EB9" w:rsidRDefault="00794EB9" w:rsidP="00794EB9">
      <w:pPr>
        <w:pStyle w:val="TtuloPG2"/>
        <w:ind w:left="0"/>
        <w:jc w:val="both"/>
        <w:rPr>
          <w:b w:val="0"/>
          <w:color w:val="auto"/>
          <w:sz w:val="22"/>
          <w:szCs w:val="22"/>
        </w:rPr>
      </w:pPr>
    </w:p>
    <w:p w14:paraId="109649DB"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709C156C"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2.1 Comedores comunitarios</w:t>
      </w:r>
    </w:p>
    <w:p w14:paraId="2EEEB949"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2.2 Alianzas por un León sin hambre</w:t>
      </w:r>
    </w:p>
    <w:p w14:paraId="1746F279"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2.3 Proyecto integral de asistencia social</w:t>
      </w:r>
    </w:p>
    <w:p w14:paraId="17D0D457" w14:textId="77777777" w:rsidR="00794EB9" w:rsidRPr="00794EB9" w:rsidRDefault="00794EB9" w:rsidP="00794EB9">
      <w:pPr>
        <w:keepLines/>
        <w:ind w:hanging="2"/>
        <w:jc w:val="both"/>
        <w:rPr>
          <w:rFonts w:ascii="Arial" w:hAnsi="Arial" w:cs="Arial"/>
          <w:sz w:val="22"/>
          <w:szCs w:val="22"/>
        </w:rPr>
      </w:pPr>
    </w:p>
    <w:p w14:paraId="416ED2EA" w14:textId="77777777" w:rsidR="00794EB9" w:rsidRPr="00794EB9" w:rsidRDefault="00794EB9" w:rsidP="00794EB9">
      <w:pPr>
        <w:keepLines/>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5570F945"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539E3585"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77781956"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VS. 2.1 Comedores comunitarios</w:t>
            </w:r>
          </w:p>
        </w:tc>
      </w:tr>
      <w:tr w:rsidR="00794EB9" w:rsidRPr="00794EB9" w14:paraId="62456BD6"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6A179DD0"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270E14EC"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 xml:space="preserve">Habilitar comedores comunitarios con horario extendido para aquellas personas trabajadoras que tengan pocos recursos al término de su jornada laboral o familias vean sus recursos limitados por falta de recurso económico. Para que sean beneficiados con cena y desayuno saludable. </w:t>
            </w:r>
          </w:p>
        </w:tc>
      </w:tr>
      <w:tr w:rsidR="00794EB9" w:rsidRPr="00794EB9" w14:paraId="66883D40"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C46E33C"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13A2B2E5" w14:textId="77777777" w:rsidR="00794EB9" w:rsidRPr="00794EB9" w:rsidRDefault="00794EB9" w:rsidP="00794EB9">
      <w:pPr>
        <w:pStyle w:val="PGAcciones"/>
        <w:rPr>
          <w:color w:val="auto"/>
          <w:sz w:val="22"/>
          <w:szCs w:val="22"/>
        </w:rPr>
      </w:pPr>
      <w:r w:rsidRPr="00794EB9">
        <w:rPr>
          <w:color w:val="auto"/>
          <w:sz w:val="22"/>
          <w:szCs w:val="22"/>
        </w:rPr>
        <w:t xml:space="preserve">VS. 2.1.1 Implementar espacios fijos y móviles para el fomento de la sana alimentación, así como el mantenimiento preventivo y correctivo a los diferentes comedores, para prestar un mejor servicio a la población.  </w:t>
      </w:r>
    </w:p>
    <w:p w14:paraId="63B5AB38" w14:textId="77777777" w:rsidR="00794EB9" w:rsidRPr="00794EB9" w:rsidRDefault="00794EB9" w:rsidP="00794EB9">
      <w:pPr>
        <w:jc w:val="both"/>
        <w:rPr>
          <w:rFonts w:ascii="Arial" w:hAnsi="Arial" w:cs="Arial"/>
          <w:b/>
          <w:sz w:val="22"/>
          <w:szCs w:val="22"/>
        </w:rPr>
      </w:pPr>
    </w:p>
    <w:p w14:paraId="4B766DBE"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612"/>
        <w:gridCol w:w="226"/>
      </w:tblGrid>
      <w:tr w:rsidR="00794EB9" w:rsidRPr="00794EB9" w14:paraId="22E80255" w14:textId="77777777" w:rsidTr="00C307FB">
        <w:trPr>
          <w:trHeight w:val="57"/>
        </w:trPr>
        <w:tc>
          <w:tcPr>
            <w:tcW w:w="5000" w:type="pct"/>
            <w:gridSpan w:val="2"/>
            <w:tcBorders>
              <w:top w:val="nil"/>
              <w:left w:val="nil"/>
              <w:bottom w:val="nil"/>
              <w:right w:val="nil"/>
            </w:tcBorders>
            <w:shd w:val="clear" w:color="auto" w:fill="F2F2F2" w:themeFill="background1" w:themeFillShade="F2"/>
            <w:tcMar>
              <w:top w:w="20" w:type="dxa"/>
              <w:left w:w="20" w:type="dxa"/>
              <w:bottom w:w="100" w:type="dxa"/>
              <w:right w:w="20" w:type="dxa"/>
            </w:tcMar>
          </w:tcPr>
          <w:p w14:paraId="195CE92B"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1C69D39D"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VS. 2.2 Alianzas por un León sin hambre</w:t>
            </w:r>
          </w:p>
        </w:tc>
      </w:tr>
      <w:tr w:rsidR="00794EB9" w:rsidRPr="00794EB9" w14:paraId="546D33F8" w14:textId="77777777" w:rsidTr="00C307FB">
        <w:trPr>
          <w:trHeight w:val="57"/>
        </w:trPr>
        <w:tc>
          <w:tcPr>
            <w:tcW w:w="5000" w:type="pct"/>
            <w:gridSpan w:val="2"/>
            <w:tcBorders>
              <w:top w:val="nil"/>
              <w:left w:val="nil"/>
              <w:bottom w:val="nil"/>
              <w:right w:val="nil"/>
            </w:tcBorders>
            <w:tcMar>
              <w:top w:w="20" w:type="dxa"/>
              <w:left w:w="20" w:type="dxa"/>
              <w:bottom w:w="100" w:type="dxa"/>
              <w:right w:w="20" w:type="dxa"/>
            </w:tcMar>
          </w:tcPr>
          <w:p w14:paraId="39AE379E"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6B987FD6"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Fortalecer la red de asociaciones dedicadas a la asistencia social a través de comedores y distribución de alimentos, y en vinculación directa con Bancos de Alimentos y empresas con responsabilidad social.</w:t>
            </w:r>
          </w:p>
        </w:tc>
      </w:tr>
      <w:tr w:rsidR="00794EB9" w:rsidRPr="00794EB9" w14:paraId="7ACF159E" w14:textId="77777777" w:rsidTr="00C307FB">
        <w:trPr>
          <w:trHeight w:val="57"/>
        </w:trPr>
        <w:tc>
          <w:tcPr>
            <w:tcW w:w="4872"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C6F9B6A"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c>
          <w:tcPr>
            <w:tcW w:w="128"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60AA280B" w14:textId="77777777" w:rsidR="00794EB9" w:rsidRPr="00794EB9" w:rsidRDefault="00794EB9" w:rsidP="00C307FB">
            <w:pPr>
              <w:keepLines/>
              <w:ind w:hanging="2"/>
              <w:jc w:val="both"/>
              <w:rPr>
                <w:rFonts w:ascii="Arial" w:hAnsi="Arial" w:cs="Arial"/>
                <w:sz w:val="22"/>
                <w:szCs w:val="22"/>
              </w:rPr>
            </w:pPr>
            <w:r w:rsidRPr="00794EB9">
              <w:rPr>
                <w:rFonts w:ascii="Arial" w:hAnsi="Arial" w:cs="Arial"/>
                <w:sz w:val="22"/>
                <w:szCs w:val="22"/>
              </w:rPr>
              <w:t xml:space="preserve"> </w:t>
            </w:r>
          </w:p>
        </w:tc>
      </w:tr>
    </w:tbl>
    <w:p w14:paraId="757D569D" w14:textId="77777777" w:rsidR="00794EB9" w:rsidRPr="00794EB9" w:rsidRDefault="00794EB9" w:rsidP="00794EB9">
      <w:pPr>
        <w:pStyle w:val="PGAcciones"/>
        <w:rPr>
          <w:color w:val="auto"/>
          <w:sz w:val="22"/>
          <w:szCs w:val="22"/>
        </w:rPr>
      </w:pPr>
      <w:r w:rsidRPr="00794EB9">
        <w:rPr>
          <w:color w:val="auto"/>
          <w:sz w:val="22"/>
          <w:szCs w:val="22"/>
        </w:rPr>
        <w:t>VS. 2.2.1 Fortalecer la red de asociaciones dedicadas a la asistencia social a través de comedores y distribución de alimentos.</w:t>
      </w:r>
    </w:p>
    <w:p w14:paraId="6470CDED"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409A7F34"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5698F7E7"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456B4DF5"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lastRenderedPageBreak/>
              <w:t>VS. 2.3 Proyecto integral de asistencia social</w:t>
            </w:r>
          </w:p>
        </w:tc>
      </w:tr>
      <w:tr w:rsidR="00794EB9" w:rsidRPr="00794EB9" w14:paraId="3D963007"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020EC782"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lastRenderedPageBreak/>
              <w:t>Propósito u objetivo del proyecto</w:t>
            </w:r>
          </w:p>
          <w:p w14:paraId="0C0882FF"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Proporcionar apoyos alimentarios y diagnóstico de situación de vida a personas de escasos recursos, con la finalidad de mejorar sus condiciones de vida en un ambiente de prevención y autocuidado.</w:t>
            </w:r>
          </w:p>
        </w:tc>
      </w:tr>
      <w:tr w:rsidR="00794EB9" w:rsidRPr="00794EB9" w14:paraId="0D31318C"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5BD60A3"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334683A7" w14:textId="77777777" w:rsidR="00794EB9" w:rsidRPr="00794EB9" w:rsidRDefault="00794EB9" w:rsidP="00794EB9">
      <w:pPr>
        <w:pStyle w:val="PGAcciones"/>
        <w:rPr>
          <w:color w:val="auto"/>
          <w:sz w:val="22"/>
          <w:szCs w:val="22"/>
        </w:rPr>
      </w:pPr>
      <w:r w:rsidRPr="00794EB9">
        <w:rPr>
          <w:color w:val="auto"/>
          <w:sz w:val="22"/>
          <w:szCs w:val="22"/>
        </w:rPr>
        <w:t>VS. 2.3.1 Otorgar apoyos alimentarios a las personas y realizar diagnósticos de la situación de vida de los involucrados para favorecer a los sectores que más lo necesitan.</w:t>
      </w:r>
    </w:p>
    <w:p w14:paraId="3335758F" w14:textId="77777777" w:rsidR="00794EB9" w:rsidRPr="00794EB9" w:rsidRDefault="00794EB9" w:rsidP="00794EB9">
      <w:pPr>
        <w:ind w:hanging="2"/>
        <w:jc w:val="both"/>
        <w:rPr>
          <w:rFonts w:ascii="Arial" w:hAnsi="Arial" w:cs="Arial"/>
          <w:sz w:val="22"/>
          <w:szCs w:val="22"/>
        </w:rPr>
      </w:pPr>
    </w:p>
    <w:p w14:paraId="24EBCB43" w14:textId="77777777" w:rsidR="00794EB9" w:rsidRPr="00794EB9" w:rsidRDefault="00794EB9" w:rsidP="00794EB9">
      <w:pPr>
        <w:ind w:hanging="2"/>
        <w:jc w:val="both"/>
        <w:rPr>
          <w:rFonts w:ascii="Arial" w:hAnsi="Arial" w:cs="Arial"/>
          <w:sz w:val="22"/>
          <w:szCs w:val="22"/>
        </w:rPr>
      </w:pPr>
    </w:p>
    <w:p w14:paraId="04E19ACA" w14:textId="77777777" w:rsidR="00794EB9" w:rsidRPr="00794EB9" w:rsidRDefault="00794EB9" w:rsidP="00794EB9">
      <w:pPr>
        <w:pStyle w:val="TtuloPG2"/>
        <w:ind w:left="0"/>
        <w:jc w:val="both"/>
        <w:rPr>
          <w:color w:val="auto"/>
          <w:sz w:val="22"/>
          <w:szCs w:val="22"/>
          <w:lang w:val="es-ES" w:eastAsia="es-MX"/>
        </w:rPr>
      </w:pPr>
      <w:r w:rsidRPr="00794EB9">
        <w:rPr>
          <w:color w:val="auto"/>
          <w:sz w:val="22"/>
          <w:szCs w:val="22"/>
          <w:lang w:val="es-ES" w:eastAsia="es-MX"/>
        </w:rPr>
        <w:t>PROGRAMA: VS3. LEÓN SALUDABLE</w:t>
      </w:r>
    </w:p>
    <w:p w14:paraId="5DFBFBDE" w14:textId="77777777" w:rsidR="00794EB9" w:rsidRPr="00794EB9" w:rsidRDefault="00794EB9" w:rsidP="00794EB9">
      <w:pPr>
        <w:ind w:hanging="2"/>
        <w:jc w:val="both"/>
        <w:rPr>
          <w:rFonts w:ascii="Arial" w:hAnsi="Arial" w:cs="Arial"/>
          <w:sz w:val="22"/>
          <w:szCs w:val="22"/>
        </w:rPr>
      </w:pPr>
    </w:p>
    <w:p w14:paraId="26FA4E3D"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6B9844C9"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Buscando el bienestar de la población del municipio, específicamente aquella que requiere mayor atención, el programa León Saludable busca acercar servicios médicos y generar programas de prevención.</w:t>
      </w:r>
    </w:p>
    <w:p w14:paraId="4B93CFED" w14:textId="77777777" w:rsidR="00794EB9" w:rsidRPr="00794EB9" w:rsidRDefault="00794EB9" w:rsidP="00794EB9">
      <w:pPr>
        <w:pStyle w:val="TtuloPG2"/>
        <w:ind w:left="0"/>
        <w:jc w:val="both"/>
        <w:rPr>
          <w:color w:val="auto"/>
          <w:sz w:val="22"/>
          <w:szCs w:val="22"/>
        </w:rPr>
      </w:pPr>
    </w:p>
    <w:p w14:paraId="009C8926"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10462650"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Acceso a consultas, servicios médicos, apoyos y salud para población</w:t>
      </w:r>
      <w:r w:rsidRPr="00794EB9">
        <w:rPr>
          <w:color w:val="auto"/>
          <w:sz w:val="22"/>
          <w:szCs w:val="22"/>
        </w:rPr>
        <w:t xml:space="preserve"> </w:t>
      </w:r>
      <w:r w:rsidRPr="00794EB9">
        <w:rPr>
          <w:b w:val="0"/>
          <w:color w:val="auto"/>
          <w:sz w:val="22"/>
          <w:szCs w:val="22"/>
        </w:rPr>
        <w:t>en situación de vulnerabilidad, considerando que la población adulta mayor de 60 años está creciendo, y que el sobrepeso, obesidad y diabetes, en conjunto representaron más del 30% de las muertes cada año, León requiere atención.</w:t>
      </w:r>
    </w:p>
    <w:p w14:paraId="6E3884AE" w14:textId="77777777" w:rsidR="00794EB9" w:rsidRPr="00794EB9" w:rsidRDefault="00794EB9" w:rsidP="00794EB9">
      <w:pPr>
        <w:pStyle w:val="SubttuloPG"/>
        <w:ind w:left="0" w:hanging="2"/>
        <w:rPr>
          <w:rFonts w:ascii="Arial" w:hAnsi="Arial"/>
          <w:b w:val="0"/>
          <w:i/>
          <w:color w:val="auto"/>
          <w:sz w:val="22"/>
          <w:szCs w:val="22"/>
        </w:rPr>
      </w:pPr>
    </w:p>
    <w:p w14:paraId="094706B5"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04D8F073"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Apoyar a población</w:t>
      </w:r>
      <w:r w:rsidRPr="00794EB9">
        <w:rPr>
          <w:color w:val="auto"/>
          <w:sz w:val="22"/>
          <w:szCs w:val="22"/>
        </w:rPr>
        <w:t xml:space="preserve"> </w:t>
      </w:r>
      <w:r w:rsidRPr="00794EB9">
        <w:rPr>
          <w:b w:val="0"/>
          <w:color w:val="auto"/>
          <w:sz w:val="22"/>
          <w:szCs w:val="22"/>
        </w:rPr>
        <w:t>en situación de vulnerabilidad, en especial adultos mayores, personas con discapacidad o con movilidad comprometida con unidades móviles de atención médica, así como acciones preventivas en materia de hábitos saludables y nutricionales, que sean complementados con cuadros básicos de medicamentos.</w:t>
      </w:r>
    </w:p>
    <w:p w14:paraId="118D2314" w14:textId="77777777" w:rsidR="00794EB9" w:rsidRPr="00794EB9" w:rsidRDefault="00794EB9" w:rsidP="00794EB9">
      <w:pPr>
        <w:pStyle w:val="TtuloPG2"/>
        <w:ind w:left="0"/>
        <w:jc w:val="both"/>
        <w:rPr>
          <w:b w:val="0"/>
          <w:color w:val="auto"/>
          <w:sz w:val="22"/>
          <w:szCs w:val="22"/>
        </w:rPr>
      </w:pPr>
    </w:p>
    <w:p w14:paraId="6E876BB0"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5C3B2C55"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Secretaría para el Fortalecimiento Social de León.</w:t>
      </w:r>
    </w:p>
    <w:p w14:paraId="65209A35" w14:textId="77777777" w:rsidR="00794EB9" w:rsidRPr="00794EB9" w:rsidRDefault="00794EB9" w:rsidP="00794EB9">
      <w:pPr>
        <w:pStyle w:val="TtuloPG2"/>
        <w:ind w:left="0"/>
        <w:jc w:val="both"/>
        <w:rPr>
          <w:b w:val="0"/>
          <w:color w:val="auto"/>
          <w:sz w:val="22"/>
          <w:szCs w:val="22"/>
        </w:rPr>
      </w:pPr>
    </w:p>
    <w:p w14:paraId="2EC8E196" w14:textId="77777777" w:rsidR="00794EB9" w:rsidRPr="00794EB9" w:rsidRDefault="00794EB9" w:rsidP="00794EB9">
      <w:pPr>
        <w:pStyle w:val="TtuloPG2"/>
        <w:ind w:left="0"/>
        <w:jc w:val="both"/>
        <w:rPr>
          <w:b w:val="0"/>
          <w:color w:val="auto"/>
          <w:sz w:val="22"/>
          <w:szCs w:val="22"/>
        </w:rPr>
      </w:pPr>
    </w:p>
    <w:p w14:paraId="6B82F468" w14:textId="77777777" w:rsidR="00794EB9" w:rsidRPr="00794EB9" w:rsidRDefault="00794EB9" w:rsidP="00794EB9">
      <w:pPr>
        <w:pStyle w:val="TtuloPG2"/>
        <w:ind w:left="0"/>
        <w:jc w:val="both"/>
        <w:rPr>
          <w:b w:val="0"/>
          <w:color w:val="auto"/>
          <w:sz w:val="22"/>
          <w:szCs w:val="22"/>
        </w:rPr>
      </w:pPr>
    </w:p>
    <w:p w14:paraId="19E72D79"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54C83FD1"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3.1 Médico en tu casa</w:t>
      </w:r>
    </w:p>
    <w:p w14:paraId="21450BFF"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3.2 Prevención de enfermedades, Adicciones y Educación Nutricional</w:t>
      </w:r>
    </w:p>
    <w:p w14:paraId="70E9EBA8"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3.3 Apoyos para la salud familiar</w:t>
      </w:r>
    </w:p>
    <w:p w14:paraId="59028ACF" w14:textId="77777777" w:rsidR="00794EB9" w:rsidRPr="00794EB9" w:rsidRDefault="00794EB9" w:rsidP="00794EB9">
      <w:pPr>
        <w:jc w:val="both"/>
        <w:rPr>
          <w:rFonts w:ascii="Arial" w:hAnsi="Arial" w:cs="Arial"/>
          <w:b/>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3792E4EC"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51940DED"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37E71810"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VS. 3.1 Médico en tu casa</w:t>
            </w:r>
          </w:p>
        </w:tc>
      </w:tr>
      <w:tr w:rsidR="00794EB9" w:rsidRPr="00794EB9" w14:paraId="77A5372B"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1964F3AD"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50E4E154"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Establecer un esquema de atención con un primer enfoque a adultos mayores, personas con discapacidad o personas con movilidad comprometida a través de unidades móviles.</w:t>
            </w:r>
          </w:p>
        </w:tc>
      </w:tr>
      <w:tr w:rsidR="00794EB9" w:rsidRPr="00794EB9" w14:paraId="44EE8813"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8425CCB"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0DE720D0" w14:textId="77777777" w:rsidR="00794EB9" w:rsidRPr="00794EB9" w:rsidRDefault="00794EB9" w:rsidP="00794EB9">
      <w:pPr>
        <w:pStyle w:val="PGAcciones"/>
        <w:rPr>
          <w:color w:val="auto"/>
          <w:sz w:val="22"/>
          <w:szCs w:val="22"/>
        </w:rPr>
      </w:pPr>
      <w:r w:rsidRPr="00794EB9">
        <w:rPr>
          <w:color w:val="auto"/>
          <w:sz w:val="22"/>
          <w:szCs w:val="22"/>
        </w:rPr>
        <w:lastRenderedPageBreak/>
        <w:t>VS. 3.1.1 Establecer un esquema de atención con un primer enfoque a adultos mayores personas con discapacidad o personas con movilidad comprometida a través de unidades móviles.</w:t>
      </w:r>
    </w:p>
    <w:p w14:paraId="76E29238" w14:textId="77777777" w:rsidR="00794EB9" w:rsidRPr="00794EB9" w:rsidRDefault="00794EB9" w:rsidP="00794EB9">
      <w:pPr>
        <w:jc w:val="both"/>
        <w:rPr>
          <w:rFonts w:ascii="Arial" w:hAnsi="Arial" w:cs="Arial"/>
          <w:sz w:val="22"/>
          <w:szCs w:val="22"/>
        </w:rPr>
      </w:pPr>
    </w:p>
    <w:p w14:paraId="6D105332"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2153"/>
        <w:gridCol w:w="6825"/>
      </w:tblGrid>
      <w:tr w:rsidR="00794EB9" w:rsidRPr="00794EB9" w14:paraId="24021DFB" w14:textId="77777777" w:rsidTr="00C307FB">
        <w:trPr>
          <w:trHeight w:val="57"/>
        </w:trPr>
        <w:tc>
          <w:tcPr>
            <w:tcW w:w="5000" w:type="pct"/>
            <w:gridSpan w:val="2"/>
            <w:tcBorders>
              <w:top w:val="nil"/>
              <w:left w:val="nil"/>
              <w:bottom w:val="nil"/>
              <w:right w:val="nil"/>
            </w:tcBorders>
            <w:shd w:val="clear" w:color="auto" w:fill="F2F2F2" w:themeFill="background1" w:themeFillShade="F2"/>
            <w:tcMar>
              <w:top w:w="20" w:type="dxa"/>
              <w:left w:w="20" w:type="dxa"/>
              <w:bottom w:w="100" w:type="dxa"/>
              <w:right w:w="20" w:type="dxa"/>
            </w:tcMar>
          </w:tcPr>
          <w:p w14:paraId="265491E3"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156D7A86"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VS. 3.2 Prevención de enfermedades, Adicciones y Educación Nutricional</w:t>
            </w:r>
          </w:p>
        </w:tc>
      </w:tr>
      <w:tr w:rsidR="00794EB9" w:rsidRPr="00794EB9" w14:paraId="45D2F8B9" w14:textId="77777777" w:rsidTr="00C307FB">
        <w:trPr>
          <w:trHeight w:val="57"/>
        </w:trPr>
        <w:tc>
          <w:tcPr>
            <w:tcW w:w="5000" w:type="pct"/>
            <w:gridSpan w:val="2"/>
            <w:tcBorders>
              <w:top w:val="nil"/>
              <w:left w:val="nil"/>
              <w:bottom w:val="nil"/>
              <w:right w:val="nil"/>
            </w:tcBorders>
            <w:tcMar>
              <w:top w:w="20" w:type="dxa"/>
              <w:left w:w="20" w:type="dxa"/>
              <w:bottom w:w="100" w:type="dxa"/>
              <w:right w:w="20" w:type="dxa"/>
            </w:tcMar>
          </w:tcPr>
          <w:p w14:paraId="0044DB9D"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6CA9B6B4"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Llevar a cabo campañas y talleres de prevención y formación de hábitos saludables y nutricionales, como formas directas e indirectas de atender el consumo de drogas y la prevalencia de distintas enfermedades.</w:t>
            </w:r>
          </w:p>
        </w:tc>
      </w:tr>
      <w:tr w:rsidR="00794EB9" w:rsidRPr="00794EB9" w14:paraId="044832EE" w14:textId="77777777" w:rsidTr="00C307FB">
        <w:trPr>
          <w:trHeight w:val="57"/>
        </w:trPr>
        <w:tc>
          <w:tcPr>
            <w:tcW w:w="1199"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99CB7A2"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c>
          <w:tcPr>
            <w:tcW w:w="3801"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C3DA74F" w14:textId="77777777" w:rsidR="00794EB9" w:rsidRPr="00794EB9" w:rsidRDefault="00794EB9" w:rsidP="00C307FB">
            <w:pPr>
              <w:keepLines/>
              <w:ind w:hanging="2"/>
              <w:jc w:val="both"/>
              <w:rPr>
                <w:rFonts w:ascii="Arial" w:hAnsi="Arial" w:cs="Arial"/>
                <w:sz w:val="22"/>
                <w:szCs w:val="22"/>
              </w:rPr>
            </w:pPr>
            <w:r w:rsidRPr="00794EB9">
              <w:rPr>
                <w:rFonts w:ascii="Arial" w:hAnsi="Arial" w:cs="Arial"/>
                <w:sz w:val="22"/>
                <w:szCs w:val="22"/>
              </w:rPr>
              <w:t xml:space="preserve"> </w:t>
            </w:r>
          </w:p>
        </w:tc>
      </w:tr>
    </w:tbl>
    <w:p w14:paraId="60D694E6" w14:textId="77777777" w:rsidR="00794EB9" w:rsidRPr="00794EB9" w:rsidRDefault="00794EB9" w:rsidP="00794EB9">
      <w:pPr>
        <w:pStyle w:val="PGAcciones"/>
        <w:rPr>
          <w:color w:val="auto"/>
          <w:sz w:val="22"/>
          <w:szCs w:val="22"/>
        </w:rPr>
      </w:pPr>
      <w:r w:rsidRPr="00794EB9">
        <w:rPr>
          <w:color w:val="auto"/>
          <w:sz w:val="22"/>
          <w:szCs w:val="22"/>
        </w:rPr>
        <w:t>VS. 3.2.1 Implementar campañas para la prevención de enfermedades mediante un esquema de tamizajes preventivos, así como intervención correctiva inicial.</w:t>
      </w:r>
    </w:p>
    <w:p w14:paraId="231B1D7D" w14:textId="77777777" w:rsidR="00794EB9" w:rsidRPr="00794EB9" w:rsidRDefault="00794EB9" w:rsidP="00794EB9">
      <w:pPr>
        <w:pStyle w:val="PGAcciones"/>
        <w:rPr>
          <w:color w:val="auto"/>
          <w:sz w:val="22"/>
          <w:szCs w:val="22"/>
        </w:rPr>
      </w:pPr>
      <w:r w:rsidRPr="00794EB9">
        <w:rPr>
          <w:color w:val="auto"/>
          <w:sz w:val="22"/>
          <w:szCs w:val="22"/>
        </w:rPr>
        <w:t>VS. 3.2.2 Coadyuvar con los centros de rehabilitación existentes para ampliar la cobertura de los programas de atención.</w:t>
      </w:r>
    </w:p>
    <w:p w14:paraId="62470765" w14:textId="77777777" w:rsidR="00794EB9" w:rsidRPr="00794EB9" w:rsidRDefault="00794EB9" w:rsidP="00794EB9">
      <w:pPr>
        <w:pStyle w:val="PGAcciones"/>
        <w:rPr>
          <w:color w:val="auto"/>
          <w:sz w:val="22"/>
          <w:szCs w:val="22"/>
        </w:rPr>
      </w:pPr>
      <w:r w:rsidRPr="00794EB9">
        <w:rPr>
          <w:color w:val="auto"/>
          <w:sz w:val="22"/>
          <w:szCs w:val="22"/>
        </w:rPr>
        <w:t>VS. 3.2.3 Implementar un programa basado en el modelo islandés "Planet Youth" para la prevención de adicciones en todo el municipio de León.</w:t>
      </w:r>
    </w:p>
    <w:p w14:paraId="59F3965D" w14:textId="77777777" w:rsidR="00794EB9" w:rsidRPr="00794EB9" w:rsidRDefault="00794EB9" w:rsidP="00794EB9">
      <w:pPr>
        <w:pStyle w:val="PGAcciones"/>
        <w:rPr>
          <w:color w:val="auto"/>
          <w:sz w:val="22"/>
          <w:szCs w:val="22"/>
        </w:rPr>
      </w:pPr>
      <w:r w:rsidRPr="00794EB9">
        <w:rPr>
          <w:color w:val="auto"/>
          <w:sz w:val="22"/>
          <w:szCs w:val="22"/>
        </w:rPr>
        <w:t>VS. 3.2.4 Implementar el Programa "Parque Kinder Joy of Moving" con base en el modelo de prevención de adicciones enfocada a la activación física.</w:t>
      </w:r>
    </w:p>
    <w:p w14:paraId="70DC6478" w14:textId="77777777" w:rsidR="00794EB9" w:rsidRPr="00794EB9" w:rsidRDefault="00794EB9" w:rsidP="00794EB9">
      <w:pPr>
        <w:pStyle w:val="PGAcciones"/>
        <w:rPr>
          <w:color w:val="auto"/>
          <w:sz w:val="22"/>
          <w:szCs w:val="22"/>
        </w:rPr>
      </w:pPr>
      <w:r w:rsidRPr="00794EB9">
        <w:rPr>
          <w:color w:val="auto"/>
          <w:sz w:val="22"/>
          <w:szCs w:val="22"/>
        </w:rPr>
        <w:t>VS. 3.2.5 Impartir talleres entre los jóvenes para fomentar hábitos saludables.</w:t>
      </w:r>
    </w:p>
    <w:p w14:paraId="52074501" w14:textId="77777777" w:rsidR="00794EB9" w:rsidRPr="00794EB9" w:rsidRDefault="00794EB9" w:rsidP="00794EB9">
      <w:pPr>
        <w:jc w:val="both"/>
        <w:rPr>
          <w:rFonts w:ascii="Arial" w:hAnsi="Arial" w:cs="Arial"/>
          <w:sz w:val="22"/>
          <w:szCs w:val="22"/>
        </w:rPr>
      </w:pPr>
    </w:p>
    <w:p w14:paraId="7BEF297A"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51C0730D"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1171FAA"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0F26776E"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VS. 3.3 Apoyos para la salud familiar</w:t>
            </w:r>
          </w:p>
        </w:tc>
      </w:tr>
      <w:tr w:rsidR="00794EB9" w:rsidRPr="00794EB9" w14:paraId="37AED71B"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5F0AAD7C"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37AE603D"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 xml:space="preserve">Consolidar una plataforma o sistema de asistencia médica a distancia y cuadro básico de medicamentos para grupos en situación de vulnerabilidad en todas las delegaciones de León. </w:t>
            </w:r>
          </w:p>
        </w:tc>
      </w:tr>
      <w:tr w:rsidR="00794EB9" w:rsidRPr="00794EB9" w14:paraId="28B8CCEF"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97F0392"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549ABEF2" w14:textId="77777777" w:rsidR="00794EB9" w:rsidRPr="00794EB9" w:rsidRDefault="00794EB9" w:rsidP="00794EB9">
      <w:pPr>
        <w:pStyle w:val="PGAcciones"/>
        <w:rPr>
          <w:color w:val="auto"/>
          <w:sz w:val="22"/>
          <w:szCs w:val="22"/>
        </w:rPr>
      </w:pPr>
      <w:r w:rsidRPr="00794EB9">
        <w:rPr>
          <w:color w:val="auto"/>
          <w:sz w:val="22"/>
          <w:szCs w:val="22"/>
        </w:rPr>
        <w:t xml:space="preserve">VS. 3.3.1 Implementar una plataforma de asistencia médica y dotación de cuadro básico de medicamentos </w:t>
      </w:r>
    </w:p>
    <w:p w14:paraId="4F9C26C0" w14:textId="77777777" w:rsidR="00794EB9" w:rsidRPr="00794EB9" w:rsidRDefault="00794EB9" w:rsidP="00794EB9">
      <w:pPr>
        <w:ind w:hanging="2"/>
        <w:jc w:val="both"/>
        <w:rPr>
          <w:rFonts w:ascii="Arial" w:hAnsi="Arial" w:cs="Arial"/>
          <w:sz w:val="22"/>
          <w:szCs w:val="22"/>
        </w:rPr>
      </w:pPr>
    </w:p>
    <w:p w14:paraId="34876F9D" w14:textId="77777777" w:rsidR="00794EB9" w:rsidRPr="00794EB9" w:rsidRDefault="00794EB9" w:rsidP="00794EB9">
      <w:pPr>
        <w:ind w:hanging="2"/>
        <w:jc w:val="both"/>
        <w:rPr>
          <w:rFonts w:ascii="Arial" w:hAnsi="Arial" w:cs="Arial"/>
          <w:sz w:val="22"/>
          <w:szCs w:val="22"/>
        </w:rPr>
      </w:pPr>
    </w:p>
    <w:p w14:paraId="4AD1A809" w14:textId="77777777" w:rsidR="00794EB9" w:rsidRPr="00794EB9" w:rsidRDefault="00794EB9" w:rsidP="00794EB9">
      <w:pPr>
        <w:ind w:hanging="2"/>
        <w:jc w:val="both"/>
        <w:rPr>
          <w:rFonts w:ascii="Arial" w:hAnsi="Arial" w:cs="Arial"/>
          <w:sz w:val="22"/>
          <w:szCs w:val="22"/>
        </w:rPr>
      </w:pPr>
    </w:p>
    <w:p w14:paraId="68283E7A" w14:textId="77777777" w:rsidR="00794EB9" w:rsidRPr="00794EB9" w:rsidRDefault="00794EB9" w:rsidP="00794EB9">
      <w:pPr>
        <w:pStyle w:val="TtuloPG2"/>
        <w:ind w:left="0"/>
        <w:jc w:val="both"/>
        <w:rPr>
          <w:color w:val="auto"/>
          <w:sz w:val="22"/>
          <w:szCs w:val="22"/>
          <w:lang w:val="es-ES" w:eastAsia="es-MX"/>
        </w:rPr>
      </w:pPr>
      <w:r w:rsidRPr="00794EB9">
        <w:rPr>
          <w:color w:val="auto"/>
          <w:sz w:val="22"/>
          <w:szCs w:val="22"/>
          <w:lang w:val="es-ES" w:eastAsia="es-MX"/>
        </w:rPr>
        <w:t>PROGRAMA: VS4. LEÓN PARA TODOS</w:t>
      </w:r>
    </w:p>
    <w:p w14:paraId="6AF1CD06" w14:textId="77777777" w:rsidR="00794EB9" w:rsidRPr="00794EB9" w:rsidRDefault="00794EB9" w:rsidP="00794EB9">
      <w:pPr>
        <w:ind w:hanging="2"/>
        <w:jc w:val="both"/>
        <w:rPr>
          <w:rFonts w:ascii="Arial" w:hAnsi="Arial" w:cs="Arial"/>
          <w:sz w:val="22"/>
          <w:szCs w:val="22"/>
        </w:rPr>
      </w:pPr>
    </w:p>
    <w:p w14:paraId="59533EF0"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69A25C6B"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León para Todos brindará protección a grupos en situación de vulnerabilidad.</w:t>
      </w:r>
    </w:p>
    <w:p w14:paraId="14C06FE8" w14:textId="77777777" w:rsidR="00794EB9" w:rsidRPr="00794EB9" w:rsidRDefault="00794EB9" w:rsidP="00794EB9">
      <w:pPr>
        <w:pStyle w:val="TtuloPG2"/>
        <w:ind w:left="0"/>
        <w:jc w:val="both"/>
        <w:rPr>
          <w:color w:val="auto"/>
          <w:sz w:val="22"/>
          <w:szCs w:val="22"/>
        </w:rPr>
      </w:pPr>
    </w:p>
    <w:p w14:paraId="3591D480"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3691F556"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El programa debe asegurar una mejor calidad de vida para grupos en situación de vulnerabilidad.</w:t>
      </w:r>
    </w:p>
    <w:p w14:paraId="187DBEFC" w14:textId="77777777" w:rsidR="00794EB9" w:rsidRPr="00794EB9" w:rsidRDefault="00794EB9" w:rsidP="00794EB9">
      <w:pPr>
        <w:pStyle w:val="TtuloPG2"/>
        <w:ind w:left="0"/>
        <w:jc w:val="both"/>
        <w:rPr>
          <w:b w:val="0"/>
          <w:color w:val="auto"/>
          <w:sz w:val="22"/>
          <w:szCs w:val="22"/>
        </w:rPr>
      </w:pPr>
    </w:p>
    <w:p w14:paraId="2B147BC0"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lastRenderedPageBreak/>
        <w:t>Objetivo del programa</w:t>
      </w:r>
    </w:p>
    <w:p w14:paraId="4BDC430D"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Brindar protección a mujeres en situación de riesgo, así como a jóvenes y otros grupos en situación de vulnerabilidad mediante acciones integrales para el desarrollo humano y la inclusión social.</w:t>
      </w:r>
    </w:p>
    <w:p w14:paraId="5C051C71" w14:textId="77777777" w:rsidR="00794EB9" w:rsidRPr="00794EB9" w:rsidRDefault="00794EB9" w:rsidP="00794EB9">
      <w:pPr>
        <w:pStyle w:val="TtuloPG2"/>
        <w:ind w:left="0"/>
        <w:jc w:val="both"/>
        <w:rPr>
          <w:b w:val="0"/>
          <w:color w:val="auto"/>
          <w:sz w:val="22"/>
          <w:szCs w:val="22"/>
        </w:rPr>
      </w:pPr>
    </w:p>
    <w:p w14:paraId="4B210945"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4D6D7D53"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Secretaría para el Fortalecimiento Social de León.</w:t>
      </w:r>
    </w:p>
    <w:p w14:paraId="7C6DAA25" w14:textId="77777777" w:rsidR="00794EB9" w:rsidRPr="00794EB9" w:rsidRDefault="00794EB9" w:rsidP="00794EB9">
      <w:pPr>
        <w:pStyle w:val="TtuloPG2"/>
        <w:ind w:left="0"/>
        <w:jc w:val="both"/>
        <w:rPr>
          <w:b w:val="0"/>
          <w:color w:val="auto"/>
          <w:sz w:val="22"/>
          <w:szCs w:val="22"/>
        </w:rPr>
      </w:pPr>
    </w:p>
    <w:p w14:paraId="16255B35"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3228CD35"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4.1 Red de espacios seguros para mujeres en situación de riesgo</w:t>
      </w:r>
    </w:p>
    <w:p w14:paraId="625532A2"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4.2 Modelo de casas de transición para mujeres víctimas de la violencia</w:t>
      </w:r>
    </w:p>
    <w:p w14:paraId="79845C85"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4.3 Proyecto integral para el Desarrollo Humano y la Inclusión Social</w:t>
      </w:r>
    </w:p>
    <w:p w14:paraId="65DE5B31" w14:textId="77777777" w:rsidR="00794EB9" w:rsidRPr="00794EB9" w:rsidRDefault="00794EB9" w:rsidP="00794EB9">
      <w:pPr>
        <w:keepLines/>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7F8ABA05"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E5D50D4"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7CF28950"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VS. 4.1 Red de espacios seguros para mujeres en situación de riesgo</w:t>
            </w:r>
          </w:p>
        </w:tc>
      </w:tr>
      <w:tr w:rsidR="00794EB9" w:rsidRPr="00794EB9" w14:paraId="0D32FA64"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080F4AAE"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4DB0A83D"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 xml:space="preserve">Poner en operación una Unidad Móvil de atención en las delegaciones, bajo el esquema de mujer a salvo, a víctimas de algún tipo de violencia, en vinculación con la sociedad civil para su canalización a una Red de Espacios Seguros. </w:t>
            </w:r>
          </w:p>
        </w:tc>
      </w:tr>
      <w:tr w:rsidR="00794EB9" w:rsidRPr="00794EB9" w14:paraId="13B025D3"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7BC73B7"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67A7CA52" w14:textId="77777777" w:rsidR="00794EB9" w:rsidRPr="00794EB9" w:rsidRDefault="00794EB9" w:rsidP="00794EB9">
      <w:pPr>
        <w:pStyle w:val="PGAcciones"/>
        <w:rPr>
          <w:color w:val="auto"/>
          <w:sz w:val="22"/>
          <w:szCs w:val="22"/>
        </w:rPr>
      </w:pPr>
      <w:r w:rsidRPr="00794EB9">
        <w:rPr>
          <w:color w:val="auto"/>
          <w:sz w:val="22"/>
          <w:szCs w:val="22"/>
        </w:rPr>
        <w:t>VS. 4.1.1 Instalar una unidad fija de atención en la Presidencia Municipal y una unidad móvil de atención en las delegaciones, como parte del proyecto de Mujer a Salvo.</w:t>
      </w:r>
    </w:p>
    <w:p w14:paraId="2B098E3F" w14:textId="77777777" w:rsidR="00794EB9" w:rsidRPr="00794EB9" w:rsidRDefault="00794EB9" w:rsidP="00794EB9">
      <w:pPr>
        <w:pStyle w:val="PGAcciones"/>
        <w:rPr>
          <w:color w:val="auto"/>
          <w:sz w:val="22"/>
          <w:szCs w:val="22"/>
        </w:rPr>
      </w:pPr>
      <w:r w:rsidRPr="00794EB9">
        <w:rPr>
          <w:color w:val="auto"/>
          <w:sz w:val="22"/>
          <w:szCs w:val="22"/>
        </w:rPr>
        <w:t>VS. 4.1.2 Promover la vinculación con sociedad civil organizada para la creación de una red de espacios seguros para mujeres en situación de violencia.</w:t>
      </w:r>
    </w:p>
    <w:p w14:paraId="28A2D44A"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2EBEED93"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09B6E6B7" w14:textId="77777777" w:rsidR="00794EB9" w:rsidRPr="00794EB9" w:rsidRDefault="00794EB9" w:rsidP="00C307FB">
            <w:pPr>
              <w:pStyle w:val="TtuloPG2"/>
              <w:shd w:val="clear" w:color="auto" w:fill="F2F2F2" w:themeFill="background1" w:themeFillShade="F2"/>
              <w:ind w:left="0"/>
              <w:jc w:val="both"/>
              <w:rPr>
                <w:color w:val="auto"/>
                <w:sz w:val="22"/>
                <w:szCs w:val="22"/>
                <w:lang w:val="es-ES" w:eastAsia="es-MX"/>
              </w:rPr>
            </w:pPr>
            <w:r w:rsidRPr="00794EB9">
              <w:rPr>
                <w:color w:val="auto"/>
                <w:sz w:val="22"/>
                <w:szCs w:val="22"/>
                <w:lang w:val="es-ES" w:eastAsia="es-MX"/>
              </w:rPr>
              <w:t xml:space="preserve">Proyecto: </w:t>
            </w:r>
          </w:p>
          <w:p w14:paraId="48BDA710"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VS. 4.2 Modelo de casas de transición para mujeres víctimas de la violencia</w:t>
            </w:r>
          </w:p>
        </w:tc>
      </w:tr>
      <w:tr w:rsidR="00794EB9" w:rsidRPr="00794EB9" w14:paraId="237F80C6"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6DACF54B"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1F4B36BC"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Adecuar espacios para la instalación de casas de transición como parte de la operación del modelo de atención integral a víctimas.</w:t>
            </w:r>
          </w:p>
        </w:tc>
      </w:tr>
      <w:tr w:rsidR="00794EB9" w:rsidRPr="00794EB9" w14:paraId="448406F6"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6D7BE16D"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180BE8A8" w14:textId="77777777" w:rsidR="00794EB9" w:rsidRPr="00794EB9" w:rsidRDefault="00794EB9" w:rsidP="00794EB9">
      <w:pPr>
        <w:pStyle w:val="PGAcciones"/>
        <w:rPr>
          <w:color w:val="auto"/>
          <w:sz w:val="22"/>
          <w:szCs w:val="22"/>
        </w:rPr>
      </w:pPr>
      <w:r w:rsidRPr="00794EB9">
        <w:rPr>
          <w:color w:val="auto"/>
          <w:sz w:val="22"/>
          <w:szCs w:val="22"/>
        </w:rPr>
        <w:t>VS. 4.2.1 Adecuar espacios para la instalación de casas de transición.</w:t>
      </w:r>
    </w:p>
    <w:p w14:paraId="1BE92DFB" w14:textId="77777777" w:rsidR="00794EB9" w:rsidRPr="00794EB9" w:rsidRDefault="00794EB9" w:rsidP="00794EB9">
      <w:pPr>
        <w:pStyle w:val="PGAcciones"/>
        <w:rPr>
          <w:color w:val="auto"/>
          <w:sz w:val="22"/>
          <w:szCs w:val="22"/>
        </w:rPr>
      </w:pPr>
      <w:r w:rsidRPr="00794EB9">
        <w:rPr>
          <w:color w:val="auto"/>
          <w:sz w:val="22"/>
          <w:szCs w:val="22"/>
        </w:rPr>
        <w:t>VS. 4.2.2 Poner en operación el modelo de atención integral a víctimas, para mujeres en situación de violencia.</w:t>
      </w:r>
    </w:p>
    <w:p w14:paraId="5B95AB75" w14:textId="77777777" w:rsidR="00794EB9" w:rsidRPr="00794EB9" w:rsidRDefault="00794EB9" w:rsidP="00794EB9">
      <w:pPr>
        <w:pStyle w:val="PGAcciones"/>
        <w:numPr>
          <w:ilvl w:val="0"/>
          <w:numId w:val="0"/>
        </w:numPr>
        <w:rPr>
          <w:color w:val="auto"/>
          <w:sz w:val="22"/>
          <w:szCs w:val="22"/>
        </w:rPr>
      </w:pPr>
    </w:p>
    <w:p w14:paraId="17DF86F7" w14:textId="77777777" w:rsidR="00794EB9" w:rsidRPr="00794EB9" w:rsidRDefault="00794EB9" w:rsidP="00794EB9">
      <w:pPr>
        <w:pStyle w:val="PGAcciones"/>
        <w:numPr>
          <w:ilvl w:val="0"/>
          <w:numId w:val="0"/>
        </w:numPr>
        <w:rPr>
          <w:color w:val="auto"/>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1D7B0187"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54974F0"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1E1818C5"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VS. 4.3 Proyecto integral para el Desarrollo Humano y la Inclusión Social</w:t>
            </w:r>
          </w:p>
        </w:tc>
      </w:tr>
      <w:tr w:rsidR="00794EB9" w:rsidRPr="00794EB9" w14:paraId="7B8A756C"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12F66838"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1208ED76"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Desarrollar un proyecto con visión integral para el desarrollo humano y la inclusión social, integrando acciones para los grupos en situación de vulnerabilidad.</w:t>
            </w:r>
          </w:p>
        </w:tc>
      </w:tr>
      <w:tr w:rsidR="00794EB9" w:rsidRPr="00794EB9" w14:paraId="498CAFAE"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09C79ADC"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353C842C" w14:textId="77777777" w:rsidR="00794EB9" w:rsidRPr="00794EB9" w:rsidRDefault="00794EB9" w:rsidP="00794EB9">
      <w:pPr>
        <w:pStyle w:val="PGAcciones"/>
        <w:rPr>
          <w:color w:val="auto"/>
          <w:sz w:val="22"/>
          <w:szCs w:val="22"/>
        </w:rPr>
      </w:pPr>
      <w:r w:rsidRPr="00794EB9">
        <w:rPr>
          <w:color w:val="auto"/>
          <w:sz w:val="22"/>
          <w:szCs w:val="22"/>
        </w:rPr>
        <w:lastRenderedPageBreak/>
        <w:t>VS. 4.3.1 Herramientas para el fortalecimiento de la inclusión social en el Municipio de León.</w:t>
      </w:r>
    </w:p>
    <w:p w14:paraId="6DA75D47" w14:textId="77777777" w:rsidR="00794EB9" w:rsidRPr="00794EB9" w:rsidRDefault="00794EB9" w:rsidP="00794EB9">
      <w:pPr>
        <w:pStyle w:val="PGAcciones"/>
        <w:rPr>
          <w:color w:val="auto"/>
          <w:sz w:val="22"/>
          <w:szCs w:val="22"/>
        </w:rPr>
      </w:pPr>
      <w:r w:rsidRPr="00794EB9">
        <w:rPr>
          <w:color w:val="auto"/>
          <w:sz w:val="22"/>
          <w:szCs w:val="22"/>
        </w:rPr>
        <w:t>VS. 4.3.2 Fortalecer el derecho a la participación de los estudiantes en la construcción de la ciudad "Red Internacional de las niñas y los niños".</w:t>
      </w:r>
    </w:p>
    <w:p w14:paraId="48B27011" w14:textId="77777777" w:rsidR="00794EB9" w:rsidRPr="00794EB9" w:rsidRDefault="00794EB9" w:rsidP="00794EB9">
      <w:pPr>
        <w:pStyle w:val="PGAcciones"/>
        <w:rPr>
          <w:color w:val="auto"/>
          <w:sz w:val="22"/>
          <w:szCs w:val="22"/>
        </w:rPr>
      </w:pPr>
      <w:r w:rsidRPr="00794EB9">
        <w:rPr>
          <w:color w:val="auto"/>
          <w:sz w:val="22"/>
          <w:szCs w:val="22"/>
        </w:rPr>
        <w:t>VS. 4.3.3 Realizar la edición del libro digital de Embajadores de León.</w:t>
      </w:r>
    </w:p>
    <w:p w14:paraId="00821F03" w14:textId="77777777" w:rsidR="00794EB9" w:rsidRPr="00794EB9" w:rsidRDefault="00794EB9" w:rsidP="00794EB9">
      <w:pPr>
        <w:pStyle w:val="PGAcciones"/>
        <w:rPr>
          <w:color w:val="auto"/>
          <w:sz w:val="22"/>
          <w:szCs w:val="22"/>
        </w:rPr>
      </w:pPr>
      <w:r w:rsidRPr="00794EB9">
        <w:rPr>
          <w:color w:val="auto"/>
          <w:sz w:val="22"/>
          <w:szCs w:val="22"/>
        </w:rPr>
        <w:t>VS. 4.3.4 Reconocer y fortalecer proyectos de jóvenes o comunidades juveniles.</w:t>
      </w:r>
    </w:p>
    <w:p w14:paraId="1AEC599C" w14:textId="77777777" w:rsidR="00794EB9" w:rsidRPr="00794EB9" w:rsidRDefault="00794EB9" w:rsidP="00794EB9">
      <w:pPr>
        <w:pStyle w:val="PGAcciones"/>
        <w:rPr>
          <w:color w:val="auto"/>
          <w:sz w:val="22"/>
          <w:szCs w:val="22"/>
        </w:rPr>
      </w:pPr>
      <w:r w:rsidRPr="00794EB9">
        <w:rPr>
          <w:color w:val="auto"/>
          <w:sz w:val="22"/>
          <w:szCs w:val="22"/>
        </w:rPr>
        <w:t>VS. 4.3.5 Fomentar la cultura de la inclusión a personas en situación de vulnerabilidad y minorías mediante brigadas en espacios públicos y educativos.</w:t>
      </w:r>
    </w:p>
    <w:p w14:paraId="78366CE4" w14:textId="77777777" w:rsidR="00794EB9" w:rsidRPr="00794EB9" w:rsidRDefault="00794EB9" w:rsidP="00794EB9">
      <w:pPr>
        <w:pStyle w:val="PGAcciones"/>
        <w:rPr>
          <w:color w:val="auto"/>
          <w:sz w:val="22"/>
          <w:szCs w:val="22"/>
        </w:rPr>
      </w:pPr>
      <w:r w:rsidRPr="00794EB9">
        <w:rPr>
          <w:color w:val="auto"/>
          <w:sz w:val="22"/>
          <w:szCs w:val="22"/>
        </w:rPr>
        <w:t>VS. 4.3.6 Implementar el modelo de inclusión social y deportiva.</w:t>
      </w:r>
    </w:p>
    <w:p w14:paraId="5AFC6D83" w14:textId="77777777" w:rsidR="00794EB9" w:rsidRPr="00794EB9" w:rsidRDefault="00794EB9" w:rsidP="00794EB9">
      <w:pPr>
        <w:pStyle w:val="PGAcciones"/>
        <w:rPr>
          <w:color w:val="auto"/>
          <w:sz w:val="22"/>
          <w:szCs w:val="22"/>
        </w:rPr>
      </w:pPr>
      <w:r w:rsidRPr="00794EB9">
        <w:rPr>
          <w:color w:val="auto"/>
          <w:sz w:val="22"/>
          <w:szCs w:val="22"/>
        </w:rPr>
        <w:t>VS. 4.3.7 Implementar el programa de inclusión para el acceso a la educación para todos.</w:t>
      </w:r>
    </w:p>
    <w:p w14:paraId="2102146E" w14:textId="77777777" w:rsidR="00794EB9" w:rsidRPr="00794EB9" w:rsidRDefault="00794EB9" w:rsidP="00794EB9">
      <w:pPr>
        <w:pStyle w:val="PGAcciones"/>
        <w:rPr>
          <w:color w:val="auto"/>
          <w:sz w:val="22"/>
          <w:szCs w:val="22"/>
        </w:rPr>
      </w:pPr>
      <w:r w:rsidRPr="00794EB9">
        <w:rPr>
          <w:color w:val="auto"/>
          <w:sz w:val="22"/>
          <w:szCs w:val="22"/>
        </w:rPr>
        <w:t>VS.4.3.8 Mantenimiento a centros gerontológicos del Sistema DIF para brindar una atención de mayor calidad</w:t>
      </w:r>
    </w:p>
    <w:p w14:paraId="67D691A1" w14:textId="77777777" w:rsidR="00794EB9" w:rsidRPr="00794EB9" w:rsidRDefault="00794EB9" w:rsidP="00794EB9">
      <w:pPr>
        <w:pStyle w:val="PGAcciones"/>
        <w:rPr>
          <w:color w:val="auto"/>
          <w:sz w:val="22"/>
          <w:szCs w:val="22"/>
        </w:rPr>
      </w:pPr>
      <w:r w:rsidRPr="00794EB9">
        <w:rPr>
          <w:color w:val="auto"/>
          <w:sz w:val="22"/>
          <w:szCs w:val="22"/>
        </w:rPr>
        <w:t>VS. 4.3.9 Fortalecer a las asociaciones de sociedad civil que atienden de manera integral y brindan alojamiento a los adultos mayores en situación de vulnerabilidad.</w:t>
      </w:r>
    </w:p>
    <w:p w14:paraId="2D9DCD3E" w14:textId="77777777" w:rsidR="00794EB9" w:rsidRPr="00794EB9" w:rsidRDefault="00794EB9" w:rsidP="00794EB9">
      <w:pPr>
        <w:pStyle w:val="PGAcciones"/>
        <w:rPr>
          <w:color w:val="auto"/>
          <w:sz w:val="22"/>
          <w:szCs w:val="22"/>
        </w:rPr>
      </w:pPr>
      <w:r w:rsidRPr="00794EB9">
        <w:rPr>
          <w:color w:val="auto"/>
          <w:sz w:val="22"/>
          <w:szCs w:val="22"/>
        </w:rPr>
        <w:t>VS. 4.3.10 Brindar atención del cuidador primario para el mejor desempeño social y médico del cuidado de su paciente.</w:t>
      </w:r>
    </w:p>
    <w:p w14:paraId="19D791C0" w14:textId="77777777" w:rsidR="00794EB9" w:rsidRPr="00794EB9" w:rsidRDefault="00794EB9" w:rsidP="00794EB9">
      <w:pPr>
        <w:pStyle w:val="PGAcciones"/>
        <w:rPr>
          <w:color w:val="auto"/>
          <w:sz w:val="22"/>
          <w:szCs w:val="22"/>
        </w:rPr>
      </w:pPr>
      <w:r w:rsidRPr="00794EB9">
        <w:rPr>
          <w:color w:val="auto"/>
          <w:sz w:val="22"/>
          <w:szCs w:val="22"/>
        </w:rPr>
        <w:t>VS. 4.3.11 Apoyar a proyectos productivos de migrantes en retorno.</w:t>
      </w:r>
    </w:p>
    <w:p w14:paraId="7DFF3E80" w14:textId="77777777" w:rsidR="00794EB9" w:rsidRPr="00794EB9" w:rsidRDefault="00794EB9" w:rsidP="00794EB9">
      <w:pPr>
        <w:pStyle w:val="PGAcciones"/>
        <w:rPr>
          <w:color w:val="auto"/>
          <w:sz w:val="22"/>
          <w:szCs w:val="22"/>
        </w:rPr>
      </w:pPr>
      <w:r w:rsidRPr="00794EB9">
        <w:rPr>
          <w:color w:val="auto"/>
          <w:sz w:val="22"/>
          <w:szCs w:val="22"/>
        </w:rPr>
        <w:t xml:space="preserve">VS. 4.3.12 Fomentar la internacionalización de las acciones de inclusión del municipio de León a través de la colaboración con organismos, asociaciones o gobiernos nacionales o internacionales. </w:t>
      </w:r>
    </w:p>
    <w:p w14:paraId="440DA6D7" w14:textId="77777777" w:rsidR="00794EB9" w:rsidRPr="00794EB9" w:rsidRDefault="00794EB9" w:rsidP="00794EB9">
      <w:pPr>
        <w:pStyle w:val="PGAcciones"/>
        <w:rPr>
          <w:color w:val="auto"/>
          <w:sz w:val="22"/>
          <w:szCs w:val="22"/>
        </w:rPr>
      </w:pPr>
      <w:r w:rsidRPr="00794EB9">
        <w:rPr>
          <w:color w:val="auto"/>
          <w:sz w:val="22"/>
          <w:szCs w:val="22"/>
        </w:rPr>
        <w:t>VS. 4.3.13 Desarrollar una estrategia de campañas y talleres de fomento a la Inclusión Social y Derechos Humanos para funcionarios públicos de atención directa a la ciudadanía por parte de todas las dependencias.</w:t>
      </w:r>
    </w:p>
    <w:p w14:paraId="5AC66723" w14:textId="77777777" w:rsidR="00794EB9" w:rsidRPr="00794EB9" w:rsidRDefault="00794EB9" w:rsidP="00794EB9">
      <w:pPr>
        <w:pStyle w:val="PGAcciones"/>
        <w:rPr>
          <w:color w:val="auto"/>
          <w:sz w:val="22"/>
          <w:szCs w:val="22"/>
        </w:rPr>
      </w:pPr>
      <w:r w:rsidRPr="00794EB9">
        <w:rPr>
          <w:color w:val="auto"/>
          <w:sz w:val="22"/>
          <w:szCs w:val="22"/>
        </w:rPr>
        <w:t>VS. 4.3.14 Realizar obras para mejorar la accesibilidad a zonas rurales, dar mantenimiento correctivo de vialidades internas y de conexión, mejorar la infraestructura vial en caminos rurales.</w:t>
      </w:r>
    </w:p>
    <w:p w14:paraId="086F8C2D" w14:textId="77777777" w:rsidR="00794EB9" w:rsidRPr="00794EB9" w:rsidRDefault="00794EB9" w:rsidP="00794EB9">
      <w:pPr>
        <w:pStyle w:val="PGAcciones"/>
        <w:rPr>
          <w:color w:val="auto"/>
          <w:sz w:val="22"/>
          <w:szCs w:val="22"/>
        </w:rPr>
      </w:pPr>
      <w:r w:rsidRPr="00794EB9">
        <w:rPr>
          <w:color w:val="auto"/>
          <w:sz w:val="22"/>
          <w:szCs w:val="22"/>
        </w:rPr>
        <w:t>VS. 4.3.15 Brindar atención a Personas Migrantes y Jornaleros.</w:t>
      </w:r>
    </w:p>
    <w:p w14:paraId="3A614163" w14:textId="77777777" w:rsidR="00794EB9" w:rsidRPr="00794EB9" w:rsidRDefault="00794EB9" w:rsidP="00794EB9">
      <w:pPr>
        <w:pStyle w:val="PGAcciones"/>
        <w:rPr>
          <w:color w:val="auto"/>
          <w:sz w:val="22"/>
          <w:szCs w:val="22"/>
        </w:rPr>
      </w:pPr>
      <w:r w:rsidRPr="00794EB9">
        <w:rPr>
          <w:color w:val="auto"/>
          <w:sz w:val="22"/>
          <w:szCs w:val="22"/>
        </w:rPr>
        <w:t>VS 4.3.16 Brindar apoyos para la educación y la formación de niñas, niños y jóvenes de escasos recursos</w:t>
      </w:r>
    </w:p>
    <w:p w14:paraId="40163ECB" w14:textId="77777777" w:rsidR="00794EB9" w:rsidRPr="00794EB9" w:rsidRDefault="00794EB9" w:rsidP="00794EB9">
      <w:pPr>
        <w:pStyle w:val="PGAcciones"/>
        <w:rPr>
          <w:color w:val="auto"/>
          <w:sz w:val="22"/>
          <w:szCs w:val="22"/>
        </w:rPr>
      </w:pPr>
      <w:r w:rsidRPr="00794EB9">
        <w:rPr>
          <w:color w:val="auto"/>
          <w:sz w:val="22"/>
          <w:szCs w:val="22"/>
        </w:rPr>
        <w:t>VS 4.3.17 Realizar talleres para personas promotoras de la educación de la sexualidad, para contribuir a la disminución de los embarazos en adolescentes.</w:t>
      </w:r>
    </w:p>
    <w:p w14:paraId="3073C4B1" w14:textId="77777777" w:rsidR="00794EB9" w:rsidRPr="00794EB9" w:rsidRDefault="00794EB9" w:rsidP="00794EB9">
      <w:pPr>
        <w:jc w:val="both"/>
        <w:rPr>
          <w:rFonts w:ascii="Arial" w:hAnsi="Arial" w:cs="Arial"/>
          <w:b/>
          <w:sz w:val="22"/>
          <w:szCs w:val="22"/>
          <w:lang w:eastAsia="es-MX"/>
        </w:rPr>
      </w:pPr>
    </w:p>
    <w:p w14:paraId="644D970F" w14:textId="77777777" w:rsidR="00794EB9" w:rsidRPr="00794EB9" w:rsidRDefault="00794EB9" w:rsidP="00794EB9">
      <w:pPr>
        <w:jc w:val="both"/>
        <w:rPr>
          <w:rFonts w:ascii="Arial" w:hAnsi="Arial" w:cs="Arial"/>
          <w:b/>
          <w:sz w:val="22"/>
          <w:szCs w:val="22"/>
          <w:lang w:eastAsia="es-MX"/>
        </w:rPr>
      </w:pPr>
    </w:p>
    <w:p w14:paraId="0FA915B6" w14:textId="77777777" w:rsidR="00794EB9" w:rsidRPr="00794EB9" w:rsidRDefault="00794EB9" w:rsidP="00794EB9">
      <w:pPr>
        <w:pStyle w:val="TtuloPG2"/>
        <w:ind w:left="0"/>
        <w:jc w:val="both"/>
        <w:rPr>
          <w:bCs/>
          <w:color w:val="auto"/>
          <w:sz w:val="22"/>
          <w:szCs w:val="22"/>
        </w:rPr>
      </w:pPr>
      <w:r w:rsidRPr="00794EB9">
        <w:rPr>
          <w:bCs/>
          <w:color w:val="auto"/>
          <w:sz w:val="22"/>
          <w:szCs w:val="22"/>
        </w:rPr>
        <w:t>ESTRATEGIA 5. ECONOMÍA Y EMPRENDIMIENTO.</w:t>
      </w:r>
    </w:p>
    <w:p w14:paraId="64B292E0" w14:textId="77777777" w:rsidR="00794EB9" w:rsidRPr="00794EB9" w:rsidRDefault="00794EB9" w:rsidP="00794EB9">
      <w:pPr>
        <w:pStyle w:val="TtuloPG2"/>
        <w:ind w:left="0"/>
        <w:jc w:val="both"/>
        <w:rPr>
          <w:b w:val="0"/>
          <w:bCs/>
          <w:color w:val="auto"/>
          <w:sz w:val="22"/>
          <w:szCs w:val="22"/>
          <w:lang w:val="es-ES" w:eastAsia="es-MX"/>
        </w:rPr>
      </w:pPr>
    </w:p>
    <w:p w14:paraId="31B97836"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Reactivación económica mediante la generación de empleos y oportunidades de emprendimiento para la población leonesa.</w:t>
      </w:r>
    </w:p>
    <w:p w14:paraId="33458B7B" w14:textId="77777777" w:rsidR="00794EB9" w:rsidRPr="00794EB9" w:rsidRDefault="00794EB9" w:rsidP="00794EB9">
      <w:pPr>
        <w:pStyle w:val="TtuloPG2"/>
        <w:ind w:left="0"/>
        <w:jc w:val="both"/>
        <w:rPr>
          <w:b w:val="0"/>
          <w:bCs/>
          <w:color w:val="auto"/>
          <w:sz w:val="22"/>
          <w:szCs w:val="22"/>
          <w:lang w:val="es-ES" w:eastAsia="es-MX"/>
        </w:rPr>
      </w:pPr>
    </w:p>
    <w:p w14:paraId="0E04BBB0"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Programas:</w:t>
      </w:r>
    </w:p>
    <w:p w14:paraId="66A105C8" w14:textId="77777777" w:rsidR="00794EB9" w:rsidRPr="00794EB9" w:rsidRDefault="00794EB9" w:rsidP="00794EB9">
      <w:pPr>
        <w:pStyle w:val="TtuloPG2"/>
        <w:ind w:left="0"/>
        <w:jc w:val="both"/>
        <w:rPr>
          <w:b w:val="0"/>
          <w:bCs/>
          <w:color w:val="auto"/>
          <w:sz w:val="22"/>
          <w:szCs w:val="22"/>
          <w:lang w:val="es-ES" w:eastAsia="es-MX"/>
        </w:rPr>
      </w:pPr>
    </w:p>
    <w:p w14:paraId="4A67C85C"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VM.1. Salir adelante.</w:t>
      </w:r>
    </w:p>
    <w:p w14:paraId="0A7E512F"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VM. 2. León de oportunidades.</w:t>
      </w:r>
    </w:p>
    <w:p w14:paraId="2AFD30CC" w14:textId="77777777" w:rsidR="00794EB9" w:rsidRPr="00794EB9" w:rsidRDefault="00794EB9" w:rsidP="00794EB9">
      <w:pPr>
        <w:pStyle w:val="TtuloPG2"/>
        <w:ind w:left="0"/>
        <w:jc w:val="both"/>
        <w:rPr>
          <w:color w:val="auto"/>
          <w:sz w:val="22"/>
          <w:szCs w:val="22"/>
          <w:lang w:val="es-ES" w:eastAsia="es-MX"/>
        </w:rPr>
      </w:pPr>
    </w:p>
    <w:p w14:paraId="4E45C8D7" w14:textId="77777777" w:rsidR="00794EB9" w:rsidRPr="00794EB9" w:rsidRDefault="00794EB9" w:rsidP="00794EB9">
      <w:pPr>
        <w:pStyle w:val="TtuloPG2"/>
        <w:ind w:left="0"/>
        <w:jc w:val="both"/>
        <w:rPr>
          <w:color w:val="auto"/>
          <w:sz w:val="22"/>
          <w:szCs w:val="22"/>
          <w:lang w:val="es-ES" w:eastAsia="es-MX"/>
        </w:rPr>
      </w:pPr>
      <w:r w:rsidRPr="00794EB9">
        <w:rPr>
          <w:color w:val="auto"/>
          <w:sz w:val="22"/>
          <w:szCs w:val="22"/>
          <w:lang w:val="es-ES" w:eastAsia="es-MX"/>
        </w:rPr>
        <w:t>PROGRAMA: VM1. SALIR ADELANTE</w:t>
      </w:r>
    </w:p>
    <w:p w14:paraId="6636CBED" w14:textId="77777777" w:rsidR="00794EB9" w:rsidRPr="00794EB9" w:rsidRDefault="00794EB9" w:rsidP="00794EB9">
      <w:pPr>
        <w:ind w:hanging="2"/>
        <w:jc w:val="both"/>
        <w:rPr>
          <w:rFonts w:ascii="Arial" w:hAnsi="Arial" w:cs="Arial"/>
          <w:sz w:val="22"/>
          <w:szCs w:val="22"/>
        </w:rPr>
      </w:pPr>
    </w:p>
    <w:p w14:paraId="5F3A2B8C"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55A57BA4"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Consiste en generar beneficios auténticos que ayuden a integrar a grupos sociales en situación de vulnerabilidad a una nueva dinámica que abra las puertas a una mejor calidad de vida.</w:t>
      </w:r>
    </w:p>
    <w:p w14:paraId="48851DFE" w14:textId="77777777" w:rsidR="00794EB9" w:rsidRPr="00794EB9" w:rsidRDefault="00794EB9" w:rsidP="00794EB9">
      <w:pPr>
        <w:pStyle w:val="TtuloPG2"/>
        <w:ind w:left="0"/>
        <w:jc w:val="both"/>
        <w:rPr>
          <w:color w:val="auto"/>
          <w:sz w:val="22"/>
          <w:szCs w:val="22"/>
        </w:rPr>
      </w:pPr>
    </w:p>
    <w:p w14:paraId="35DC63D4"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62EE8B96"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De 2010 a 2020, la población económicamente activa de León se incrementó en 281 mil 309 personas, lo cual significa que Salir adelante requiere brindar atención específica y activa para que esto pueda continuar así.</w:t>
      </w:r>
    </w:p>
    <w:p w14:paraId="746DF5F2" w14:textId="77777777" w:rsidR="00794EB9" w:rsidRPr="00794EB9" w:rsidRDefault="00794EB9" w:rsidP="00794EB9">
      <w:pPr>
        <w:pStyle w:val="TtuloPG2"/>
        <w:ind w:left="0"/>
        <w:jc w:val="both"/>
        <w:rPr>
          <w:b w:val="0"/>
          <w:color w:val="auto"/>
          <w:sz w:val="22"/>
          <w:szCs w:val="22"/>
        </w:rPr>
      </w:pPr>
    </w:p>
    <w:p w14:paraId="398139CE"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2D93551A"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Desarrollar una política integral de atención a los distintos grupos sociales en situación de vulnerabilidad que proporcione los elementos para una vida digna y corresponsable.</w:t>
      </w:r>
    </w:p>
    <w:p w14:paraId="083481F1" w14:textId="77777777" w:rsidR="00794EB9" w:rsidRPr="00794EB9" w:rsidRDefault="00794EB9" w:rsidP="00794EB9">
      <w:pPr>
        <w:pStyle w:val="TtuloPG2"/>
        <w:ind w:left="0"/>
        <w:jc w:val="both"/>
        <w:rPr>
          <w:b w:val="0"/>
          <w:color w:val="auto"/>
          <w:sz w:val="22"/>
          <w:szCs w:val="22"/>
        </w:rPr>
      </w:pPr>
    </w:p>
    <w:p w14:paraId="6169B691"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2F8DC579"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ab/>
        <w:t>Secretaría para el Fortalecimiento Social de León.</w:t>
      </w:r>
    </w:p>
    <w:p w14:paraId="6CDD82E7" w14:textId="77777777" w:rsidR="00794EB9" w:rsidRPr="00794EB9" w:rsidRDefault="00794EB9" w:rsidP="00794EB9">
      <w:pPr>
        <w:pStyle w:val="TtuloPG2"/>
        <w:ind w:left="0"/>
        <w:jc w:val="both"/>
        <w:rPr>
          <w:b w:val="0"/>
          <w:color w:val="auto"/>
          <w:sz w:val="22"/>
          <w:szCs w:val="22"/>
        </w:rPr>
      </w:pPr>
    </w:p>
    <w:p w14:paraId="08F3D0DB"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0CA01BA2" w14:textId="77777777" w:rsidR="00794EB9" w:rsidRPr="00794EB9" w:rsidRDefault="00794EB9" w:rsidP="00794EB9">
      <w:pPr>
        <w:pStyle w:val="SubttuloPG"/>
        <w:ind w:left="0" w:hanging="2"/>
        <w:rPr>
          <w:rFonts w:ascii="Arial" w:hAnsi="Arial"/>
          <w:b w:val="0"/>
          <w:i/>
          <w:color w:val="auto"/>
          <w:sz w:val="22"/>
          <w:szCs w:val="22"/>
        </w:rPr>
      </w:pPr>
    </w:p>
    <w:p w14:paraId="7550C08F"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1.1 Red de Estancias Seguras y programa de becas</w:t>
      </w:r>
    </w:p>
    <w:p w14:paraId="35F81C52"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1.2 Modelo Club DIF</w:t>
      </w:r>
    </w:p>
    <w:p w14:paraId="0A633EB3"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1.3 Construcción de Plan de Vida para Jóvenes que crecen y se desarrollan en contextos de vulnerabilidad</w:t>
      </w:r>
    </w:p>
    <w:p w14:paraId="1C690264"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1.4 Ayúdate ayudando</w:t>
      </w:r>
    </w:p>
    <w:p w14:paraId="038D7400"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1.5 Becas Juventud León - 450</w:t>
      </w:r>
    </w:p>
    <w:p w14:paraId="64A7C3EB"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 xml:space="preserve"> VM. 1.6 Vivienda digna</w:t>
      </w:r>
    </w:p>
    <w:p w14:paraId="1313F6C0" w14:textId="77777777" w:rsidR="00794EB9" w:rsidRPr="00794EB9" w:rsidRDefault="00794EB9" w:rsidP="00794EB9">
      <w:pPr>
        <w:jc w:val="both"/>
        <w:rPr>
          <w:rFonts w:ascii="Arial" w:hAnsi="Arial" w:cs="Arial"/>
          <w:b/>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2F51BC11"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FEDD832"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628BFC0F"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VM. 1.1 Red de Estancias Seguras y programa de becas.</w:t>
            </w:r>
          </w:p>
        </w:tc>
      </w:tr>
      <w:tr w:rsidR="00794EB9" w:rsidRPr="00794EB9" w14:paraId="2A8483C3"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6DA8B23D"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7BCAB4BC"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 xml:space="preserve">Diseñar y operar un programa de entrega de becas para que madres de familia puedan pagar la estancia de sus hijos en la Red de Estancias Infantiles, que cuenten con una certificación de la calidad y seguridad en sus servicios. </w:t>
            </w:r>
          </w:p>
        </w:tc>
      </w:tr>
      <w:tr w:rsidR="00794EB9" w:rsidRPr="00794EB9" w14:paraId="2B590FD5"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8BFA63C"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12C13586" w14:textId="77777777" w:rsidR="00794EB9" w:rsidRPr="00794EB9" w:rsidRDefault="00794EB9" w:rsidP="00794EB9">
      <w:pPr>
        <w:pStyle w:val="PGAcciones"/>
        <w:rPr>
          <w:color w:val="auto"/>
          <w:sz w:val="22"/>
          <w:szCs w:val="22"/>
        </w:rPr>
      </w:pPr>
      <w:r w:rsidRPr="00794EB9">
        <w:rPr>
          <w:color w:val="auto"/>
          <w:sz w:val="22"/>
          <w:szCs w:val="22"/>
        </w:rPr>
        <w:t>VM. 1.1.1 Realizar un Diagnóstico de la Red de Estancias existentes en la ciudad.</w:t>
      </w:r>
    </w:p>
    <w:p w14:paraId="192F12AD" w14:textId="77777777" w:rsidR="00794EB9" w:rsidRPr="00794EB9" w:rsidRDefault="00794EB9" w:rsidP="00794EB9">
      <w:pPr>
        <w:pStyle w:val="PGAcciones"/>
        <w:rPr>
          <w:color w:val="auto"/>
          <w:sz w:val="22"/>
          <w:szCs w:val="22"/>
        </w:rPr>
      </w:pPr>
      <w:r w:rsidRPr="00794EB9">
        <w:rPr>
          <w:color w:val="auto"/>
          <w:sz w:val="22"/>
          <w:szCs w:val="22"/>
        </w:rPr>
        <w:t xml:space="preserve">VM. 1.1.2 Desarrollar un Programa de estímulos para mujeres jefas de familia en la red de estancias seguras certificadas.  </w:t>
      </w:r>
    </w:p>
    <w:p w14:paraId="3DEC24C7" w14:textId="77777777" w:rsidR="00794EB9" w:rsidRPr="00794EB9" w:rsidRDefault="00794EB9" w:rsidP="00794EB9">
      <w:pPr>
        <w:jc w:val="both"/>
        <w:rPr>
          <w:rFonts w:ascii="Arial" w:hAnsi="Arial" w:cs="Arial"/>
          <w:sz w:val="22"/>
          <w:szCs w:val="22"/>
        </w:rPr>
      </w:pPr>
    </w:p>
    <w:p w14:paraId="274BCD65" w14:textId="77777777" w:rsidR="00794EB9" w:rsidRPr="00794EB9" w:rsidRDefault="00794EB9" w:rsidP="00794EB9">
      <w:pPr>
        <w:jc w:val="both"/>
        <w:rPr>
          <w:rFonts w:ascii="Arial" w:hAnsi="Arial" w:cs="Arial"/>
          <w:sz w:val="22"/>
          <w:szCs w:val="22"/>
        </w:rPr>
      </w:pPr>
    </w:p>
    <w:p w14:paraId="22137323" w14:textId="77777777" w:rsidR="00794EB9" w:rsidRPr="00794EB9" w:rsidRDefault="00794EB9" w:rsidP="00794EB9">
      <w:pPr>
        <w:jc w:val="both"/>
        <w:rPr>
          <w:rFonts w:ascii="Arial" w:hAnsi="Arial" w:cs="Arial"/>
          <w:sz w:val="22"/>
          <w:szCs w:val="22"/>
        </w:rPr>
      </w:pPr>
    </w:p>
    <w:tbl>
      <w:tblPr>
        <w:tblW w:w="5156"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9114"/>
      </w:tblGrid>
      <w:tr w:rsidR="00794EB9" w:rsidRPr="00794EB9" w14:paraId="09EEC0C6"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5F34B837"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048C0028"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VM. 1.2 Modelo Club DIF</w:t>
            </w:r>
          </w:p>
        </w:tc>
      </w:tr>
      <w:tr w:rsidR="00794EB9" w:rsidRPr="00794EB9" w14:paraId="5C47FD95"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27660EEC"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115746E8"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 xml:space="preserve">Habilitar espacios con enfoque preventivo de riesgos psicosociales para apoyar a madres y </w:t>
            </w:r>
            <w:r w:rsidRPr="00794EB9">
              <w:rPr>
                <w:rFonts w:ascii="Arial" w:hAnsi="Arial" w:cs="Arial"/>
                <w:sz w:val="22"/>
                <w:szCs w:val="22"/>
              </w:rPr>
              <w:lastRenderedPageBreak/>
              <w:t>padres trabajadores y brindar una atención multidisciplinaria a las niñas y niños para alcanzar su desarrollo integral</w:t>
            </w:r>
          </w:p>
        </w:tc>
      </w:tr>
      <w:tr w:rsidR="00794EB9" w:rsidRPr="00794EB9" w14:paraId="101DB56E"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50D82C06"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lastRenderedPageBreak/>
              <w:t>Acciones del proyecto</w:t>
            </w:r>
          </w:p>
        </w:tc>
      </w:tr>
    </w:tbl>
    <w:p w14:paraId="5EC5E8DE" w14:textId="77777777" w:rsidR="00794EB9" w:rsidRPr="00794EB9" w:rsidRDefault="00794EB9" w:rsidP="00794EB9">
      <w:pPr>
        <w:pStyle w:val="PGAcciones"/>
        <w:rPr>
          <w:color w:val="auto"/>
          <w:sz w:val="22"/>
          <w:szCs w:val="22"/>
        </w:rPr>
      </w:pPr>
      <w:r w:rsidRPr="00794EB9">
        <w:rPr>
          <w:color w:val="auto"/>
          <w:sz w:val="22"/>
          <w:szCs w:val="22"/>
        </w:rPr>
        <w:t>VM 1.2.1 Adaptar espacios para el resguardo de las niñas y niños bajo el modelo de Club DIF.</w:t>
      </w:r>
    </w:p>
    <w:p w14:paraId="6983776B" w14:textId="77777777" w:rsidR="00794EB9" w:rsidRPr="00794EB9" w:rsidRDefault="00794EB9" w:rsidP="00794EB9">
      <w:pPr>
        <w:jc w:val="both"/>
        <w:rPr>
          <w:rFonts w:ascii="Arial" w:hAnsi="Arial" w:cs="Arial"/>
          <w:b/>
          <w:sz w:val="22"/>
          <w:szCs w:val="22"/>
        </w:rPr>
      </w:pPr>
    </w:p>
    <w:p w14:paraId="73893DDA"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42F84716"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316C94E"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4C35B1F1"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VM. 1.3 Construcción de Plan de Vida para Jóvenes que crecen y se desarrollan en contextos de vulnerabilidad.</w:t>
            </w:r>
          </w:p>
        </w:tc>
      </w:tr>
      <w:tr w:rsidR="00794EB9" w:rsidRPr="00794EB9" w14:paraId="1F9BF8DB"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49CBFD58"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31C2F774"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Brindar las herramientas necesarias para que jóvenes egresados del cuidado residencial (en situación de institucionalización) ejerzan con autonomía sus derechos humanos, proporcionándoles un lugar seguro y temporal para habitar, con el acompañamiento de un equipo multidisciplinario en el desarrollo integral de su vida de manera independiente. Crear un espacio para jóvenes mayores de 18 años, proyecto de construcción de plan de vida.</w:t>
            </w:r>
          </w:p>
        </w:tc>
      </w:tr>
      <w:tr w:rsidR="00794EB9" w:rsidRPr="00794EB9" w14:paraId="3DC61E37"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DA6A99F"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7481FB92" w14:textId="77777777" w:rsidR="00794EB9" w:rsidRPr="00794EB9" w:rsidRDefault="00794EB9" w:rsidP="00794EB9">
      <w:pPr>
        <w:pStyle w:val="PGAcciones"/>
        <w:rPr>
          <w:color w:val="auto"/>
          <w:sz w:val="22"/>
          <w:szCs w:val="22"/>
        </w:rPr>
      </w:pPr>
      <w:r w:rsidRPr="00794EB9">
        <w:rPr>
          <w:color w:val="auto"/>
          <w:sz w:val="22"/>
          <w:szCs w:val="22"/>
        </w:rPr>
        <w:t>VM. 1.3.1 Crear un espacio de atención para jóvenes mayores de 18 años.</w:t>
      </w:r>
    </w:p>
    <w:p w14:paraId="399CF6D7" w14:textId="77777777" w:rsidR="00794EB9" w:rsidRPr="00794EB9" w:rsidRDefault="00794EB9" w:rsidP="00794EB9">
      <w:pPr>
        <w:pStyle w:val="PGAcciones"/>
        <w:rPr>
          <w:color w:val="auto"/>
          <w:sz w:val="22"/>
          <w:szCs w:val="22"/>
        </w:rPr>
      </w:pPr>
      <w:r w:rsidRPr="00794EB9">
        <w:rPr>
          <w:color w:val="auto"/>
          <w:sz w:val="22"/>
          <w:szCs w:val="22"/>
        </w:rPr>
        <w:t>VM. 1.3.2 Desarrollar un esquema de seguimiento que integre la elaboración de un proyecto de construcción de plan de vida para jóvenes</w:t>
      </w:r>
    </w:p>
    <w:p w14:paraId="55B67809" w14:textId="77777777" w:rsidR="00794EB9" w:rsidRPr="00794EB9" w:rsidRDefault="00794EB9" w:rsidP="00794EB9">
      <w:pPr>
        <w:jc w:val="both"/>
        <w:rPr>
          <w:rFonts w:ascii="Arial" w:hAnsi="Arial" w:cs="Arial"/>
          <w:b/>
          <w:sz w:val="22"/>
          <w:szCs w:val="22"/>
        </w:rPr>
      </w:pPr>
    </w:p>
    <w:p w14:paraId="5427DA9E"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746AED1E"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7FAC813"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0ADA513B"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VM. 1.4 Ayúdate a ayudando</w:t>
            </w:r>
          </w:p>
        </w:tc>
      </w:tr>
      <w:tr w:rsidR="00794EB9" w:rsidRPr="00794EB9" w14:paraId="1415BDB2"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451789F0"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3313A7B6"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 xml:space="preserve">Ofrecer apoyos económicos a personas de escasos recursos a cambio de la realización de tareas en apoyo a obras de tipo comunitario, en un esquema de empleo temporal. </w:t>
            </w:r>
          </w:p>
        </w:tc>
      </w:tr>
      <w:tr w:rsidR="00794EB9" w:rsidRPr="00794EB9" w14:paraId="28E39197"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11B2192"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3D55267F" w14:textId="77777777" w:rsidR="00794EB9" w:rsidRPr="00794EB9" w:rsidRDefault="00794EB9" w:rsidP="00794EB9">
      <w:pPr>
        <w:pStyle w:val="PGAcciones"/>
        <w:rPr>
          <w:color w:val="auto"/>
          <w:sz w:val="22"/>
          <w:szCs w:val="22"/>
        </w:rPr>
      </w:pPr>
      <w:r w:rsidRPr="00794EB9">
        <w:rPr>
          <w:color w:val="auto"/>
          <w:sz w:val="22"/>
          <w:szCs w:val="22"/>
        </w:rPr>
        <w:t>VM. 1.4.1 Brindar apoyos para rehabilitación, mantenimiento y mejora de las comunidades rurales.</w:t>
      </w:r>
    </w:p>
    <w:p w14:paraId="06B2AB69" w14:textId="77777777" w:rsidR="00794EB9" w:rsidRPr="00794EB9" w:rsidRDefault="00794EB9" w:rsidP="00794EB9">
      <w:pPr>
        <w:pStyle w:val="PGAcciones"/>
        <w:rPr>
          <w:color w:val="auto"/>
          <w:sz w:val="22"/>
          <w:szCs w:val="22"/>
        </w:rPr>
      </w:pPr>
      <w:r w:rsidRPr="00794EB9">
        <w:rPr>
          <w:color w:val="auto"/>
          <w:sz w:val="22"/>
          <w:szCs w:val="22"/>
        </w:rPr>
        <w:t>VM. 1.4.2 Desarrollar el proyecto de brigadas de empleo temporal asociado a actividades de rescate de espacios públicos.</w:t>
      </w:r>
    </w:p>
    <w:p w14:paraId="0F668362"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54F03E5D"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6ACB0ED5"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0B04DF1E"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VM. 1.5 Becas Juventud León - 450</w:t>
            </w:r>
          </w:p>
        </w:tc>
      </w:tr>
      <w:tr w:rsidR="00794EB9" w:rsidRPr="00794EB9" w14:paraId="3276DECF"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1F956608"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4177F821"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Diseñar y operar un programa de desarrollo de habilidades otorgando becas a estudiantes, procurando un proceso de internacionalización.</w:t>
            </w:r>
          </w:p>
        </w:tc>
      </w:tr>
      <w:tr w:rsidR="00794EB9" w:rsidRPr="00794EB9" w14:paraId="7E1F3BA6"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54E765B"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0F405129" w14:textId="77777777" w:rsidR="00794EB9" w:rsidRPr="00794EB9" w:rsidRDefault="00794EB9" w:rsidP="00794EB9">
      <w:pPr>
        <w:pStyle w:val="PGAcciones"/>
        <w:rPr>
          <w:color w:val="auto"/>
          <w:sz w:val="22"/>
          <w:szCs w:val="22"/>
        </w:rPr>
      </w:pPr>
      <w:r w:rsidRPr="00794EB9">
        <w:rPr>
          <w:color w:val="auto"/>
          <w:sz w:val="22"/>
          <w:szCs w:val="22"/>
        </w:rPr>
        <w:t>VM. 1.5.1 Diseñar un programa de desarrollo de habilidades mediante un esquema de estímulos para jóvenes.</w:t>
      </w:r>
    </w:p>
    <w:p w14:paraId="31763D21" w14:textId="77777777" w:rsidR="00794EB9" w:rsidRPr="00794EB9" w:rsidRDefault="00794EB9" w:rsidP="00794EB9">
      <w:pPr>
        <w:pStyle w:val="PGAcciones"/>
        <w:rPr>
          <w:color w:val="auto"/>
          <w:sz w:val="22"/>
          <w:szCs w:val="22"/>
        </w:rPr>
      </w:pPr>
      <w:r w:rsidRPr="00794EB9">
        <w:rPr>
          <w:color w:val="auto"/>
          <w:sz w:val="22"/>
          <w:szCs w:val="22"/>
        </w:rPr>
        <w:lastRenderedPageBreak/>
        <w:t>VM. 1.5.2 Desarrollar una plataforma para la formación de habilidades y competencias para las personas jóvenes.</w:t>
      </w:r>
    </w:p>
    <w:p w14:paraId="2013ED69"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020F9FAC"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787A77E"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6A315826"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 VM. 1.6 Vivienda digna</w:t>
            </w:r>
          </w:p>
        </w:tc>
      </w:tr>
      <w:tr w:rsidR="00794EB9" w:rsidRPr="00794EB9" w14:paraId="7E8347C7"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2C6D323F"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742D6D88"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Llevar a cabo diversas acciones para atender las necesidades de hábitat y vivienda de grupos de escasos recursos, bajo mecanismos de autoproducción, créditos con condiciones preferenciales y de apoyo legal y técnico en el caso de la vida condominal.</w:t>
            </w:r>
          </w:p>
          <w:p w14:paraId="0DCFF8AA" w14:textId="77777777" w:rsidR="00794EB9" w:rsidRPr="00794EB9" w:rsidRDefault="00794EB9" w:rsidP="00C307FB">
            <w:pPr>
              <w:widowControl w:val="0"/>
              <w:ind w:hanging="2"/>
              <w:jc w:val="both"/>
              <w:rPr>
                <w:rFonts w:ascii="Arial" w:hAnsi="Arial" w:cs="Arial"/>
                <w:sz w:val="22"/>
                <w:szCs w:val="22"/>
              </w:rPr>
            </w:pPr>
          </w:p>
        </w:tc>
      </w:tr>
      <w:tr w:rsidR="00794EB9" w:rsidRPr="00794EB9" w14:paraId="0E214545"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0D659C13"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2D6B1CAB" w14:textId="77777777" w:rsidR="00794EB9" w:rsidRPr="00794EB9" w:rsidRDefault="00794EB9" w:rsidP="00794EB9">
      <w:pPr>
        <w:pStyle w:val="PGAcciones"/>
        <w:rPr>
          <w:color w:val="auto"/>
          <w:sz w:val="22"/>
          <w:szCs w:val="22"/>
        </w:rPr>
      </w:pPr>
      <w:r w:rsidRPr="00794EB9">
        <w:rPr>
          <w:color w:val="auto"/>
          <w:sz w:val="22"/>
          <w:szCs w:val="22"/>
        </w:rPr>
        <w:t>VM. 1.6.1. Dotar de certeza jurídica a los asentamientos y colonias que sean factibles de regularización</w:t>
      </w:r>
    </w:p>
    <w:p w14:paraId="0137933B" w14:textId="77777777" w:rsidR="00794EB9" w:rsidRPr="00794EB9" w:rsidRDefault="00794EB9" w:rsidP="00794EB9">
      <w:pPr>
        <w:pStyle w:val="PGAcciones"/>
        <w:rPr>
          <w:color w:val="auto"/>
          <w:sz w:val="22"/>
          <w:szCs w:val="22"/>
        </w:rPr>
      </w:pPr>
      <w:r w:rsidRPr="00794EB9">
        <w:rPr>
          <w:color w:val="auto"/>
          <w:sz w:val="22"/>
          <w:szCs w:val="22"/>
        </w:rPr>
        <w:t>VM. 1.6.2 Implementar obras y acciones que amplíen o mejoren el acceso a los servicios básicos en las viviendas.</w:t>
      </w:r>
    </w:p>
    <w:p w14:paraId="4C18005F" w14:textId="77777777" w:rsidR="00794EB9" w:rsidRPr="00794EB9" w:rsidRDefault="00794EB9" w:rsidP="00794EB9">
      <w:pPr>
        <w:pStyle w:val="PGAcciones"/>
        <w:rPr>
          <w:color w:val="auto"/>
          <w:sz w:val="22"/>
          <w:szCs w:val="22"/>
        </w:rPr>
      </w:pPr>
      <w:r w:rsidRPr="00794EB9">
        <w:rPr>
          <w:color w:val="auto"/>
          <w:sz w:val="22"/>
          <w:szCs w:val="22"/>
        </w:rPr>
        <w:t xml:space="preserve">VM. 1.6.3 Implementar apoyos para el fomento a la autoproducción, equipamiento y rehabilitación de vivienda, así como la gestión de créditos para personas de bajos ingresos. </w:t>
      </w:r>
    </w:p>
    <w:p w14:paraId="4FD3105B" w14:textId="77777777" w:rsidR="00794EB9" w:rsidRPr="00794EB9" w:rsidRDefault="00794EB9" w:rsidP="00794EB9">
      <w:pPr>
        <w:pStyle w:val="PGAcciones"/>
        <w:rPr>
          <w:color w:val="auto"/>
          <w:sz w:val="22"/>
          <w:szCs w:val="22"/>
        </w:rPr>
      </w:pPr>
      <w:r w:rsidRPr="00794EB9">
        <w:rPr>
          <w:color w:val="auto"/>
          <w:sz w:val="22"/>
          <w:szCs w:val="22"/>
        </w:rPr>
        <w:t>VM. 1.6.4 Brindar apoyos para el mejoramiento de vivienda rural.</w:t>
      </w:r>
    </w:p>
    <w:p w14:paraId="6F27622D" w14:textId="77777777" w:rsidR="00794EB9" w:rsidRPr="00794EB9" w:rsidRDefault="00794EB9" w:rsidP="00794EB9">
      <w:pPr>
        <w:pStyle w:val="PGAcciones"/>
        <w:rPr>
          <w:color w:val="auto"/>
          <w:sz w:val="22"/>
          <w:szCs w:val="22"/>
        </w:rPr>
      </w:pPr>
      <w:r w:rsidRPr="00794EB9">
        <w:rPr>
          <w:color w:val="auto"/>
          <w:sz w:val="22"/>
          <w:szCs w:val="22"/>
        </w:rPr>
        <w:t>VM. 1.6.5 Implementar esquemas para el fomento y atención a la cultura condominal en vivienda social.</w:t>
      </w:r>
    </w:p>
    <w:p w14:paraId="54EE407F" w14:textId="77777777" w:rsidR="00794EB9" w:rsidRPr="00794EB9" w:rsidRDefault="00794EB9" w:rsidP="00794EB9">
      <w:pPr>
        <w:pStyle w:val="PGAcciones"/>
        <w:rPr>
          <w:color w:val="auto"/>
          <w:sz w:val="22"/>
          <w:szCs w:val="22"/>
        </w:rPr>
      </w:pPr>
      <w:r w:rsidRPr="00794EB9">
        <w:rPr>
          <w:color w:val="auto"/>
          <w:sz w:val="22"/>
          <w:szCs w:val="22"/>
        </w:rPr>
        <w:t>VM. 1.6.6 Diseñar una estrategia para la atención de las viviendas abandonadas en las zonas de Villas de San Juan y Brisas del Campestre.</w:t>
      </w:r>
    </w:p>
    <w:p w14:paraId="532D348F" w14:textId="77777777" w:rsidR="00794EB9" w:rsidRPr="00794EB9" w:rsidRDefault="00794EB9" w:rsidP="00794EB9">
      <w:pPr>
        <w:pStyle w:val="TtuloPG2"/>
        <w:ind w:leftChars="0" w:firstLineChars="0" w:firstLine="0"/>
        <w:jc w:val="both"/>
        <w:rPr>
          <w:color w:val="auto"/>
          <w:sz w:val="22"/>
          <w:szCs w:val="22"/>
          <w:lang w:val="es-ES" w:eastAsia="es-MX"/>
        </w:rPr>
      </w:pPr>
    </w:p>
    <w:p w14:paraId="0846256C" w14:textId="77777777" w:rsidR="00794EB9" w:rsidRPr="00794EB9" w:rsidRDefault="00794EB9" w:rsidP="00794EB9">
      <w:pPr>
        <w:pStyle w:val="TtuloPG2"/>
        <w:ind w:leftChars="0" w:firstLineChars="0" w:firstLine="0"/>
        <w:jc w:val="both"/>
        <w:rPr>
          <w:color w:val="auto"/>
          <w:sz w:val="22"/>
          <w:szCs w:val="22"/>
          <w:lang w:val="es-ES" w:eastAsia="es-MX"/>
        </w:rPr>
      </w:pPr>
      <w:r w:rsidRPr="00794EB9">
        <w:rPr>
          <w:color w:val="auto"/>
          <w:sz w:val="22"/>
          <w:szCs w:val="22"/>
          <w:lang w:val="es-ES" w:eastAsia="es-MX"/>
        </w:rPr>
        <w:t>PROGRAMA: VM2. LEÓN DE OPORTUNIDADES</w:t>
      </w:r>
    </w:p>
    <w:p w14:paraId="0616610D" w14:textId="77777777" w:rsidR="00794EB9" w:rsidRPr="00794EB9" w:rsidRDefault="00794EB9" w:rsidP="00794EB9">
      <w:pPr>
        <w:ind w:hanging="2"/>
        <w:jc w:val="both"/>
        <w:rPr>
          <w:rFonts w:ascii="Arial" w:hAnsi="Arial" w:cs="Arial"/>
          <w:sz w:val="22"/>
          <w:szCs w:val="22"/>
        </w:rPr>
      </w:pPr>
    </w:p>
    <w:p w14:paraId="2395E7C5"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48E9454F"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Consiste en la generación de programas integrales de apoyo a iniciativas ciudadanas, micro, pequeñas y medianas</w:t>
      </w:r>
      <w:r w:rsidRPr="00794EB9">
        <w:rPr>
          <w:color w:val="auto"/>
          <w:sz w:val="22"/>
          <w:szCs w:val="22"/>
        </w:rPr>
        <w:t xml:space="preserve"> </w:t>
      </w:r>
      <w:r w:rsidRPr="00794EB9">
        <w:rPr>
          <w:b w:val="0"/>
          <w:color w:val="auto"/>
          <w:sz w:val="22"/>
          <w:szCs w:val="22"/>
        </w:rPr>
        <w:t>empresas.</w:t>
      </w:r>
    </w:p>
    <w:p w14:paraId="3814D240" w14:textId="77777777" w:rsidR="00794EB9" w:rsidRPr="00794EB9" w:rsidRDefault="00794EB9" w:rsidP="00794EB9">
      <w:pPr>
        <w:pStyle w:val="TtuloPG2"/>
        <w:ind w:left="0"/>
        <w:jc w:val="both"/>
        <w:rPr>
          <w:color w:val="auto"/>
          <w:sz w:val="22"/>
          <w:szCs w:val="22"/>
        </w:rPr>
      </w:pPr>
    </w:p>
    <w:p w14:paraId="11D29FF8"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584FA1D8"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Anualmente, el número de personas que demandan empleo crece un promedio de 28 mil 131 personas, por lo que León brindará apoyo a micro, pequeñas y medianas empresas, logrando así atracción de nuevas inversiones.</w:t>
      </w:r>
    </w:p>
    <w:p w14:paraId="0200B084" w14:textId="77777777" w:rsidR="00794EB9" w:rsidRPr="00794EB9" w:rsidRDefault="00794EB9" w:rsidP="00794EB9">
      <w:pPr>
        <w:pStyle w:val="TtuloPG2"/>
        <w:ind w:left="0"/>
        <w:jc w:val="both"/>
        <w:rPr>
          <w:b w:val="0"/>
          <w:color w:val="auto"/>
          <w:sz w:val="22"/>
          <w:szCs w:val="22"/>
        </w:rPr>
      </w:pPr>
    </w:p>
    <w:p w14:paraId="6F8071A5"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2D94C1E7"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Promover la reactivación económica de León mediante un programa integral de apoyos a las iniciativas ciudadanas, de las micro, pequeñas y medianas empresas, así como para la atracción de nuevas inversiones que apoyen en la diversificación industrial del municipio.</w:t>
      </w:r>
    </w:p>
    <w:p w14:paraId="3EDF882B" w14:textId="77777777" w:rsidR="00794EB9" w:rsidRPr="00794EB9" w:rsidRDefault="00794EB9" w:rsidP="00794EB9">
      <w:pPr>
        <w:pStyle w:val="TtuloPG2"/>
        <w:ind w:left="0"/>
        <w:jc w:val="both"/>
        <w:rPr>
          <w:b w:val="0"/>
          <w:color w:val="auto"/>
          <w:sz w:val="22"/>
          <w:szCs w:val="22"/>
        </w:rPr>
      </w:pPr>
    </w:p>
    <w:p w14:paraId="2077BDE1"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2CBC1590"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ab/>
        <w:t xml:space="preserve">Secretaría para la Reactivación Económica de León </w:t>
      </w:r>
    </w:p>
    <w:p w14:paraId="46941153" w14:textId="77777777" w:rsidR="00794EB9" w:rsidRPr="00794EB9" w:rsidRDefault="00794EB9" w:rsidP="00794EB9">
      <w:pPr>
        <w:pStyle w:val="TtuloPG2"/>
        <w:ind w:left="0"/>
        <w:jc w:val="both"/>
        <w:rPr>
          <w:b w:val="0"/>
          <w:color w:val="auto"/>
          <w:sz w:val="22"/>
          <w:szCs w:val="22"/>
        </w:rPr>
      </w:pPr>
    </w:p>
    <w:p w14:paraId="39697917"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1E573C54"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2.1 Autoempleo</w:t>
      </w:r>
    </w:p>
    <w:p w14:paraId="13B2153F"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2.2 Mi Plaza</w:t>
      </w:r>
    </w:p>
    <w:p w14:paraId="31E5C43D"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lastRenderedPageBreak/>
        <w:t>VM.2.3 En Marcha</w:t>
      </w:r>
    </w:p>
    <w:p w14:paraId="56A63465"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2.4 Power Pyme</w:t>
      </w:r>
    </w:p>
    <w:p w14:paraId="4134F789"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2.5 Encadenamiento Productivo y Atracción de Inversiones</w:t>
      </w:r>
    </w:p>
    <w:p w14:paraId="28090B60"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2.6 Impulso Educativo y Nuevas Vocaciones</w:t>
      </w:r>
    </w:p>
    <w:p w14:paraId="7E063C16"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2.7 Innovación y Emprendimiento</w:t>
      </w:r>
    </w:p>
    <w:p w14:paraId="503C0C81" w14:textId="77777777" w:rsidR="00794EB9" w:rsidRPr="00794EB9" w:rsidRDefault="00794EB9" w:rsidP="00794EB9">
      <w:pPr>
        <w:pStyle w:val="TtuloPG2"/>
        <w:ind w:leftChars="0" w:firstLineChars="0" w:firstLine="0"/>
        <w:jc w:val="both"/>
        <w:rPr>
          <w:b w:val="0"/>
          <w:color w:val="auto"/>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0F3C4ED7"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AB89C16"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0748CF10"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VM. 2.1 Autoempleo</w:t>
            </w:r>
          </w:p>
        </w:tc>
      </w:tr>
      <w:tr w:rsidR="00794EB9" w:rsidRPr="00794EB9" w14:paraId="07152FF1"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17A94029"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530F2542"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Ofrecer acompañamiento técnico y la gestión de apoyos económicos a personas que no cuenten con empleo y pretendan emprender negocios o proyectos productivos, y que además requieran del proceso de capacitación hasta que sus proyectos maduren y generen la viabilidad económica y financiera.</w:t>
            </w:r>
          </w:p>
        </w:tc>
      </w:tr>
      <w:tr w:rsidR="00794EB9" w:rsidRPr="00794EB9" w14:paraId="0215D056"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52DCF7A8"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19E620BA" w14:textId="77777777" w:rsidR="00794EB9" w:rsidRPr="00794EB9" w:rsidRDefault="00794EB9" w:rsidP="00794EB9">
      <w:pPr>
        <w:pStyle w:val="PGAcciones"/>
        <w:rPr>
          <w:color w:val="auto"/>
          <w:sz w:val="22"/>
          <w:szCs w:val="22"/>
        </w:rPr>
      </w:pPr>
      <w:r w:rsidRPr="00794EB9">
        <w:rPr>
          <w:color w:val="auto"/>
          <w:sz w:val="22"/>
          <w:szCs w:val="22"/>
        </w:rPr>
        <w:t>VM. 2.1.1 Desarrollar esquemas de apoyo al autoempleo.</w:t>
      </w:r>
    </w:p>
    <w:p w14:paraId="2C823CDE" w14:textId="77777777" w:rsidR="00794EB9" w:rsidRPr="00794EB9" w:rsidRDefault="00794EB9" w:rsidP="00794EB9">
      <w:pPr>
        <w:pStyle w:val="PGAcciones"/>
        <w:rPr>
          <w:color w:val="auto"/>
          <w:sz w:val="22"/>
          <w:szCs w:val="22"/>
        </w:rPr>
      </w:pPr>
      <w:r w:rsidRPr="00794EB9">
        <w:rPr>
          <w:color w:val="auto"/>
          <w:sz w:val="22"/>
          <w:szCs w:val="22"/>
        </w:rPr>
        <w:t>VM. 2.1.2 Impartir cursos de capacitación para la vida y el trabajo.</w:t>
      </w:r>
    </w:p>
    <w:p w14:paraId="1B65CB18" w14:textId="77777777" w:rsidR="00794EB9" w:rsidRPr="00794EB9" w:rsidRDefault="00794EB9" w:rsidP="00794EB9">
      <w:pPr>
        <w:pStyle w:val="PGAcciones"/>
        <w:rPr>
          <w:color w:val="auto"/>
          <w:sz w:val="22"/>
          <w:szCs w:val="22"/>
        </w:rPr>
      </w:pPr>
      <w:r w:rsidRPr="00794EB9">
        <w:rPr>
          <w:color w:val="auto"/>
          <w:sz w:val="22"/>
          <w:szCs w:val="22"/>
        </w:rPr>
        <w:t>VM. 2.1.3 Promover la Feria de servicios y visorias para el autoempleo (incubadoras).</w:t>
      </w:r>
    </w:p>
    <w:p w14:paraId="2B2D2545" w14:textId="77777777" w:rsidR="00794EB9" w:rsidRPr="00794EB9" w:rsidRDefault="00794EB9" w:rsidP="00794EB9">
      <w:pPr>
        <w:jc w:val="both"/>
        <w:rPr>
          <w:rFonts w:ascii="Arial" w:hAnsi="Arial" w:cs="Arial"/>
          <w:sz w:val="22"/>
          <w:szCs w:val="22"/>
        </w:rPr>
      </w:pPr>
    </w:p>
    <w:p w14:paraId="7DFBA1D4" w14:textId="77777777" w:rsidR="00794EB9" w:rsidRPr="00794EB9" w:rsidRDefault="00794EB9" w:rsidP="00794EB9">
      <w:pPr>
        <w:ind w:hanging="2"/>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318334CD"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97C3315"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6CC08A36"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VM. 2.2 Mi Plaza</w:t>
            </w:r>
          </w:p>
        </w:tc>
      </w:tr>
      <w:tr w:rsidR="00794EB9" w:rsidRPr="00794EB9" w14:paraId="76066F1D"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118D67A1"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78CD4614"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 xml:space="preserve">Llevar a cabo un programa de fortalecimiento del comercio y el consumo.   </w:t>
            </w:r>
          </w:p>
        </w:tc>
      </w:tr>
      <w:tr w:rsidR="00794EB9" w:rsidRPr="00794EB9" w14:paraId="3E4A11A2"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6FE1A37E"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3A934D3E" w14:textId="77777777" w:rsidR="00794EB9" w:rsidRPr="00794EB9" w:rsidRDefault="00794EB9" w:rsidP="00794EB9">
      <w:pPr>
        <w:pStyle w:val="PGAcciones"/>
        <w:rPr>
          <w:color w:val="auto"/>
          <w:sz w:val="22"/>
          <w:szCs w:val="22"/>
        </w:rPr>
      </w:pPr>
      <w:r w:rsidRPr="00794EB9">
        <w:rPr>
          <w:color w:val="auto"/>
          <w:sz w:val="22"/>
          <w:szCs w:val="22"/>
        </w:rPr>
        <w:t>VM. 2.2.1 Implementar un programa de fortalecimiento orientado al Comercio y el Consumo.</w:t>
      </w:r>
    </w:p>
    <w:p w14:paraId="400711C0" w14:textId="77777777" w:rsidR="00794EB9" w:rsidRPr="00794EB9" w:rsidRDefault="00794EB9" w:rsidP="00794EB9">
      <w:pPr>
        <w:jc w:val="both"/>
        <w:rPr>
          <w:rFonts w:ascii="Arial" w:hAnsi="Arial" w:cs="Arial"/>
          <w:b/>
          <w:sz w:val="22"/>
          <w:szCs w:val="22"/>
        </w:rPr>
      </w:pPr>
    </w:p>
    <w:p w14:paraId="6A40BE80"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791"/>
        <w:gridCol w:w="47"/>
      </w:tblGrid>
      <w:tr w:rsidR="00794EB9" w:rsidRPr="00794EB9" w14:paraId="51B14C6E" w14:textId="77777777" w:rsidTr="00C307FB">
        <w:trPr>
          <w:trHeight w:val="57"/>
        </w:trPr>
        <w:tc>
          <w:tcPr>
            <w:tcW w:w="5000" w:type="pct"/>
            <w:gridSpan w:val="2"/>
            <w:tcBorders>
              <w:top w:val="nil"/>
              <w:left w:val="nil"/>
              <w:bottom w:val="nil"/>
              <w:right w:val="nil"/>
            </w:tcBorders>
            <w:shd w:val="clear" w:color="auto" w:fill="F2F2F2" w:themeFill="background1" w:themeFillShade="F2"/>
            <w:tcMar>
              <w:top w:w="20" w:type="dxa"/>
              <w:left w:w="20" w:type="dxa"/>
              <w:bottom w:w="100" w:type="dxa"/>
              <w:right w:w="20" w:type="dxa"/>
            </w:tcMar>
          </w:tcPr>
          <w:p w14:paraId="50D926D7"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35B3E6FD"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VM.2.3 En Marcha</w:t>
            </w:r>
          </w:p>
        </w:tc>
      </w:tr>
      <w:tr w:rsidR="00794EB9" w:rsidRPr="00794EB9" w14:paraId="6D9795F4" w14:textId="77777777" w:rsidTr="00C307FB">
        <w:trPr>
          <w:trHeight w:val="57"/>
        </w:trPr>
        <w:tc>
          <w:tcPr>
            <w:tcW w:w="5000" w:type="pct"/>
            <w:gridSpan w:val="2"/>
            <w:tcBorders>
              <w:top w:val="nil"/>
              <w:left w:val="nil"/>
              <w:bottom w:val="nil"/>
              <w:right w:val="nil"/>
            </w:tcBorders>
            <w:tcMar>
              <w:top w:w="20" w:type="dxa"/>
              <w:left w:w="20" w:type="dxa"/>
              <w:bottom w:w="100" w:type="dxa"/>
              <w:right w:w="20" w:type="dxa"/>
            </w:tcMar>
          </w:tcPr>
          <w:p w14:paraId="19CDED9B"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0C211E64"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Proporcionar apoyos tipo créditos para negocios de comercio y servicios, así como el desarrollo de una plataforma digital para facilitar la promoción online, venta y distribución de productos y servicios leoneses.</w:t>
            </w:r>
          </w:p>
        </w:tc>
      </w:tr>
      <w:tr w:rsidR="00794EB9" w:rsidRPr="00794EB9" w14:paraId="0E8EB91B" w14:textId="77777777" w:rsidTr="00C307FB">
        <w:trPr>
          <w:trHeight w:val="57"/>
        </w:trPr>
        <w:tc>
          <w:tcPr>
            <w:tcW w:w="4977"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6B60913F"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c>
          <w:tcPr>
            <w:tcW w:w="23"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2B11565" w14:textId="77777777" w:rsidR="00794EB9" w:rsidRPr="00794EB9" w:rsidRDefault="00794EB9" w:rsidP="00C307FB">
            <w:pPr>
              <w:keepLines/>
              <w:ind w:hanging="2"/>
              <w:jc w:val="both"/>
              <w:rPr>
                <w:rFonts w:ascii="Arial" w:hAnsi="Arial" w:cs="Arial"/>
                <w:sz w:val="22"/>
                <w:szCs w:val="22"/>
              </w:rPr>
            </w:pPr>
            <w:r w:rsidRPr="00794EB9">
              <w:rPr>
                <w:rFonts w:ascii="Arial" w:hAnsi="Arial" w:cs="Arial"/>
                <w:sz w:val="22"/>
                <w:szCs w:val="22"/>
              </w:rPr>
              <w:t xml:space="preserve"> </w:t>
            </w:r>
          </w:p>
        </w:tc>
      </w:tr>
    </w:tbl>
    <w:p w14:paraId="14600C90" w14:textId="77777777" w:rsidR="00794EB9" w:rsidRPr="00794EB9" w:rsidRDefault="00794EB9" w:rsidP="00794EB9">
      <w:pPr>
        <w:pStyle w:val="PGAcciones"/>
        <w:rPr>
          <w:color w:val="auto"/>
          <w:sz w:val="22"/>
          <w:szCs w:val="22"/>
        </w:rPr>
      </w:pPr>
      <w:r w:rsidRPr="00794EB9">
        <w:rPr>
          <w:color w:val="auto"/>
          <w:sz w:val="22"/>
          <w:szCs w:val="22"/>
        </w:rPr>
        <w:t>VM. 2.3.1 Brindar apoyo a familias para el desarrollo de negocios de comercio y servicios.</w:t>
      </w:r>
    </w:p>
    <w:p w14:paraId="43CEBC4A" w14:textId="77777777" w:rsidR="00794EB9" w:rsidRPr="00794EB9" w:rsidRDefault="00794EB9" w:rsidP="00794EB9">
      <w:pPr>
        <w:pStyle w:val="PGAcciones"/>
        <w:rPr>
          <w:color w:val="auto"/>
          <w:sz w:val="22"/>
          <w:szCs w:val="22"/>
        </w:rPr>
      </w:pPr>
      <w:r w:rsidRPr="00794EB9">
        <w:rPr>
          <w:color w:val="auto"/>
          <w:sz w:val="22"/>
          <w:szCs w:val="22"/>
        </w:rPr>
        <w:t>VM. 2.3.2 Desarrollar una plataforma de digital para facilitar la promoción online, venta y distribución de productos y servicios leoneses - León Market.</w:t>
      </w:r>
    </w:p>
    <w:p w14:paraId="6D1A43C3" w14:textId="77777777" w:rsidR="00794EB9" w:rsidRPr="00794EB9" w:rsidRDefault="00794EB9" w:rsidP="00794EB9">
      <w:pPr>
        <w:jc w:val="both"/>
        <w:rPr>
          <w:rFonts w:ascii="Arial" w:hAnsi="Arial" w:cs="Arial"/>
          <w:b/>
          <w:sz w:val="22"/>
          <w:szCs w:val="22"/>
        </w:rPr>
      </w:pPr>
    </w:p>
    <w:p w14:paraId="23A68AB9"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7BDD656A"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724B0DA"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65A16646"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lastRenderedPageBreak/>
              <w:t>VM. 2.4 Power Pyme</w:t>
            </w:r>
          </w:p>
        </w:tc>
      </w:tr>
      <w:tr w:rsidR="00794EB9" w:rsidRPr="00794EB9" w14:paraId="24374DA4"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7788997A"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lastRenderedPageBreak/>
              <w:t>Propósito u objetivo del proyecto</w:t>
            </w:r>
          </w:p>
          <w:p w14:paraId="4E74D4D5"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Desarrollar esquemas de financiamiento para las Micro, Pequeñas y Medianas Empresas, así como foros de negocios que propicien la reactivación económica de este sector.</w:t>
            </w:r>
          </w:p>
          <w:p w14:paraId="7315BE6D" w14:textId="77777777" w:rsidR="00794EB9" w:rsidRPr="00794EB9" w:rsidRDefault="00794EB9" w:rsidP="00C307FB">
            <w:pPr>
              <w:widowControl w:val="0"/>
              <w:ind w:hanging="2"/>
              <w:jc w:val="both"/>
              <w:rPr>
                <w:rFonts w:ascii="Arial" w:hAnsi="Arial" w:cs="Arial"/>
                <w:sz w:val="22"/>
                <w:szCs w:val="22"/>
              </w:rPr>
            </w:pPr>
          </w:p>
        </w:tc>
      </w:tr>
      <w:tr w:rsidR="00794EB9" w:rsidRPr="00794EB9" w14:paraId="390E8C3D"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8AA51BC"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7E26CC35" w14:textId="77777777" w:rsidR="00794EB9" w:rsidRPr="00794EB9" w:rsidRDefault="00794EB9" w:rsidP="00794EB9">
      <w:pPr>
        <w:pStyle w:val="PGAcciones"/>
        <w:rPr>
          <w:color w:val="auto"/>
          <w:sz w:val="22"/>
          <w:szCs w:val="22"/>
        </w:rPr>
      </w:pPr>
      <w:r w:rsidRPr="00794EB9">
        <w:rPr>
          <w:color w:val="auto"/>
          <w:sz w:val="22"/>
          <w:szCs w:val="22"/>
        </w:rPr>
        <w:t>VM. 2.4.1 Desarrollar esquemas de financiamiento para la reactivación económica.</w:t>
      </w:r>
    </w:p>
    <w:p w14:paraId="31751B78" w14:textId="77777777" w:rsidR="00794EB9" w:rsidRPr="00794EB9" w:rsidRDefault="00794EB9" w:rsidP="00794EB9">
      <w:pPr>
        <w:pStyle w:val="PGAcciones"/>
        <w:rPr>
          <w:color w:val="auto"/>
          <w:sz w:val="22"/>
          <w:szCs w:val="22"/>
        </w:rPr>
      </w:pPr>
      <w:r w:rsidRPr="00794EB9">
        <w:rPr>
          <w:color w:val="auto"/>
          <w:sz w:val="22"/>
          <w:szCs w:val="22"/>
        </w:rPr>
        <w:t>VM. 2.4.2 Promover la realización de Foros de Negocios y Networking.</w:t>
      </w:r>
    </w:p>
    <w:p w14:paraId="74AB9B24" w14:textId="77777777" w:rsidR="00794EB9" w:rsidRPr="00794EB9" w:rsidRDefault="00794EB9" w:rsidP="00794EB9">
      <w:pPr>
        <w:jc w:val="both"/>
        <w:rPr>
          <w:rFonts w:ascii="Arial" w:hAnsi="Arial" w:cs="Arial"/>
          <w:b/>
          <w:sz w:val="22"/>
          <w:szCs w:val="22"/>
        </w:rPr>
      </w:pPr>
    </w:p>
    <w:p w14:paraId="766B9808" w14:textId="77777777" w:rsidR="00794EB9" w:rsidRPr="00794EB9" w:rsidRDefault="00794EB9" w:rsidP="00794EB9">
      <w:pPr>
        <w:jc w:val="both"/>
        <w:rPr>
          <w:rFonts w:ascii="Arial" w:hAnsi="Arial" w:cs="Arial"/>
          <w:sz w:val="22"/>
          <w:szCs w:val="22"/>
        </w:rPr>
      </w:pPr>
    </w:p>
    <w:tbl>
      <w:tblPr>
        <w:tblW w:w="5083"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85"/>
      </w:tblGrid>
      <w:tr w:rsidR="00794EB9" w:rsidRPr="00794EB9" w14:paraId="43A59837"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8B450BD"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588A1071"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VM. 2.5 Encadenamiento Productivo y Atracción de Inversiones</w:t>
            </w:r>
          </w:p>
        </w:tc>
      </w:tr>
      <w:tr w:rsidR="00794EB9" w:rsidRPr="00794EB9" w14:paraId="1E18863B"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42CD55AA"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5A5C32DF"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Promover el desarrollo de cadenas productivas y la atracción de inversiones en nuevos sectores económicos, además de fortalecer los tradicionales, con subsidios para actividades agropecuarias y apoyos para infraestructura y equipamiento.</w:t>
            </w:r>
          </w:p>
        </w:tc>
      </w:tr>
      <w:tr w:rsidR="00794EB9" w:rsidRPr="00794EB9" w14:paraId="5D5195EC"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DE24A85"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1DF17520" w14:textId="77777777" w:rsidR="00794EB9" w:rsidRPr="00794EB9" w:rsidRDefault="00794EB9" w:rsidP="00794EB9">
      <w:pPr>
        <w:pStyle w:val="PGAcciones"/>
        <w:rPr>
          <w:color w:val="auto"/>
          <w:sz w:val="22"/>
          <w:szCs w:val="22"/>
        </w:rPr>
      </w:pPr>
      <w:r w:rsidRPr="00794EB9">
        <w:rPr>
          <w:color w:val="auto"/>
          <w:sz w:val="22"/>
          <w:szCs w:val="22"/>
        </w:rPr>
        <w:t>VM. 2.5.1 Promover las inversiones con base al impulso de las 9 vocaciones estratégicas de León.</w:t>
      </w:r>
    </w:p>
    <w:p w14:paraId="5326FFCD" w14:textId="77777777" w:rsidR="00794EB9" w:rsidRPr="00794EB9" w:rsidRDefault="00794EB9" w:rsidP="00794EB9">
      <w:pPr>
        <w:pStyle w:val="PGAcciones"/>
        <w:rPr>
          <w:color w:val="auto"/>
          <w:sz w:val="22"/>
          <w:szCs w:val="22"/>
        </w:rPr>
      </w:pPr>
      <w:r w:rsidRPr="00794EB9">
        <w:rPr>
          <w:color w:val="auto"/>
          <w:sz w:val="22"/>
          <w:szCs w:val="22"/>
        </w:rPr>
        <w:t>VM. 2.5.2 Establecer un esquema de atracción de inversiones.</w:t>
      </w:r>
    </w:p>
    <w:p w14:paraId="1A3037A3" w14:textId="77777777" w:rsidR="00794EB9" w:rsidRPr="00794EB9" w:rsidRDefault="00794EB9" w:rsidP="00794EB9">
      <w:pPr>
        <w:pStyle w:val="PGAcciones"/>
        <w:rPr>
          <w:color w:val="auto"/>
          <w:sz w:val="22"/>
          <w:szCs w:val="22"/>
        </w:rPr>
      </w:pPr>
      <w:r w:rsidRPr="00794EB9">
        <w:rPr>
          <w:color w:val="auto"/>
          <w:sz w:val="22"/>
          <w:szCs w:val="22"/>
        </w:rPr>
        <w:t>VM. 2.5.3 Brindar apoyos para productores agropecuarios.</w:t>
      </w:r>
    </w:p>
    <w:p w14:paraId="46D32BBA" w14:textId="77777777" w:rsidR="00794EB9" w:rsidRPr="00794EB9" w:rsidRDefault="00794EB9" w:rsidP="00794EB9">
      <w:pPr>
        <w:pStyle w:val="PGAcciones"/>
        <w:rPr>
          <w:color w:val="auto"/>
          <w:sz w:val="22"/>
          <w:szCs w:val="22"/>
        </w:rPr>
      </w:pPr>
      <w:r w:rsidRPr="00794EB9">
        <w:rPr>
          <w:color w:val="auto"/>
          <w:sz w:val="22"/>
          <w:szCs w:val="22"/>
        </w:rPr>
        <w:t>VM. 2.5.4 Brindar apoyos para la infraestructura y equipamiento en zonas industriales consolidadas.</w:t>
      </w:r>
    </w:p>
    <w:p w14:paraId="2E414B4C" w14:textId="77777777" w:rsidR="00794EB9" w:rsidRPr="00794EB9" w:rsidRDefault="00794EB9" w:rsidP="00794EB9">
      <w:pPr>
        <w:jc w:val="both"/>
        <w:rPr>
          <w:rFonts w:ascii="Arial" w:hAnsi="Arial" w:cs="Arial"/>
          <w:b/>
          <w:sz w:val="22"/>
          <w:szCs w:val="22"/>
        </w:rPr>
      </w:pPr>
    </w:p>
    <w:p w14:paraId="19F27C73"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3FEC81D9"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069D1974"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53E62A2A"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VM. 2.6 Impulso Educativo y Nuevas Vocaciones</w:t>
            </w:r>
          </w:p>
        </w:tc>
      </w:tr>
      <w:tr w:rsidR="00794EB9" w:rsidRPr="00794EB9" w14:paraId="055D9FA1"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6F3E2D95"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3F679F78"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Impulsar nuevos modelos educativos acordes a las necesidades de los sectores económicos emergentes en conjunto con las instituciones educativas para el desarrollo de nuevas vocaciones</w:t>
            </w:r>
          </w:p>
        </w:tc>
      </w:tr>
      <w:tr w:rsidR="00794EB9" w:rsidRPr="00794EB9" w14:paraId="6613E487"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3C19F94"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24330150" w14:textId="77777777" w:rsidR="00794EB9" w:rsidRPr="00794EB9" w:rsidRDefault="00794EB9" w:rsidP="00794EB9">
      <w:pPr>
        <w:pStyle w:val="PGAcciones"/>
        <w:rPr>
          <w:color w:val="auto"/>
          <w:sz w:val="22"/>
          <w:szCs w:val="22"/>
        </w:rPr>
      </w:pPr>
      <w:r w:rsidRPr="00794EB9">
        <w:rPr>
          <w:color w:val="auto"/>
          <w:sz w:val="22"/>
          <w:szCs w:val="22"/>
        </w:rPr>
        <w:t xml:space="preserve">VM. 2.6.1 Promover la realización de foros orientados a nuevos modelos educativos. </w:t>
      </w:r>
    </w:p>
    <w:p w14:paraId="53C60D9D" w14:textId="77777777" w:rsidR="00794EB9" w:rsidRPr="00794EB9" w:rsidRDefault="00794EB9" w:rsidP="00794EB9">
      <w:pPr>
        <w:pStyle w:val="PGAcciones"/>
        <w:rPr>
          <w:color w:val="auto"/>
          <w:sz w:val="22"/>
          <w:szCs w:val="22"/>
        </w:rPr>
      </w:pPr>
      <w:r w:rsidRPr="00794EB9">
        <w:rPr>
          <w:color w:val="auto"/>
          <w:sz w:val="22"/>
          <w:szCs w:val="22"/>
        </w:rPr>
        <w:t>VM 2.6.2 Alfabetizar a personas para que puedan desarrollarse en el ámbito educativo, laboral y social. (Convenio con INAEBA)</w:t>
      </w:r>
    </w:p>
    <w:p w14:paraId="700518AC" w14:textId="77777777" w:rsidR="00794EB9" w:rsidRPr="00794EB9" w:rsidRDefault="00794EB9" w:rsidP="00794EB9">
      <w:pPr>
        <w:pStyle w:val="PGAcciones"/>
        <w:rPr>
          <w:color w:val="auto"/>
          <w:sz w:val="22"/>
          <w:szCs w:val="22"/>
        </w:rPr>
      </w:pPr>
      <w:r w:rsidRPr="00794EB9">
        <w:rPr>
          <w:color w:val="auto"/>
          <w:sz w:val="22"/>
          <w:szCs w:val="22"/>
        </w:rPr>
        <w:t>VM 2.6.3 Atender a personas que no asisten a la escuela y que se encuentran en situación de rezago educativo. (Convenio INAEBA)</w:t>
      </w:r>
    </w:p>
    <w:p w14:paraId="0E907A1F" w14:textId="77777777" w:rsidR="00794EB9" w:rsidRPr="00794EB9" w:rsidRDefault="00794EB9" w:rsidP="00794EB9">
      <w:pPr>
        <w:jc w:val="both"/>
        <w:rPr>
          <w:rFonts w:ascii="Arial" w:hAnsi="Arial" w:cs="Arial"/>
          <w:b/>
          <w:sz w:val="22"/>
          <w:szCs w:val="22"/>
        </w:rPr>
      </w:pPr>
    </w:p>
    <w:p w14:paraId="57A99FA6"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4789DB48"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15E7979"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4066EC73"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VM. 2.7 Innovación y Emprendimiento</w:t>
            </w:r>
          </w:p>
        </w:tc>
      </w:tr>
      <w:tr w:rsidR="00794EB9" w:rsidRPr="00794EB9" w14:paraId="3E502DD8"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0EAE3B64"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lastRenderedPageBreak/>
              <w:t>Propósito u objetivo del proyecto</w:t>
            </w:r>
          </w:p>
          <w:p w14:paraId="4D2923D3"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Generar acciones para la innovación y el emprendimiento, con énfasis en el desarrollo tecnológico y en la industria 4.0, así como la economía naranja.</w:t>
            </w:r>
          </w:p>
        </w:tc>
      </w:tr>
      <w:tr w:rsidR="00794EB9" w:rsidRPr="00794EB9" w14:paraId="60CEC335"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4FB894B"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7723B499" w14:textId="77777777" w:rsidR="00794EB9" w:rsidRPr="00794EB9" w:rsidRDefault="00794EB9" w:rsidP="00794EB9">
      <w:pPr>
        <w:pStyle w:val="PGAcciones"/>
        <w:rPr>
          <w:color w:val="auto"/>
          <w:sz w:val="22"/>
          <w:szCs w:val="22"/>
        </w:rPr>
      </w:pPr>
      <w:r w:rsidRPr="00794EB9">
        <w:rPr>
          <w:color w:val="auto"/>
          <w:sz w:val="22"/>
          <w:szCs w:val="22"/>
        </w:rPr>
        <w:t>VM. 2.7.1 Impulsar la economía naranja y el desarrollo de Laboratorios de Innovación para el apoyo a jóvenes emprendedores con énfasis en desarrollo tecnológico.</w:t>
      </w:r>
    </w:p>
    <w:p w14:paraId="2FD44473" w14:textId="77777777" w:rsidR="00794EB9" w:rsidRPr="00794EB9" w:rsidRDefault="00794EB9" w:rsidP="00794EB9">
      <w:pPr>
        <w:ind w:hanging="2"/>
        <w:rPr>
          <w:rFonts w:ascii="Arial" w:hAnsi="Arial" w:cs="Arial"/>
          <w:sz w:val="22"/>
          <w:szCs w:val="22"/>
        </w:rPr>
      </w:pPr>
    </w:p>
    <w:p w14:paraId="7D52B4C8" w14:textId="77777777" w:rsidR="00794EB9" w:rsidRPr="00794EB9" w:rsidRDefault="00794EB9" w:rsidP="00794EB9">
      <w:pPr>
        <w:ind w:hanging="2"/>
        <w:rPr>
          <w:rFonts w:ascii="Arial" w:hAnsi="Arial" w:cs="Arial"/>
          <w:sz w:val="22"/>
          <w:szCs w:val="22"/>
        </w:rPr>
      </w:pPr>
    </w:p>
    <w:p w14:paraId="68EE6805" w14:textId="77777777" w:rsidR="00794EB9" w:rsidRPr="00794EB9" w:rsidRDefault="00794EB9" w:rsidP="00794EB9">
      <w:pPr>
        <w:pStyle w:val="TtuloPG2"/>
        <w:ind w:left="0"/>
        <w:jc w:val="both"/>
        <w:rPr>
          <w:bCs/>
          <w:color w:val="auto"/>
          <w:sz w:val="22"/>
          <w:szCs w:val="22"/>
        </w:rPr>
      </w:pPr>
      <w:r w:rsidRPr="00794EB9">
        <w:rPr>
          <w:bCs/>
          <w:color w:val="auto"/>
          <w:sz w:val="22"/>
          <w:szCs w:val="22"/>
        </w:rPr>
        <w:t>ESTRATEGIA 6. INFRAESTRUCTURA PARA EL FUTURO.</w:t>
      </w:r>
    </w:p>
    <w:p w14:paraId="1D198254" w14:textId="77777777" w:rsidR="00794EB9" w:rsidRPr="00794EB9" w:rsidRDefault="00794EB9" w:rsidP="00794EB9">
      <w:pPr>
        <w:pStyle w:val="TtuloPG2"/>
        <w:ind w:left="0"/>
        <w:jc w:val="both"/>
        <w:rPr>
          <w:b w:val="0"/>
          <w:bCs/>
          <w:color w:val="auto"/>
          <w:sz w:val="22"/>
          <w:szCs w:val="22"/>
          <w:lang w:val="es-ES" w:eastAsia="es-MX"/>
        </w:rPr>
      </w:pPr>
    </w:p>
    <w:p w14:paraId="76A98350"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Desarrollo ordenado del territorio metropolitano y ampliación de la cobertura de infraestructura vial y digital con base en estrategias innovadoras y la aplicación de tecnologías para la conectividad digital en beneficio de leoneses y visitantes.</w:t>
      </w:r>
    </w:p>
    <w:p w14:paraId="601F9A1C" w14:textId="77777777" w:rsidR="00794EB9" w:rsidRPr="00794EB9" w:rsidRDefault="00794EB9" w:rsidP="00794EB9">
      <w:pPr>
        <w:pStyle w:val="TtuloPG2"/>
        <w:ind w:leftChars="0" w:firstLineChars="0" w:firstLine="0"/>
        <w:jc w:val="both"/>
        <w:rPr>
          <w:b w:val="0"/>
          <w:bCs/>
          <w:color w:val="auto"/>
          <w:sz w:val="22"/>
          <w:szCs w:val="22"/>
          <w:lang w:val="es-ES" w:eastAsia="es-MX"/>
        </w:rPr>
      </w:pPr>
    </w:p>
    <w:p w14:paraId="3767FC5D"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Programas:</w:t>
      </w:r>
    </w:p>
    <w:p w14:paraId="2B494D9C"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VM.3. León 450</w:t>
      </w:r>
    </w:p>
    <w:p w14:paraId="36331AA3" w14:textId="77777777" w:rsidR="00794EB9" w:rsidRPr="00794EB9" w:rsidRDefault="00794EB9" w:rsidP="00794EB9">
      <w:pPr>
        <w:pStyle w:val="TtuloPG2"/>
        <w:ind w:left="0"/>
        <w:jc w:val="both"/>
        <w:rPr>
          <w:color w:val="auto"/>
          <w:sz w:val="22"/>
          <w:szCs w:val="22"/>
          <w:lang w:val="es-ES" w:eastAsia="es-MX"/>
        </w:rPr>
      </w:pPr>
    </w:p>
    <w:p w14:paraId="6191A532" w14:textId="77777777" w:rsidR="00794EB9" w:rsidRPr="00794EB9" w:rsidRDefault="00794EB9" w:rsidP="00794EB9">
      <w:pPr>
        <w:jc w:val="both"/>
        <w:rPr>
          <w:rFonts w:ascii="Arial" w:hAnsi="Arial" w:cs="Arial"/>
          <w:b/>
          <w:sz w:val="22"/>
          <w:szCs w:val="22"/>
          <w:lang w:eastAsia="es-MX"/>
        </w:rPr>
      </w:pPr>
    </w:p>
    <w:p w14:paraId="2B7B6208" w14:textId="77777777" w:rsidR="00794EB9" w:rsidRPr="00794EB9" w:rsidRDefault="00794EB9" w:rsidP="00794EB9">
      <w:pPr>
        <w:pStyle w:val="TtuloPG2"/>
        <w:ind w:left="0"/>
        <w:jc w:val="both"/>
        <w:rPr>
          <w:color w:val="auto"/>
          <w:sz w:val="22"/>
          <w:szCs w:val="22"/>
          <w:lang w:val="es-ES" w:eastAsia="es-MX"/>
        </w:rPr>
      </w:pPr>
      <w:r w:rsidRPr="00794EB9">
        <w:rPr>
          <w:color w:val="auto"/>
          <w:sz w:val="22"/>
          <w:szCs w:val="22"/>
          <w:lang w:val="es-ES" w:eastAsia="es-MX"/>
        </w:rPr>
        <w:t>PROGRAMA: VM3. LEÓN 450</w:t>
      </w:r>
    </w:p>
    <w:p w14:paraId="376C91D7" w14:textId="77777777" w:rsidR="00794EB9" w:rsidRPr="00794EB9" w:rsidRDefault="00794EB9" w:rsidP="00794EB9">
      <w:pPr>
        <w:ind w:hanging="2"/>
        <w:jc w:val="both"/>
        <w:rPr>
          <w:rFonts w:ascii="Arial" w:hAnsi="Arial" w:cs="Arial"/>
          <w:sz w:val="22"/>
          <w:szCs w:val="22"/>
        </w:rPr>
      </w:pPr>
    </w:p>
    <w:p w14:paraId="5B23C324"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06021459"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Consiste en la realización de proyectos y planeación estratégica con impacto en la infraestructura y conectividad municipal.</w:t>
      </w:r>
    </w:p>
    <w:p w14:paraId="18D34CC3" w14:textId="77777777" w:rsidR="00794EB9" w:rsidRPr="00794EB9" w:rsidRDefault="00794EB9" w:rsidP="00794EB9">
      <w:pPr>
        <w:pStyle w:val="TtuloPG2"/>
        <w:ind w:leftChars="0" w:firstLineChars="0" w:firstLine="0"/>
        <w:jc w:val="both"/>
        <w:rPr>
          <w:color w:val="auto"/>
          <w:sz w:val="22"/>
          <w:szCs w:val="22"/>
        </w:rPr>
      </w:pPr>
    </w:p>
    <w:p w14:paraId="7D3491AE"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64C5ACEE"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Plantea el desarrollo y consolidación de la ciudad, pero con una adecuada articulación la zona metropolitana.</w:t>
      </w:r>
    </w:p>
    <w:p w14:paraId="0E8815E2" w14:textId="77777777" w:rsidR="00794EB9" w:rsidRPr="00794EB9" w:rsidRDefault="00794EB9" w:rsidP="00794EB9">
      <w:pPr>
        <w:pStyle w:val="TtuloPG2"/>
        <w:ind w:left="0"/>
        <w:jc w:val="both"/>
        <w:rPr>
          <w:b w:val="0"/>
          <w:color w:val="auto"/>
          <w:sz w:val="22"/>
          <w:szCs w:val="22"/>
        </w:rPr>
      </w:pPr>
    </w:p>
    <w:p w14:paraId="15BC3667"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707FC2D7"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Establecer el sustento de planeación, infraestructura y conectividad para el desarrollo del proyecto de gran visión: León 450, que plantea el desarrollo de la ciudad y su zona metropolitana para las siguientes décadas.</w:t>
      </w:r>
    </w:p>
    <w:p w14:paraId="70629F80" w14:textId="77777777" w:rsidR="00794EB9" w:rsidRPr="00794EB9" w:rsidRDefault="00794EB9" w:rsidP="00794EB9">
      <w:pPr>
        <w:pStyle w:val="TtuloPG2"/>
        <w:ind w:left="0"/>
        <w:jc w:val="both"/>
        <w:rPr>
          <w:b w:val="0"/>
          <w:color w:val="auto"/>
          <w:sz w:val="22"/>
          <w:szCs w:val="22"/>
        </w:rPr>
      </w:pPr>
    </w:p>
    <w:p w14:paraId="128DD2D6"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65DE0D6B"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ab/>
        <w:t>Instituto Municipal de Planeación</w:t>
      </w:r>
    </w:p>
    <w:p w14:paraId="12B5AC1F" w14:textId="77777777" w:rsidR="00794EB9" w:rsidRPr="00794EB9" w:rsidRDefault="00794EB9" w:rsidP="00794EB9">
      <w:pPr>
        <w:pStyle w:val="SubttuloPG"/>
        <w:ind w:left="0" w:hanging="2"/>
        <w:rPr>
          <w:rFonts w:ascii="Arial" w:hAnsi="Arial"/>
          <w:b w:val="0"/>
          <w:i/>
          <w:color w:val="auto"/>
          <w:sz w:val="22"/>
          <w:szCs w:val="22"/>
        </w:rPr>
      </w:pPr>
    </w:p>
    <w:p w14:paraId="5E98EA77"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2B67C2D4"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3.1 Visión Metropolitana</w:t>
      </w:r>
    </w:p>
    <w:p w14:paraId="46AA1290"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3.2 Infraestructura Visión León 450</w:t>
      </w:r>
    </w:p>
    <w:p w14:paraId="0596E619"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VM.3.3 Conectividad para todos</w:t>
      </w:r>
    </w:p>
    <w:p w14:paraId="09060103" w14:textId="77777777" w:rsidR="00794EB9" w:rsidRPr="00794EB9" w:rsidRDefault="00794EB9" w:rsidP="00794EB9">
      <w:pPr>
        <w:keepLines/>
        <w:ind w:hanging="2"/>
        <w:jc w:val="both"/>
        <w:rPr>
          <w:rFonts w:ascii="Arial" w:hAnsi="Arial" w:cs="Arial"/>
          <w:sz w:val="22"/>
          <w:szCs w:val="22"/>
        </w:rPr>
      </w:pPr>
    </w:p>
    <w:p w14:paraId="46617ED8" w14:textId="77777777" w:rsidR="00794EB9" w:rsidRPr="00794EB9" w:rsidRDefault="00794EB9" w:rsidP="00794EB9">
      <w:pPr>
        <w:keepLines/>
        <w:ind w:hanging="2"/>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519958A8"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54C0B7F"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7161D79B"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VM. 3.1 Visión Metropolitana</w:t>
            </w:r>
          </w:p>
        </w:tc>
      </w:tr>
      <w:tr w:rsidR="00794EB9" w:rsidRPr="00794EB9" w14:paraId="50BED191"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02EB0EE9" w14:textId="77777777" w:rsidR="00794EB9" w:rsidRPr="00794EB9" w:rsidRDefault="00794EB9" w:rsidP="00C307FB">
            <w:pPr>
              <w:keepLines/>
              <w:ind w:hanging="2"/>
              <w:rPr>
                <w:rFonts w:ascii="Arial" w:hAnsi="Arial" w:cs="Arial"/>
                <w:b/>
                <w:sz w:val="22"/>
                <w:szCs w:val="22"/>
              </w:rPr>
            </w:pPr>
            <w:r w:rsidRPr="00794EB9">
              <w:rPr>
                <w:rFonts w:ascii="Arial" w:hAnsi="Arial" w:cs="Arial"/>
                <w:b/>
                <w:sz w:val="22"/>
                <w:szCs w:val="22"/>
              </w:rPr>
              <w:t>Propósito u objetivo del proyecto</w:t>
            </w:r>
          </w:p>
          <w:p w14:paraId="0EA7A703"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 xml:space="preserve">Desarrollar estudios para establecer estrategias e instrumentos de desarrollo metropolitano, comenzando con los servicios intermunicipales de movilidad, agua potable y drenaje y el </w:t>
            </w:r>
            <w:r w:rsidRPr="00794EB9">
              <w:rPr>
                <w:rFonts w:ascii="Arial" w:hAnsi="Arial" w:cs="Arial"/>
                <w:sz w:val="22"/>
                <w:szCs w:val="22"/>
              </w:rPr>
              <w:lastRenderedPageBreak/>
              <w:t>manejo de residuos sólidos urbanos, así como para la generación de zonas de crecimiento aptas para el desarrollo urbano.</w:t>
            </w:r>
          </w:p>
        </w:tc>
      </w:tr>
      <w:tr w:rsidR="00794EB9" w:rsidRPr="00794EB9" w14:paraId="50009D05"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37A905A"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lastRenderedPageBreak/>
              <w:t>Acciones del proyecto</w:t>
            </w:r>
          </w:p>
        </w:tc>
      </w:tr>
    </w:tbl>
    <w:p w14:paraId="429497DE" w14:textId="77777777" w:rsidR="00794EB9" w:rsidRPr="00794EB9" w:rsidRDefault="00794EB9" w:rsidP="00794EB9">
      <w:pPr>
        <w:pStyle w:val="PGAcciones"/>
        <w:rPr>
          <w:color w:val="auto"/>
          <w:sz w:val="22"/>
          <w:szCs w:val="22"/>
        </w:rPr>
      </w:pPr>
      <w:r w:rsidRPr="00794EB9">
        <w:rPr>
          <w:color w:val="auto"/>
          <w:sz w:val="22"/>
          <w:szCs w:val="22"/>
        </w:rPr>
        <w:t>VM. 3.1.1 Desarrollar estudios y proyectos para la integración de servicios a nivel metropolitano: manejo de residuos, agua y drenaje, y movilidad regional</w:t>
      </w:r>
    </w:p>
    <w:p w14:paraId="5992EB53" w14:textId="77777777" w:rsidR="00794EB9" w:rsidRPr="00794EB9" w:rsidRDefault="00794EB9" w:rsidP="00794EB9">
      <w:pPr>
        <w:pStyle w:val="PGAcciones"/>
        <w:rPr>
          <w:color w:val="auto"/>
          <w:sz w:val="22"/>
          <w:szCs w:val="22"/>
        </w:rPr>
      </w:pPr>
      <w:r w:rsidRPr="00794EB9">
        <w:rPr>
          <w:color w:val="auto"/>
          <w:sz w:val="22"/>
          <w:szCs w:val="22"/>
        </w:rPr>
        <w:t>VM. 3.1.2 Desarrollar Programas Parciales de desarrollo urbano para la integración metropolitana y regional (zonas oriente, poniente, sur y norte) y estudios para control urbano.</w:t>
      </w:r>
    </w:p>
    <w:p w14:paraId="745ABA86" w14:textId="77777777" w:rsidR="00794EB9" w:rsidRPr="00794EB9" w:rsidRDefault="00794EB9" w:rsidP="00794EB9">
      <w:pPr>
        <w:jc w:val="both"/>
        <w:rPr>
          <w:rFonts w:ascii="Arial" w:hAnsi="Arial" w:cs="Arial"/>
          <w:sz w:val="22"/>
          <w:szCs w:val="22"/>
        </w:rPr>
      </w:pPr>
    </w:p>
    <w:tbl>
      <w:tblPr>
        <w:tblW w:w="5156"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9114"/>
      </w:tblGrid>
      <w:tr w:rsidR="00794EB9" w:rsidRPr="00794EB9" w14:paraId="25144803"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57B28BAF"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77A58CB7"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VM. 3.2 Infraestructura Visión León 450</w:t>
            </w:r>
          </w:p>
        </w:tc>
      </w:tr>
      <w:tr w:rsidR="00794EB9" w:rsidRPr="00794EB9" w14:paraId="437660FA"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161B5490"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3187D801"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Planear, construir y poner en operación la infraestructura que apoye el proyecto de gran visión de León hacia el 450 aniversario y su proyección hacia el futuro, atendiendo las principales necesidades en materia de vialidad, transporte y movilidad no motorizadas.</w:t>
            </w:r>
          </w:p>
        </w:tc>
      </w:tr>
      <w:tr w:rsidR="00794EB9" w:rsidRPr="00794EB9" w14:paraId="6E1F1798"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F731CA8"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39D915C2" w14:textId="77777777" w:rsidR="00794EB9" w:rsidRPr="00794EB9" w:rsidRDefault="00794EB9" w:rsidP="00794EB9">
      <w:pPr>
        <w:pStyle w:val="PGAcciones"/>
        <w:rPr>
          <w:color w:val="auto"/>
          <w:sz w:val="22"/>
          <w:szCs w:val="22"/>
        </w:rPr>
      </w:pPr>
      <w:r w:rsidRPr="00794EB9">
        <w:rPr>
          <w:color w:val="auto"/>
          <w:sz w:val="22"/>
          <w:szCs w:val="22"/>
        </w:rPr>
        <w:t>VM. 3.2.1 Desarrollar el Plan Maestro Integral de Zona Oriente y Blvd. Aeropuerto.</w:t>
      </w:r>
    </w:p>
    <w:p w14:paraId="582490E9" w14:textId="77777777" w:rsidR="00794EB9" w:rsidRPr="00794EB9" w:rsidRDefault="00794EB9" w:rsidP="00794EB9">
      <w:pPr>
        <w:pStyle w:val="PGAcciones"/>
        <w:rPr>
          <w:color w:val="auto"/>
          <w:sz w:val="22"/>
          <w:szCs w:val="22"/>
        </w:rPr>
      </w:pPr>
      <w:r w:rsidRPr="00794EB9">
        <w:rPr>
          <w:color w:val="auto"/>
          <w:sz w:val="22"/>
          <w:szCs w:val="22"/>
        </w:rPr>
        <w:t>VM. 3.2.2 Realizar la construcción del paso a desnivel Blvd. Aeropuerto - Blvd. Siglo XXI.</w:t>
      </w:r>
    </w:p>
    <w:p w14:paraId="0DD827E5" w14:textId="77777777" w:rsidR="00794EB9" w:rsidRPr="00794EB9" w:rsidRDefault="00794EB9" w:rsidP="00794EB9">
      <w:pPr>
        <w:pStyle w:val="PGAcciones"/>
        <w:rPr>
          <w:color w:val="auto"/>
          <w:sz w:val="22"/>
          <w:szCs w:val="22"/>
        </w:rPr>
      </w:pPr>
      <w:r w:rsidRPr="00794EB9">
        <w:rPr>
          <w:color w:val="auto"/>
          <w:sz w:val="22"/>
          <w:szCs w:val="22"/>
        </w:rPr>
        <w:t>VM. 3.2.3 Ejecutar la obra del Puente Blvd. San Nicolás y Blvd. Siglo XXI poniente.</w:t>
      </w:r>
    </w:p>
    <w:p w14:paraId="387F2939" w14:textId="77777777" w:rsidR="00794EB9" w:rsidRPr="00794EB9" w:rsidRDefault="00794EB9" w:rsidP="00794EB9">
      <w:pPr>
        <w:pStyle w:val="PGAcciones"/>
        <w:rPr>
          <w:color w:val="auto"/>
          <w:sz w:val="22"/>
          <w:szCs w:val="22"/>
        </w:rPr>
      </w:pPr>
      <w:r w:rsidRPr="00794EB9">
        <w:rPr>
          <w:color w:val="auto"/>
          <w:sz w:val="22"/>
          <w:szCs w:val="22"/>
        </w:rPr>
        <w:t xml:space="preserve">VM. 3.2.4 Implementar las acciones derivadas del Plan Maestro Integral de Zona Oriente. </w:t>
      </w:r>
    </w:p>
    <w:p w14:paraId="015D4FEB" w14:textId="77777777" w:rsidR="00794EB9" w:rsidRPr="00794EB9" w:rsidRDefault="00794EB9" w:rsidP="00794EB9">
      <w:pPr>
        <w:pStyle w:val="PGAcciones"/>
        <w:rPr>
          <w:color w:val="auto"/>
          <w:sz w:val="22"/>
          <w:szCs w:val="22"/>
        </w:rPr>
      </w:pPr>
      <w:r w:rsidRPr="00794EB9">
        <w:rPr>
          <w:color w:val="auto"/>
          <w:sz w:val="22"/>
          <w:szCs w:val="22"/>
        </w:rPr>
        <w:t>VM. 3.2.5 Liberar el Derecho de vía de obras de infraestructura estratégica</w:t>
      </w:r>
    </w:p>
    <w:p w14:paraId="73CFA689" w14:textId="77777777" w:rsidR="00794EB9" w:rsidRPr="00794EB9" w:rsidRDefault="00794EB9" w:rsidP="00794EB9">
      <w:pPr>
        <w:pStyle w:val="PGAcciones"/>
        <w:rPr>
          <w:color w:val="auto"/>
          <w:sz w:val="22"/>
          <w:szCs w:val="22"/>
        </w:rPr>
      </w:pPr>
      <w:r w:rsidRPr="00794EB9">
        <w:rPr>
          <w:color w:val="auto"/>
          <w:sz w:val="22"/>
          <w:szCs w:val="22"/>
        </w:rPr>
        <w:t>VM. 3.2.6 Realizar la pavimentación de Blvd. Cañaveral tramo Vicente Valtierra - al límite sur de fraccionamiento Mayorca a tramo Blvd. Guanajuato a Bvld. Juan Alonso de Torres (Eje Metropolitano)</w:t>
      </w:r>
    </w:p>
    <w:p w14:paraId="0034D082" w14:textId="77777777" w:rsidR="00794EB9" w:rsidRPr="00794EB9" w:rsidRDefault="00794EB9" w:rsidP="00794EB9">
      <w:pPr>
        <w:pStyle w:val="PGAcciones"/>
        <w:rPr>
          <w:color w:val="auto"/>
          <w:sz w:val="22"/>
          <w:szCs w:val="22"/>
        </w:rPr>
      </w:pPr>
      <w:r w:rsidRPr="00794EB9">
        <w:rPr>
          <w:color w:val="auto"/>
          <w:sz w:val="22"/>
          <w:szCs w:val="22"/>
        </w:rPr>
        <w:t>VM. 3.2.7 Ejecutar las obras del Blvd. Timoteo Lozano (Blvd. S. XXI-Blvd. Mayorazgo).</w:t>
      </w:r>
    </w:p>
    <w:p w14:paraId="052FB81D" w14:textId="77777777" w:rsidR="00794EB9" w:rsidRPr="00794EB9" w:rsidRDefault="00794EB9" w:rsidP="00794EB9">
      <w:pPr>
        <w:pStyle w:val="PGAcciones"/>
        <w:rPr>
          <w:color w:val="auto"/>
          <w:sz w:val="22"/>
          <w:szCs w:val="22"/>
        </w:rPr>
      </w:pPr>
      <w:r w:rsidRPr="00794EB9">
        <w:rPr>
          <w:color w:val="auto"/>
          <w:sz w:val="22"/>
          <w:szCs w:val="22"/>
        </w:rPr>
        <w:t>VM. 3.2.8 Eje Norte- Sur: Ejecutar la primera etapa del mejoramiento de vialidades del Malecón del Río cuerpo poniente, tramo: Blvd. Insurgentes a Blvd. Torres Landa</w:t>
      </w:r>
    </w:p>
    <w:p w14:paraId="12B6DC73" w14:textId="77777777" w:rsidR="00794EB9" w:rsidRPr="00794EB9" w:rsidRDefault="00794EB9" w:rsidP="00794EB9">
      <w:pPr>
        <w:pStyle w:val="PGAcciones"/>
        <w:rPr>
          <w:color w:val="auto"/>
          <w:sz w:val="22"/>
          <w:szCs w:val="22"/>
        </w:rPr>
      </w:pPr>
      <w:r w:rsidRPr="00794EB9">
        <w:rPr>
          <w:color w:val="auto"/>
          <w:sz w:val="22"/>
          <w:szCs w:val="22"/>
        </w:rPr>
        <w:t>VM. 3.2.9. Vía Rápida Blvd. Morelos: Elaborar el Plan Integral de cruceros y pasos a desnivel entre Blvd. Hidalgo y Blvd. Adolfo López Mateos Norte.</w:t>
      </w:r>
    </w:p>
    <w:p w14:paraId="0C33D433" w14:textId="77777777" w:rsidR="00794EB9" w:rsidRPr="00794EB9" w:rsidRDefault="00794EB9" w:rsidP="00794EB9">
      <w:pPr>
        <w:pStyle w:val="PGAcciones"/>
        <w:rPr>
          <w:color w:val="auto"/>
          <w:sz w:val="22"/>
          <w:szCs w:val="22"/>
        </w:rPr>
      </w:pPr>
      <w:r w:rsidRPr="00794EB9">
        <w:rPr>
          <w:color w:val="auto"/>
          <w:sz w:val="22"/>
          <w:szCs w:val="22"/>
        </w:rPr>
        <w:t>VM. 3.2.10. Realizar el proyecto ejecutivo y estudio de factibilidad de la obra del Centro de Gobierno.</w:t>
      </w:r>
    </w:p>
    <w:p w14:paraId="3B606076" w14:textId="77777777" w:rsidR="00794EB9" w:rsidRPr="00794EB9" w:rsidRDefault="00794EB9" w:rsidP="00794EB9">
      <w:pPr>
        <w:pStyle w:val="PGAcciones"/>
        <w:rPr>
          <w:color w:val="auto"/>
          <w:sz w:val="22"/>
          <w:szCs w:val="22"/>
        </w:rPr>
      </w:pPr>
      <w:r w:rsidRPr="00794EB9">
        <w:rPr>
          <w:color w:val="auto"/>
          <w:sz w:val="22"/>
          <w:szCs w:val="22"/>
        </w:rPr>
        <w:t xml:space="preserve">VM. 3.2.11 Realizar el Plan Maestro y de Viabilidad para el corredor urbano la Gran Calzada (entre Calzada de los Héroes y Distrito León MX)  </w:t>
      </w:r>
    </w:p>
    <w:p w14:paraId="7B616C56" w14:textId="77777777" w:rsidR="00794EB9" w:rsidRPr="00794EB9" w:rsidRDefault="00794EB9" w:rsidP="00794EB9">
      <w:pPr>
        <w:pStyle w:val="PGAcciones"/>
        <w:rPr>
          <w:color w:val="auto"/>
          <w:sz w:val="22"/>
          <w:szCs w:val="22"/>
        </w:rPr>
      </w:pPr>
      <w:r w:rsidRPr="00794EB9">
        <w:rPr>
          <w:color w:val="auto"/>
          <w:sz w:val="22"/>
          <w:szCs w:val="22"/>
        </w:rPr>
        <w:t>VM. 3.2.12 Ejecutar las obras de mejoramiento vial, ciclista y peatonal de acuerdo con el Plan Maestro y de Viabilidad.</w:t>
      </w:r>
    </w:p>
    <w:p w14:paraId="6386231D" w14:textId="77777777" w:rsidR="00794EB9" w:rsidRPr="00794EB9" w:rsidRDefault="00794EB9" w:rsidP="00794EB9">
      <w:pPr>
        <w:jc w:val="both"/>
        <w:rPr>
          <w:rFonts w:ascii="Arial" w:hAnsi="Arial" w:cs="Arial"/>
          <w:b/>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74EE42C2"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BFE03C0"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4AE2AC06" w14:textId="77777777" w:rsidR="00794EB9" w:rsidRPr="00794EB9" w:rsidRDefault="00794EB9" w:rsidP="00C307FB">
            <w:pPr>
              <w:pStyle w:val="TtuloPG2"/>
              <w:ind w:left="0"/>
              <w:jc w:val="both"/>
              <w:rPr>
                <w:color w:val="auto"/>
                <w:sz w:val="22"/>
                <w:szCs w:val="22"/>
                <w:lang w:val="es-ES" w:eastAsia="es-MX"/>
              </w:rPr>
            </w:pPr>
            <w:r w:rsidRPr="00794EB9">
              <w:rPr>
                <w:color w:val="auto"/>
                <w:sz w:val="22"/>
                <w:szCs w:val="22"/>
                <w:lang w:val="es-ES" w:eastAsia="es-MX"/>
              </w:rPr>
              <w:t>VM.3.3 Conectividad para todos</w:t>
            </w:r>
          </w:p>
        </w:tc>
      </w:tr>
      <w:tr w:rsidR="00794EB9" w:rsidRPr="00794EB9" w14:paraId="1AAB8206" w14:textId="77777777" w:rsidTr="00C307FB">
        <w:trPr>
          <w:trHeight w:val="57"/>
        </w:trPr>
        <w:tc>
          <w:tcPr>
            <w:tcW w:w="5000" w:type="pct"/>
            <w:tcBorders>
              <w:top w:val="nil"/>
              <w:left w:val="nil"/>
              <w:bottom w:val="nil"/>
              <w:right w:val="nil"/>
            </w:tcBorders>
            <w:tcMar>
              <w:top w:w="20" w:type="dxa"/>
              <w:left w:w="20" w:type="dxa"/>
              <w:bottom w:w="100" w:type="dxa"/>
              <w:right w:w="20" w:type="dxa"/>
            </w:tcMar>
          </w:tcPr>
          <w:p w14:paraId="738411D9"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lastRenderedPageBreak/>
              <w:t>Propósito u objetivo del proyecto</w:t>
            </w:r>
          </w:p>
          <w:p w14:paraId="2CAD97F6" w14:textId="77777777" w:rsidR="00794EB9" w:rsidRPr="00794EB9" w:rsidRDefault="00794EB9" w:rsidP="00C307FB">
            <w:pPr>
              <w:widowControl w:val="0"/>
              <w:ind w:hanging="2"/>
              <w:jc w:val="both"/>
              <w:rPr>
                <w:rFonts w:ascii="Arial" w:hAnsi="Arial" w:cs="Arial"/>
                <w:sz w:val="22"/>
                <w:szCs w:val="22"/>
              </w:rPr>
            </w:pPr>
            <w:r w:rsidRPr="00794EB9">
              <w:rPr>
                <w:rFonts w:ascii="Arial" w:hAnsi="Arial" w:cs="Arial"/>
                <w:sz w:val="22"/>
                <w:szCs w:val="22"/>
              </w:rPr>
              <w:t>Desarrollar la infraestructura para ampliar la conectividad de los ciudadanos en espacios públicos así como la red de fibra óptica para la conexión de los distintos servicios e infraestructura municipal existente y futura.</w:t>
            </w:r>
          </w:p>
        </w:tc>
      </w:tr>
      <w:tr w:rsidR="00794EB9" w:rsidRPr="00794EB9" w14:paraId="049D211C" w14:textId="77777777" w:rsidTr="00C307FB">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0A7E8DC" w14:textId="77777777" w:rsidR="00794EB9" w:rsidRPr="00794EB9" w:rsidRDefault="00794EB9" w:rsidP="00C307FB">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1B0BD2D7" w14:textId="77777777" w:rsidR="00794EB9" w:rsidRPr="00794EB9" w:rsidRDefault="00794EB9" w:rsidP="00794EB9">
      <w:pPr>
        <w:pStyle w:val="PGAcciones"/>
        <w:rPr>
          <w:color w:val="auto"/>
          <w:sz w:val="22"/>
          <w:szCs w:val="22"/>
        </w:rPr>
      </w:pPr>
      <w:r w:rsidRPr="00794EB9">
        <w:rPr>
          <w:color w:val="auto"/>
          <w:sz w:val="22"/>
          <w:szCs w:val="22"/>
        </w:rPr>
        <w:t xml:space="preserve">VM. 3.3.1 Dar mantenimiento a los nodos rurales e instalar nuevos nodos según el programa Conectividad para Todos. </w:t>
      </w:r>
    </w:p>
    <w:p w14:paraId="2FA44744" w14:textId="77777777" w:rsidR="00794EB9" w:rsidRPr="00794EB9" w:rsidRDefault="00794EB9" w:rsidP="00794EB9">
      <w:pPr>
        <w:pStyle w:val="PGAcciones"/>
        <w:rPr>
          <w:color w:val="auto"/>
          <w:sz w:val="22"/>
          <w:szCs w:val="22"/>
        </w:rPr>
      </w:pPr>
      <w:r w:rsidRPr="00794EB9">
        <w:rPr>
          <w:color w:val="auto"/>
          <w:sz w:val="22"/>
          <w:szCs w:val="22"/>
        </w:rPr>
        <w:t>VM. 3.3.2 Dar mantenimiento a 456 sensores y plataforma de big data. Sistema de Inteligencia Municipal</w:t>
      </w:r>
    </w:p>
    <w:p w14:paraId="4C4EC848" w14:textId="77777777" w:rsidR="00794EB9" w:rsidRPr="00794EB9" w:rsidRDefault="00794EB9" w:rsidP="00794EB9">
      <w:pPr>
        <w:pStyle w:val="TtuloPG"/>
        <w:ind w:hanging="2"/>
        <w:rPr>
          <w:color w:val="auto"/>
          <w:sz w:val="22"/>
          <w:szCs w:val="22"/>
        </w:rPr>
      </w:pPr>
    </w:p>
    <w:p w14:paraId="05663E10" w14:textId="77777777" w:rsidR="00794EB9" w:rsidRPr="00794EB9" w:rsidRDefault="00794EB9" w:rsidP="00794EB9">
      <w:pPr>
        <w:pStyle w:val="TtuloPG"/>
        <w:ind w:hanging="2"/>
        <w:rPr>
          <w:color w:val="auto"/>
          <w:sz w:val="22"/>
          <w:szCs w:val="22"/>
        </w:rPr>
      </w:pPr>
    </w:p>
    <w:p w14:paraId="3E679F5D" w14:textId="77777777" w:rsidR="00794EB9" w:rsidRPr="00794EB9" w:rsidRDefault="00794EB9" w:rsidP="00794EB9">
      <w:pPr>
        <w:pStyle w:val="TtuloPG"/>
        <w:pBdr>
          <w:top w:val="single" w:sz="4" w:space="1" w:color="auto"/>
          <w:left w:val="single" w:sz="4" w:space="4" w:color="auto"/>
          <w:bottom w:val="single" w:sz="4" w:space="1" w:color="auto"/>
          <w:right w:val="single" w:sz="4" w:space="4" w:color="auto"/>
        </w:pBdr>
        <w:ind w:hanging="2"/>
        <w:rPr>
          <w:color w:val="auto"/>
          <w:sz w:val="22"/>
          <w:szCs w:val="22"/>
        </w:rPr>
      </w:pPr>
      <w:r w:rsidRPr="00794EB9">
        <w:rPr>
          <w:color w:val="auto"/>
          <w:sz w:val="22"/>
          <w:szCs w:val="22"/>
        </w:rPr>
        <w:t>VII. INDICADORES Y METAS</w:t>
      </w:r>
    </w:p>
    <w:p w14:paraId="28598B6D" w14:textId="77777777" w:rsidR="00794EB9" w:rsidRPr="00794EB9" w:rsidRDefault="00794EB9" w:rsidP="00794EB9">
      <w:pPr>
        <w:ind w:left="360"/>
        <w:rPr>
          <w:rFonts w:ascii="Arial" w:hAnsi="Arial" w:cs="Arial"/>
          <w:sz w:val="22"/>
          <w:szCs w:val="22"/>
        </w:rPr>
      </w:pPr>
    </w:p>
    <w:p w14:paraId="0E46A9DF" w14:textId="77777777" w:rsidR="00794EB9" w:rsidRPr="00794EB9" w:rsidRDefault="00794EB9" w:rsidP="00794EB9">
      <w:pPr>
        <w:jc w:val="both"/>
        <w:rPr>
          <w:rFonts w:ascii="Arial" w:hAnsi="Arial" w:cs="Arial"/>
          <w:sz w:val="22"/>
          <w:szCs w:val="22"/>
          <w:lang w:eastAsia="es-MX"/>
        </w:rPr>
      </w:pPr>
      <w:r w:rsidRPr="00794EB9">
        <w:rPr>
          <w:rFonts w:ascii="Arial" w:hAnsi="Arial" w:cs="Arial"/>
          <w:sz w:val="22"/>
          <w:szCs w:val="22"/>
          <w:lang w:eastAsia="es-MX"/>
        </w:rPr>
        <w:t xml:space="preserve">Para determinar las problemáticas centrales de cada sector se aplicó la metodología del Marco Lógico, se elaboraron los árboles de problemas con las causas y efectos que generan, así mismo se establecieron árboles de objetivos con medios y fines que propician su cumplimiento. </w:t>
      </w:r>
    </w:p>
    <w:p w14:paraId="47EF7840" w14:textId="77777777" w:rsidR="00794EB9" w:rsidRPr="00794EB9" w:rsidRDefault="00794EB9" w:rsidP="00794EB9">
      <w:pPr>
        <w:jc w:val="both"/>
        <w:rPr>
          <w:rFonts w:ascii="Arial" w:hAnsi="Arial" w:cs="Arial"/>
          <w:sz w:val="22"/>
          <w:szCs w:val="22"/>
          <w:lang w:eastAsia="es-MX"/>
        </w:rPr>
      </w:pPr>
    </w:p>
    <w:p w14:paraId="48E4F77B" w14:textId="77777777" w:rsidR="00794EB9" w:rsidRPr="00794EB9" w:rsidRDefault="00794EB9" w:rsidP="00794EB9">
      <w:pPr>
        <w:jc w:val="both"/>
        <w:rPr>
          <w:rFonts w:ascii="Arial" w:hAnsi="Arial" w:cs="Arial"/>
          <w:sz w:val="22"/>
          <w:szCs w:val="22"/>
          <w:lang w:eastAsia="es-MX"/>
        </w:rPr>
      </w:pPr>
      <w:r w:rsidRPr="00794EB9">
        <w:rPr>
          <w:rFonts w:ascii="Arial" w:hAnsi="Arial" w:cs="Arial"/>
          <w:sz w:val="22"/>
          <w:szCs w:val="22"/>
          <w:lang w:eastAsia="es-MX"/>
        </w:rPr>
        <w:t>Con la estructura de matriz de indicadores de resultados (MIR), se fijaron las acciones y proyectos, los cuales regirán el accionar de la administración pública municipal con la premisa de lograr los objetivos planteados.</w:t>
      </w:r>
    </w:p>
    <w:p w14:paraId="12F7076C" w14:textId="77777777" w:rsidR="00794EB9" w:rsidRPr="00794EB9" w:rsidRDefault="00794EB9" w:rsidP="00794EB9">
      <w:pPr>
        <w:jc w:val="both"/>
        <w:rPr>
          <w:rFonts w:ascii="Arial" w:hAnsi="Arial" w:cs="Arial"/>
          <w:sz w:val="22"/>
          <w:szCs w:val="22"/>
          <w:lang w:eastAsia="es-MX"/>
        </w:rPr>
      </w:pPr>
    </w:p>
    <w:p w14:paraId="29E476A1" w14:textId="77777777" w:rsidR="00794EB9" w:rsidRPr="00794EB9" w:rsidRDefault="00794EB9" w:rsidP="00794EB9">
      <w:pPr>
        <w:jc w:val="both"/>
        <w:rPr>
          <w:rFonts w:ascii="Arial" w:hAnsi="Arial" w:cs="Arial"/>
          <w:sz w:val="22"/>
          <w:szCs w:val="22"/>
          <w:lang w:eastAsia="es-MX"/>
        </w:rPr>
      </w:pPr>
      <w:r w:rsidRPr="00794EB9">
        <w:rPr>
          <w:rFonts w:ascii="Arial" w:hAnsi="Arial" w:cs="Arial"/>
          <w:sz w:val="22"/>
          <w:szCs w:val="22"/>
          <w:lang w:eastAsia="es-MX"/>
        </w:rPr>
        <w:t xml:space="preserve">En los ejercicios anuales de los Programas Operativos Anuales (POA) y de los Presupuestos Basados en Resultados (PBR), cada dependencia y entidad diseñarán los indicadores de resultados de las acciones y proyectos propuestos, en una forma más específica y operativa. </w:t>
      </w:r>
    </w:p>
    <w:p w14:paraId="3CA7C166" w14:textId="77777777" w:rsidR="00794EB9" w:rsidRPr="00794EB9" w:rsidRDefault="00794EB9" w:rsidP="00794EB9">
      <w:pPr>
        <w:jc w:val="both"/>
        <w:rPr>
          <w:rFonts w:ascii="Arial" w:hAnsi="Arial" w:cs="Arial"/>
          <w:sz w:val="22"/>
          <w:szCs w:val="22"/>
          <w:lang w:eastAsia="es-MX"/>
        </w:rPr>
      </w:pPr>
    </w:p>
    <w:p w14:paraId="0AB347C4" w14:textId="77777777" w:rsidR="00794EB9" w:rsidRPr="00794EB9" w:rsidRDefault="00794EB9" w:rsidP="00794EB9">
      <w:pPr>
        <w:jc w:val="both"/>
        <w:rPr>
          <w:rFonts w:ascii="Arial" w:hAnsi="Arial" w:cs="Arial"/>
          <w:b/>
          <w:bCs/>
          <w:sz w:val="22"/>
          <w:szCs w:val="22"/>
          <w:lang w:eastAsia="es-MX"/>
        </w:rPr>
      </w:pPr>
      <w:r w:rsidRPr="00794EB9">
        <w:rPr>
          <w:rFonts w:ascii="Arial" w:hAnsi="Arial" w:cs="Arial"/>
          <w:sz w:val="22"/>
          <w:szCs w:val="22"/>
          <w:lang w:eastAsia="es-MX"/>
        </w:rPr>
        <w:t>A continuación, se muestra la lista de indicadores y metas organizados por cada bandera, estrategia, programa, proyecto y acciones correspondientes:</w:t>
      </w:r>
    </w:p>
    <w:p w14:paraId="1AD4D849" w14:textId="77777777" w:rsidR="00794EB9" w:rsidRPr="00794EB9" w:rsidRDefault="00794EB9" w:rsidP="00794EB9">
      <w:pPr>
        <w:jc w:val="both"/>
        <w:rPr>
          <w:rFonts w:ascii="Arial" w:hAnsi="Arial" w:cs="Arial"/>
          <w:b/>
          <w:bCs/>
          <w:sz w:val="22"/>
          <w:szCs w:val="22"/>
          <w:lang w:eastAsia="es-MX"/>
        </w:rPr>
      </w:pPr>
    </w:p>
    <w:p w14:paraId="727A3731" w14:textId="77777777" w:rsidR="00794EB9" w:rsidRPr="00794EB9" w:rsidRDefault="00794EB9" w:rsidP="00794EB9">
      <w:pPr>
        <w:ind w:left="2" w:hanging="2"/>
        <w:jc w:val="both"/>
        <w:rPr>
          <w:rFonts w:ascii="Arial" w:hAnsi="Arial" w:cs="Arial"/>
          <w:b/>
          <w:bCs/>
          <w:sz w:val="22"/>
          <w:szCs w:val="22"/>
          <w:lang w:eastAsia="es-MX"/>
        </w:rPr>
      </w:pPr>
      <w:r w:rsidRPr="00794EB9">
        <w:rPr>
          <w:rFonts w:ascii="Arial" w:hAnsi="Arial" w:cs="Arial"/>
          <w:b/>
          <w:bCs/>
          <w:sz w:val="22"/>
          <w:szCs w:val="22"/>
          <w:lang w:eastAsia="es-MX"/>
        </w:rPr>
        <w:t>BANDERA. VIVIR TRANQUILO</w:t>
      </w:r>
    </w:p>
    <w:p w14:paraId="55A4485D" w14:textId="77777777" w:rsidR="00794EB9" w:rsidRPr="00794EB9" w:rsidRDefault="00794EB9" w:rsidP="00794EB9">
      <w:pPr>
        <w:ind w:left="2" w:hanging="2"/>
        <w:jc w:val="both"/>
        <w:rPr>
          <w:rFonts w:ascii="Arial" w:hAnsi="Arial" w:cs="Arial"/>
          <w:b/>
          <w:bCs/>
          <w:sz w:val="22"/>
          <w:szCs w:val="22"/>
          <w:lang w:eastAsia="es-MX"/>
        </w:rPr>
      </w:pPr>
      <w:r w:rsidRPr="00794EB9">
        <w:rPr>
          <w:rFonts w:ascii="Arial" w:hAnsi="Arial" w:cs="Arial"/>
          <w:b/>
          <w:bCs/>
          <w:sz w:val="22"/>
          <w:szCs w:val="22"/>
          <w:lang w:eastAsia="es-MX"/>
        </w:rPr>
        <w:t>Estrategia 1.  ESTADO DE DERECHO Y SEGURIDAD PÚBLICA</w:t>
      </w:r>
    </w:p>
    <w:p w14:paraId="1A78F17A" w14:textId="77777777" w:rsidR="00794EB9" w:rsidRPr="00794EB9" w:rsidRDefault="00794EB9" w:rsidP="00794EB9">
      <w:pPr>
        <w:ind w:left="2" w:hanging="2"/>
        <w:jc w:val="both"/>
        <w:rPr>
          <w:rFonts w:ascii="Arial" w:hAnsi="Arial" w:cs="Arial"/>
          <w:b/>
          <w:bCs/>
          <w:sz w:val="22"/>
          <w:szCs w:val="22"/>
          <w:lang w:eastAsia="es-MX"/>
        </w:rPr>
      </w:pPr>
      <w:r w:rsidRPr="00794EB9">
        <w:rPr>
          <w:rFonts w:ascii="Arial" w:hAnsi="Arial" w:cs="Arial"/>
          <w:b/>
          <w:bCs/>
          <w:sz w:val="22"/>
          <w:szCs w:val="22"/>
          <w:lang w:eastAsia="es-MX"/>
        </w:rPr>
        <w:t>PROGRAMA: VT.1. GOBIERNO CERCANO 24/7</w:t>
      </w:r>
    </w:p>
    <w:p w14:paraId="2CD4990F" w14:textId="77777777" w:rsidR="00794EB9" w:rsidRPr="00794EB9" w:rsidRDefault="00794EB9" w:rsidP="00794EB9">
      <w:pPr>
        <w:ind w:left="2" w:hanging="2"/>
        <w:jc w:val="both"/>
        <w:rPr>
          <w:rFonts w:ascii="Arial" w:hAnsi="Arial" w:cs="Arial"/>
          <w:sz w:val="22"/>
          <w:szCs w:val="22"/>
        </w:rPr>
      </w:pPr>
      <w:r w:rsidRPr="00794EB9">
        <w:rPr>
          <w:rFonts w:ascii="Arial" w:hAnsi="Arial" w:cs="Arial"/>
          <w:i/>
          <w:iCs/>
          <w:sz w:val="22"/>
          <w:szCs w:val="22"/>
          <w:lang w:eastAsia="es-MX"/>
        </w:rPr>
        <w:t>Objetivo del programa:</w:t>
      </w:r>
      <w:r w:rsidRPr="00794EB9">
        <w:rPr>
          <w:rFonts w:ascii="Arial" w:hAnsi="Arial" w:cs="Arial"/>
          <w:sz w:val="22"/>
          <w:szCs w:val="22"/>
        </w:rPr>
        <w:t xml:space="preserve"> Desarrollar una forma de gobierno con mayor cercanía con la población que atienda sus demandas y solicitudes basada en trámites digitales, un modelo de delegaciones, presupuesto participativo y una forma de atención ciudadana basada en la excelencia en el trato y el servicio.</w:t>
      </w:r>
    </w:p>
    <w:p w14:paraId="73008FB7" w14:textId="77777777" w:rsidR="00794EB9" w:rsidRPr="00794EB9" w:rsidRDefault="00794EB9" w:rsidP="00794EB9">
      <w:pPr>
        <w:ind w:left="2" w:hanging="2"/>
        <w:rPr>
          <w:rFonts w:ascii="Arial" w:hAnsi="Arial" w:cs="Arial"/>
          <w:sz w:val="22"/>
          <w:szCs w:val="22"/>
        </w:rPr>
      </w:pPr>
      <w:r w:rsidRPr="00794EB9">
        <w:rPr>
          <w:rFonts w:ascii="Arial" w:hAnsi="Arial" w:cs="Arial"/>
          <w:sz w:val="22"/>
          <w:szCs w:val="22"/>
        </w:rPr>
        <w:t xml:space="preserve"> </w:t>
      </w:r>
      <w:r w:rsidRPr="00794EB9">
        <w:rPr>
          <w:rFonts w:ascii="Arial" w:hAnsi="Arial" w:cs="Arial"/>
          <w:sz w:val="22"/>
          <w:szCs w:val="22"/>
        </w:rPr>
        <w:tab/>
      </w:r>
    </w:p>
    <w:tbl>
      <w:tblPr>
        <w:tblW w:w="5000" w:type="pct"/>
        <w:tblCellMar>
          <w:left w:w="70" w:type="dxa"/>
          <w:right w:w="70" w:type="dxa"/>
        </w:tblCellMar>
        <w:tblLook w:val="04A0" w:firstRow="1" w:lastRow="0" w:firstColumn="1" w:lastColumn="0" w:noHBand="0" w:noVBand="1"/>
      </w:tblPr>
      <w:tblGrid>
        <w:gridCol w:w="1182"/>
        <w:gridCol w:w="1080"/>
        <w:gridCol w:w="1237"/>
        <w:gridCol w:w="1301"/>
        <w:gridCol w:w="1237"/>
        <w:gridCol w:w="610"/>
        <w:gridCol w:w="887"/>
        <w:gridCol w:w="647"/>
        <w:gridCol w:w="647"/>
      </w:tblGrid>
      <w:tr w:rsidR="0018463D" w:rsidRPr="00794EB9" w14:paraId="28AC0062" w14:textId="77777777" w:rsidTr="00C307FB">
        <w:trPr>
          <w:cantSplit/>
          <w:trHeight w:val="57"/>
          <w:tblHeader/>
        </w:trPr>
        <w:tc>
          <w:tcPr>
            <w:tcW w:w="66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7965351"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lastRenderedPageBreak/>
              <w:t xml:space="preserve">PROYECTOS </w:t>
            </w:r>
          </w:p>
        </w:tc>
        <w:tc>
          <w:tcPr>
            <w:tcW w:w="60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D0743BC"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69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ABE6021"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73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47AD436"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77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72C1022"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3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073AD36"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41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0C8C7AF"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8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1A160F6"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8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71195C8"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76338421" w14:textId="77777777" w:rsidTr="00C307FB">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69978A9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1.1. Gobierno digital León</w:t>
            </w:r>
          </w:p>
        </w:tc>
        <w:tc>
          <w:tcPr>
            <w:tcW w:w="605" w:type="pct"/>
            <w:tcBorders>
              <w:top w:val="nil"/>
              <w:left w:val="nil"/>
              <w:bottom w:val="single" w:sz="4" w:space="0" w:color="auto"/>
              <w:right w:val="single" w:sz="4" w:space="0" w:color="auto"/>
            </w:tcBorders>
            <w:shd w:val="clear" w:color="auto" w:fill="auto"/>
            <w:vAlign w:val="center"/>
            <w:hideMark/>
          </w:tcPr>
          <w:p w14:paraId="75ABA3C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1.1.1</w:t>
            </w:r>
          </w:p>
        </w:tc>
        <w:tc>
          <w:tcPr>
            <w:tcW w:w="695" w:type="pct"/>
            <w:tcBorders>
              <w:top w:val="nil"/>
              <w:left w:val="nil"/>
              <w:bottom w:val="single" w:sz="4" w:space="0" w:color="auto"/>
              <w:right w:val="single" w:sz="4" w:space="0" w:color="auto"/>
            </w:tcBorders>
            <w:shd w:val="clear" w:color="auto" w:fill="auto"/>
            <w:vAlign w:val="center"/>
            <w:hideMark/>
          </w:tcPr>
          <w:p w14:paraId="54B717F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1.1.1 Identificar los trámites que representan el 80% de las interacciones de los ciudadanos en las diferentes dependencias y entidades municipales.</w:t>
            </w:r>
          </w:p>
        </w:tc>
        <w:tc>
          <w:tcPr>
            <w:tcW w:w="732" w:type="pct"/>
            <w:tcBorders>
              <w:top w:val="nil"/>
              <w:left w:val="nil"/>
              <w:bottom w:val="single" w:sz="4" w:space="0" w:color="auto"/>
              <w:right w:val="single" w:sz="4" w:space="0" w:color="auto"/>
            </w:tcBorders>
            <w:shd w:val="clear" w:color="auto" w:fill="auto"/>
            <w:vAlign w:val="center"/>
            <w:hideMark/>
          </w:tcPr>
          <w:p w14:paraId="0F1EE5D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trámites identificados que representan el 80% de las interacciones de los ciudadanos en las diferentes dependencias y entidades municipales respecto del total </w:t>
            </w:r>
          </w:p>
        </w:tc>
        <w:tc>
          <w:tcPr>
            <w:tcW w:w="772" w:type="pct"/>
            <w:tcBorders>
              <w:top w:val="nil"/>
              <w:left w:val="nil"/>
              <w:bottom w:val="single" w:sz="4" w:space="0" w:color="auto"/>
              <w:right w:val="single" w:sz="4" w:space="0" w:color="auto"/>
            </w:tcBorders>
            <w:shd w:val="clear" w:color="auto" w:fill="auto"/>
            <w:vAlign w:val="center"/>
            <w:hideMark/>
          </w:tcPr>
          <w:p w14:paraId="2F64997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Identificar el 100% de los trámites que representan el 80% de las interacciones de los ciudadanos en las dependencias y entidades municipales para 2022</w:t>
            </w:r>
          </w:p>
        </w:tc>
        <w:tc>
          <w:tcPr>
            <w:tcW w:w="336" w:type="pct"/>
            <w:tcBorders>
              <w:top w:val="nil"/>
              <w:left w:val="nil"/>
              <w:bottom w:val="single" w:sz="4" w:space="0" w:color="auto"/>
              <w:right w:val="single" w:sz="4" w:space="0" w:color="auto"/>
            </w:tcBorders>
            <w:shd w:val="clear" w:color="auto" w:fill="auto"/>
            <w:vAlign w:val="center"/>
            <w:hideMark/>
          </w:tcPr>
          <w:p w14:paraId="41611A3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4537869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89" w:type="pct"/>
            <w:tcBorders>
              <w:top w:val="nil"/>
              <w:left w:val="nil"/>
              <w:bottom w:val="single" w:sz="4" w:space="0" w:color="auto"/>
              <w:right w:val="single" w:sz="4" w:space="0" w:color="auto"/>
            </w:tcBorders>
            <w:shd w:val="clear" w:color="auto" w:fill="auto"/>
            <w:vAlign w:val="center"/>
            <w:hideMark/>
          </w:tcPr>
          <w:p w14:paraId="7E33748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9" w:type="pct"/>
            <w:tcBorders>
              <w:top w:val="nil"/>
              <w:left w:val="nil"/>
              <w:bottom w:val="single" w:sz="4" w:space="0" w:color="auto"/>
              <w:right w:val="single" w:sz="4" w:space="0" w:color="auto"/>
            </w:tcBorders>
            <w:shd w:val="clear" w:color="auto" w:fill="auto"/>
            <w:vAlign w:val="center"/>
            <w:hideMark/>
          </w:tcPr>
          <w:p w14:paraId="170A037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5BF40BB9" w14:textId="77777777" w:rsidTr="00C307FB">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3160E40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1.1. Gobierno digital León</w:t>
            </w:r>
          </w:p>
        </w:tc>
        <w:tc>
          <w:tcPr>
            <w:tcW w:w="605" w:type="pct"/>
            <w:tcBorders>
              <w:top w:val="nil"/>
              <w:left w:val="nil"/>
              <w:bottom w:val="single" w:sz="4" w:space="0" w:color="auto"/>
              <w:right w:val="single" w:sz="4" w:space="0" w:color="auto"/>
            </w:tcBorders>
            <w:shd w:val="clear" w:color="auto" w:fill="auto"/>
            <w:vAlign w:val="center"/>
            <w:hideMark/>
          </w:tcPr>
          <w:p w14:paraId="6D185B5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1.1.2</w:t>
            </w:r>
          </w:p>
        </w:tc>
        <w:tc>
          <w:tcPr>
            <w:tcW w:w="695" w:type="pct"/>
            <w:tcBorders>
              <w:top w:val="nil"/>
              <w:left w:val="nil"/>
              <w:bottom w:val="single" w:sz="4" w:space="0" w:color="auto"/>
              <w:right w:val="single" w:sz="4" w:space="0" w:color="auto"/>
            </w:tcBorders>
            <w:shd w:val="clear" w:color="auto" w:fill="auto"/>
            <w:vAlign w:val="center"/>
            <w:hideMark/>
          </w:tcPr>
          <w:p w14:paraId="5A76374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1.1.2 Revisar e implementar acciones para la simplificación de trámites identificados como parte del proceso de mejora regulatoria.</w:t>
            </w:r>
          </w:p>
        </w:tc>
        <w:tc>
          <w:tcPr>
            <w:tcW w:w="732" w:type="pct"/>
            <w:tcBorders>
              <w:top w:val="nil"/>
              <w:left w:val="nil"/>
              <w:bottom w:val="single" w:sz="4" w:space="0" w:color="auto"/>
              <w:right w:val="single" w:sz="4" w:space="0" w:color="auto"/>
            </w:tcBorders>
            <w:shd w:val="clear" w:color="auto" w:fill="auto"/>
            <w:vAlign w:val="center"/>
            <w:hideMark/>
          </w:tcPr>
          <w:p w14:paraId="0432C09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acciones implementadas para simplificación de trámites</w:t>
            </w:r>
          </w:p>
        </w:tc>
        <w:tc>
          <w:tcPr>
            <w:tcW w:w="772" w:type="pct"/>
            <w:tcBorders>
              <w:top w:val="nil"/>
              <w:left w:val="nil"/>
              <w:bottom w:val="single" w:sz="4" w:space="0" w:color="auto"/>
              <w:right w:val="single" w:sz="4" w:space="0" w:color="auto"/>
            </w:tcBorders>
            <w:shd w:val="clear" w:color="auto" w:fill="auto"/>
            <w:vAlign w:val="center"/>
            <w:hideMark/>
          </w:tcPr>
          <w:p w14:paraId="2A13EE2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Implementar el 100% de las acciones para la simplificación de los trámites identificados como parte del proceso de mejora regulatoria para 2022</w:t>
            </w:r>
          </w:p>
        </w:tc>
        <w:tc>
          <w:tcPr>
            <w:tcW w:w="336" w:type="pct"/>
            <w:tcBorders>
              <w:top w:val="nil"/>
              <w:left w:val="nil"/>
              <w:bottom w:val="single" w:sz="4" w:space="0" w:color="auto"/>
              <w:right w:val="single" w:sz="4" w:space="0" w:color="auto"/>
            </w:tcBorders>
            <w:shd w:val="clear" w:color="auto" w:fill="auto"/>
            <w:vAlign w:val="center"/>
            <w:hideMark/>
          </w:tcPr>
          <w:p w14:paraId="59A3FA9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02D1B4C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89" w:type="pct"/>
            <w:tcBorders>
              <w:top w:val="nil"/>
              <w:left w:val="nil"/>
              <w:bottom w:val="single" w:sz="4" w:space="0" w:color="auto"/>
              <w:right w:val="single" w:sz="4" w:space="0" w:color="auto"/>
            </w:tcBorders>
            <w:shd w:val="clear" w:color="auto" w:fill="auto"/>
            <w:vAlign w:val="center"/>
            <w:hideMark/>
          </w:tcPr>
          <w:p w14:paraId="4210C6B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9" w:type="pct"/>
            <w:tcBorders>
              <w:top w:val="nil"/>
              <w:left w:val="nil"/>
              <w:bottom w:val="single" w:sz="4" w:space="0" w:color="auto"/>
              <w:right w:val="single" w:sz="4" w:space="0" w:color="auto"/>
            </w:tcBorders>
            <w:shd w:val="clear" w:color="auto" w:fill="auto"/>
            <w:vAlign w:val="center"/>
            <w:hideMark/>
          </w:tcPr>
          <w:p w14:paraId="18A3B8C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4A7C73CD" w14:textId="77777777" w:rsidTr="00C307FB">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3C728DD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1.1. Gobierno digital León</w:t>
            </w:r>
          </w:p>
        </w:tc>
        <w:tc>
          <w:tcPr>
            <w:tcW w:w="605" w:type="pct"/>
            <w:tcBorders>
              <w:top w:val="nil"/>
              <w:left w:val="nil"/>
              <w:bottom w:val="single" w:sz="4" w:space="0" w:color="auto"/>
              <w:right w:val="single" w:sz="4" w:space="0" w:color="auto"/>
            </w:tcBorders>
            <w:shd w:val="clear" w:color="auto" w:fill="auto"/>
            <w:vAlign w:val="center"/>
            <w:hideMark/>
          </w:tcPr>
          <w:p w14:paraId="11B8AF4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1.1.3</w:t>
            </w:r>
          </w:p>
        </w:tc>
        <w:tc>
          <w:tcPr>
            <w:tcW w:w="695" w:type="pct"/>
            <w:tcBorders>
              <w:top w:val="nil"/>
              <w:left w:val="nil"/>
              <w:bottom w:val="single" w:sz="4" w:space="0" w:color="auto"/>
              <w:right w:val="single" w:sz="4" w:space="0" w:color="auto"/>
            </w:tcBorders>
            <w:shd w:val="clear" w:color="auto" w:fill="auto"/>
            <w:vAlign w:val="center"/>
            <w:hideMark/>
          </w:tcPr>
          <w:p w14:paraId="7528EA6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1.1.3 Digitalización de los trámites identificados.</w:t>
            </w:r>
          </w:p>
        </w:tc>
        <w:tc>
          <w:tcPr>
            <w:tcW w:w="732" w:type="pct"/>
            <w:tcBorders>
              <w:top w:val="nil"/>
              <w:left w:val="nil"/>
              <w:bottom w:val="single" w:sz="4" w:space="0" w:color="auto"/>
              <w:right w:val="single" w:sz="4" w:space="0" w:color="auto"/>
            </w:tcBorders>
            <w:shd w:val="clear" w:color="auto" w:fill="auto"/>
            <w:vAlign w:val="center"/>
            <w:hideMark/>
          </w:tcPr>
          <w:p w14:paraId="3DB5EA7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trámites digitalizados respecto de los identificados como el 80% del total </w:t>
            </w:r>
          </w:p>
        </w:tc>
        <w:tc>
          <w:tcPr>
            <w:tcW w:w="772" w:type="pct"/>
            <w:tcBorders>
              <w:top w:val="nil"/>
              <w:left w:val="nil"/>
              <w:bottom w:val="single" w:sz="4" w:space="0" w:color="auto"/>
              <w:right w:val="single" w:sz="4" w:space="0" w:color="auto"/>
            </w:tcBorders>
            <w:shd w:val="clear" w:color="auto" w:fill="auto"/>
            <w:vAlign w:val="center"/>
            <w:hideMark/>
          </w:tcPr>
          <w:p w14:paraId="06F141D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Digitalizar el 100% de los trámites identificados que representan el 80% de los trámites para 2022</w:t>
            </w:r>
          </w:p>
        </w:tc>
        <w:tc>
          <w:tcPr>
            <w:tcW w:w="336" w:type="pct"/>
            <w:tcBorders>
              <w:top w:val="nil"/>
              <w:left w:val="nil"/>
              <w:bottom w:val="single" w:sz="4" w:space="0" w:color="auto"/>
              <w:right w:val="single" w:sz="4" w:space="0" w:color="auto"/>
            </w:tcBorders>
            <w:shd w:val="clear" w:color="auto" w:fill="auto"/>
            <w:vAlign w:val="center"/>
            <w:hideMark/>
          </w:tcPr>
          <w:p w14:paraId="7077575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2D5F02C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89" w:type="pct"/>
            <w:tcBorders>
              <w:top w:val="nil"/>
              <w:left w:val="nil"/>
              <w:bottom w:val="single" w:sz="4" w:space="0" w:color="auto"/>
              <w:right w:val="single" w:sz="4" w:space="0" w:color="auto"/>
            </w:tcBorders>
            <w:shd w:val="clear" w:color="auto" w:fill="auto"/>
            <w:vAlign w:val="center"/>
            <w:hideMark/>
          </w:tcPr>
          <w:p w14:paraId="30FA08C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9" w:type="pct"/>
            <w:tcBorders>
              <w:top w:val="nil"/>
              <w:left w:val="nil"/>
              <w:bottom w:val="single" w:sz="4" w:space="0" w:color="auto"/>
              <w:right w:val="single" w:sz="4" w:space="0" w:color="auto"/>
            </w:tcBorders>
            <w:shd w:val="clear" w:color="auto" w:fill="auto"/>
            <w:vAlign w:val="center"/>
            <w:hideMark/>
          </w:tcPr>
          <w:p w14:paraId="032F592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4C2560AD" w14:textId="77777777" w:rsidTr="00C307FB">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23736D9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1.1. Gobierno digital León</w:t>
            </w:r>
          </w:p>
        </w:tc>
        <w:tc>
          <w:tcPr>
            <w:tcW w:w="605" w:type="pct"/>
            <w:tcBorders>
              <w:top w:val="nil"/>
              <w:left w:val="nil"/>
              <w:bottom w:val="single" w:sz="4" w:space="0" w:color="auto"/>
              <w:right w:val="single" w:sz="4" w:space="0" w:color="auto"/>
            </w:tcBorders>
            <w:shd w:val="clear" w:color="auto" w:fill="auto"/>
            <w:vAlign w:val="center"/>
            <w:hideMark/>
          </w:tcPr>
          <w:p w14:paraId="1E4137B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1.1.4</w:t>
            </w:r>
          </w:p>
        </w:tc>
        <w:tc>
          <w:tcPr>
            <w:tcW w:w="695" w:type="pct"/>
            <w:tcBorders>
              <w:top w:val="nil"/>
              <w:left w:val="nil"/>
              <w:bottom w:val="single" w:sz="4" w:space="0" w:color="auto"/>
              <w:right w:val="single" w:sz="4" w:space="0" w:color="auto"/>
            </w:tcBorders>
            <w:shd w:val="clear" w:color="auto" w:fill="auto"/>
            <w:vAlign w:val="center"/>
            <w:hideMark/>
          </w:tcPr>
          <w:p w14:paraId="47024D5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1.1.4 Simplificar y agilizar la tramitología contemplada en el Sistema de Apertura Rápida de Empresas.</w:t>
            </w:r>
          </w:p>
        </w:tc>
        <w:tc>
          <w:tcPr>
            <w:tcW w:w="732" w:type="pct"/>
            <w:tcBorders>
              <w:top w:val="nil"/>
              <w:left w:val="nil"/>
              <w:bottom w:val="single" w:sz="4" w:space="0" w:color="auto"/>
              <w:right w:val="single" w:sz="4" w:space="0" w:color="auto"/>
            </w:tcBorders>
            <w:shd w:val="clear" w:color="auto" w:fill="auto"/>
            <w:vAlign w:val="center"/>
            <w:hideMark/>
          </w:tcPr>
          <w:p w14:paraId="3E5E5D8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tramitología simplificada en la plataforma SARE respecto del total previsto</w:t>
            </w:r>
          </w:p>
        </w:tc>
        <w:tc>
          <w:tcPr>
            <w:tcW w:w="772" w:type="pct"/>
            <w:tcBorders>
              <w:top w:val="nil"/>
              <w:left w:val="nil"/>
              <w:bottom w:val="single" w:sz="4" w:space="0" w:color="auto"/>
              <w:right w:val="single" w:sz="4" w:space="0" w:color="auto"/>
            </w:tcBorders>
            <w:shd w:val="clear" w:color="auto" w:fill="auto"/>
            <w:vAlign w:val="center"/>
            <w:hideMark/>
          </w:tcPr>
          <w:p w14:paraId="4537944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Simplificar y agilizar en un 50% la tramitología de la plataforma para realizar trámites a través del  SARE para 2024</w:t>
            </w:r>
          </w:p>
        </w:tc>
        <w:tc>
          <w:tcPr>
            <w:tcW w:w="336" w:type="pct"/>
            <w:tcBorders>
              <w:top w:val="nil"/>
              <w:left w:val="nil"/>
              <w:bottom w:val="single" w:sz="4" w:space="0" w:color="auto"/>
              <w:right w:val="single" w:sz="4" w:space="0" w:color="auto"/>
            </w:tcBorders>
            <w:shd w:val="clear" w:color="auto" w:fill="auto"/>
            <w:vAlign w:val="center"/>
            <w:hideMark/>
          </w:tcPr>
          <w:p w14:paraId="003F7E0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1ED1673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20%</w:t>
            </w:r>
          </w:p>
        </w:tc>
        <w:tc>
          <w:tcPr>
            <w:tcW w:w="389" w:type="pct"/>
            <w:tcBorders>
              <w:top w:val="nil"/>
              <w:left w:val="nil"/>
              <w:bottom w:val="single" w:sz="4" w:space="0" w:color="auto"/>
              <w:right w:val="single" w:sz="4" w:space="0" w:color="auto"/>
            </w:tcBorders>
            <w:shd w:val="clear" w:color="auto" w:fill="auto"/>
            <w:vAlign w:val="center"/>
            <w:hideMark/>
          </w:tcPr>
          <w:p w14:paraId="6270AE8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20%</w:t>
            </w:r>
          </w:p>
        </w:tc>
        <w:tc>
          <w:tcPr>
            <w:tcW w:w="389" w:type="pct"/>
            <w:tcBorders>
              <w:top w:val="nil"/>
              <w:left w:val="nil"/>
              <w:bottom w:val="single" w:sz="4" w:space="0" w:color="auto"/>
              <w:right w:val="single" w:sz="4" w:space="0" w:color="auto"/>
            </w:tcBorders>
            <w:shd w:val="clear" w:color="auto" w:fill="auto"/>
            <w:vAlign w:val="center"/>
            <w:hideMark/>
          </w:tcPr>
          <w:p w14:paraId="17E520B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w:t>
            </w:r>
          </w:p>
        </w:tc>
      </w:tr>
      <w:tr w:rsidR="00794EB9" w:rsidRPr="00794EB9" w14:paraId="0BA05B81" w14:textId="77777777" w:rsidTr="00C307FB">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50FAB64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1.1. Gobierno digital León</w:t>
            </w:r>
          </w:p>
        </w:tc>
        <w:tc>
          <w:tcPr>
            <w:tcW w:w="605" w:type="pct"/>
            <w:tcBorders>
              <w:top w:val="nil"/>
              <w:left w:val="nil"/>
              <w:bottom w:val="single" w:sz="4" w:space="0" w:color="auto"/>
              <w:right w:val="single" w:sz="4" w:space="0" w:color="auto"/>
            </w:tcBorders>
            <w:shd w:val="clear" w:color="auto" w:fill="auto"/>
            <w:vAlign w:val="center"/>
            <w:hideMark/>
          </w:tcPr>
          <w:p w14:paraId="3D2F64B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1.1.5</w:t>
            </w:r>
          </w:p>
        </w:tc>
        <w:tc>
          <w:tcPr>
            <w:tcW w:w="695" w:type="pct"/>
            <w:tcBorders>
              <w:top w:val="nil"/>
              <w:left w:val="nil"/>
              <w:bottom w:val="single" w:sz="4" w:space="0" w:color="auto"/>
              <w:right w:val="single" w:sz="4" w:space="0" w:color="auto"/>
            </w:tcBorders>
            <w:shd w:val="clear" w:color="auto" w:fill="auto"/>
            <w:vAlign w:val="center"/>
            <w:hideMark/>
          </w:tcPr>
          <w:p w14:paraId="5E37665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1.1.5 Realizar una mayor promoción y seguimiento de los resultados del programa.</w:t>
            </w:r>
          </w:p>
        </w:tc>
        <w:tc>
          <w:tcPr>
            <w:tcW w:w="732" w:type="pct"/>
            <w:tcBorders>
              <w:top w:val="nil"/>
              <w:left w:val="nil"/>
              <w:bottom w:val="single" w:sz="4" w:space="0" w:color="auto"/>
              <w:right w:val="single" w:sz="4" w:space="0" w:color="auto"/>
            </w:tcBorders>
            <w:shd w:val="clear" w:color="auto" w:fill="auto"/>
            <w:vAlign w:val="center"/>
            <w:hideMark/>
          </w:tcPr>
          <w:p w14:paraId="0E5D273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Tasa de variación de empresas que realizan el trámite a través del SARE</w:t>
            </w:r>
          </w:p>
        </w:tc>
        <w:tc>
          <w:tcPr>
            <w:tcW w:w="772" w:type="pct"/>
            <w:tcBorders>
              <w:top w:val="nil"/>
              <w:left w:val="nil"/>
              <w:bottom w:val="single" w:sz="4" w:space="0" w:color="auto"/>
              <w:right w:val="single" w:sz="4" w:space="0" w:color="auto"/>
            </w:tcBorders>
            <w:shd w:val="clear" w:color="auto" w:fill="auto"/>
            <w:vAlign w:val="center"/>
            <w:hideMark/>
          </w:tcPr>
          <w:p w14:paraId="26B63123" w14:textId="77777777" w:rsidR="00794EB9" w:rsidRPr="00794EB9" w:rsidRDefault="00794EB9" w:rsidP="00C307FB">
            <w:pPr>
              <w:spacing w:after="240"/>
              <w:jc w:val="center"/>
              <w:rPr>
                <w:rFonts w:ascii="Arial" w:hAnsi="Arial" w:cs="Arial"/>
                <w:sz w:val="22"/>
                <w:szCs w:val="22"/>
                <w:lang w:eastAsia="es-MX"/>
              </w:rPr>
            </w:pPr>
            <w:r w:rsidRPr="00794EB9">
              <w:rPr>
                <w:rFonts w:ascii="Arial" w:hAnsi="Arial" w:cs="Arial"/>
                <w:sz w:val="22"/>
                <w:szCs w:val="22"/>
                <w:lang w:eastAsia="es-MX"/>
              </w:rPr>
              <w:t>Incrementar en un 50% el uso de la plataforma para realizar trámites a través del  SARE para 2024</w:t>
            </w:r>
          </w:p>
        </w:tc>
        <w:tc>
          <w:tcPr>
            <w:tcW w:w="336" w:type="pct"/>
            <w:tcBorders>
              <w:top w:val="nil"/>
              <w:left w:val="nil"/>
              <w:bottom w:val="single" w:sz="4" w:space="0" w:color="auto"/>
              <w:right w:val="single" w:sz="4" w:space="0" w:color="auto"/>
            </w:tcBorders>
            <w:shd w:val="clear" w:color="auto" w:fill="auto"/>
            <w:vAlign w:val="center"/>
            <w:hideMark/>
          </w:tcPr>
          <w:p w14:paraId="3687E27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16086F9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20%</w:t>
            </w:r>
          </w:p>
        </w:tc>
        <w:tc>
          <w:tcPr>
            <w:tcW w:w="389" w:type="pct"/>
            <w:tcBorders>
              <w:top w:val="nil"/>
              <w:left w:val="nil"/>
              <w:bottom w:val="single" w:sz="4" w:space="0" w:color="auto"/>
              <w:right w:val="single" w:sz="4" w:space="0" w:color="auto"/>
            </w:tcBorders>
            <w:shd w:val="clear" w:color="auto" w:fill="auto"/>
            <w:vAlign w:val="center"/>
            <w:hideMark/>
          </w:tcPr>
          <w:p w14:paraId="5CACA9D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20%</w:t>
            </w:r>
          </w:p>
        </w:tc>
        <w:tc>
          <w:tcPr>
            <w:tcW w:w="389" w:type="pct"/>
            <w:tcBorders>
              <w:top w:val="nil"/>
              <w:left w:val="nil"/>
              <w:bottom w:val="single" w:sz="4" w:space="0" w:color="auto"/>
              <w:right w:val="single" w:sz="4" w:space="0" w:color="auto"/>
            </w:tcBorders>
            <w:shd w:val="clear" w:color="auto" w:fill="auto"/>
            <w:vAlign w:val="center"/>
            <w:hideMark/>
          </w:tcPr>
          <w:p w14:paraId="66FCCF0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w:t>
            </w:r>
          </w:p>
        </w:tc>
      </w:tr>
      <w:tr w:rsidR="00794EB9" w:rsidRPr="00794EB9" w14:paraId="18153ECE" w14:textId="77777777" w:rsidTr="00C307FB">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21E30A4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1.2. Modelo de Delegaciones</w:t>
            </w:r>
          </w:p>
        </w:tc>
        <w:tc>
          <w:tcPr>
            <w:tcW w:w="605" w:type="pct"/>
            <w:tcBorders>
              <w:top w:val="nil"/>
              <w:left w:val="nil"/>
              <w:bottom w:val="single" w:sz="4" w:space="0" w:color="auto"/>
              <w:right w:val="single" w:sz="4" w:space="0" w:color="auto"/>
            </w:tcBorders>
            <w:shd w:val="clear" w:color="auto" w:fill="auto"/>
            <w:vAlign w:val="center"/>
            <w:hideMark/>
          </w:tcPr>
          <w:p w14:paraId="1E0F0CC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1.2.1</w:t>
            </w:r>
          </w:p>
        </w:tc>
        <w:tc>
          <w:tcPr>
            <w:tcW w:w="695" w:type="pct"/>
            <w:tcBorders>
              <w:top w:val="nil"/>
              <w:left w:val="nil"/>
              <w:bottom w:val="single" w:sz="4" w:space="0" w:color="auto"/>
              <w:right w:val="single" w:sz="4" w:space="0" w:color="auto"/>
            </w:tcBorders>
            <w:shd w:val="clear" w:color="auto" w:fill="auto"/>
            <w:vAlign w:val="center"/>
            <w:hideMark/>
          </w:tcPr>
          <w:p w14:paraId="426A223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1.2.1 Definir el modelo de operación de las oficinas de atención en las Delegaciones.</w:t>
            </w:r>
          </w:p>
        </w:tc>
        <w:tc>
          <w:tcPr>
            <w:tcW w:w="732" w:type="pct"/>
            <w:tcBorders>
              <w:top w:val="nil"/>
              <w:left w:val="nil"/>
              <w:bottom w:val="single" w:sz="4" w:space="0" w:color="auto"/>
              <w:right w:val="single" w:sz="4" w:space="0" w:color="auto"/>
            </w:tcBorders>
            <w:shd w:val="clear" w:color="auto" w:fill="auto"/>
            <w:vAlign w:val="center"/>
            <w:hideMark/>
          </w:tcPr>
          <w:p w14:paraId="7CAF250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 Porcentaje de avance en las elaboración del modelo de operación de las oficinas de atención</w:t>
            </w:r>
          </w:p>
        </w:tc>
        <w:tc>
          <w:tcPr>
            <w:tcW w:w="772" w:type="pct"/>
            <w:tcBorders>
              <w:top w:val="nil"/>
              <w:left w:val="nil"/>
              <w:bottom w:val="single" w:sz="4" w:space="0" w:color="auto"/>
              <w:right w:val="single" w:sz="4" w:space="0" w:color="auto"/>
            </w:tcBorders>
            <w:shd w:val="clear" w:color="auto" w:fill="auto"/>
            <w:vAlign w:val="center"/>
            <w:hideMark/>
          </w:tcPr>
          <w:p w14:paraId="662BFB8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 Elaborar al 100% el modelo de operación de las oficinas de atención para 2022</w:t>
            </w:r>
          </w:p>
        </w:tc>
        <w:tc>
          <w:tcPr>
            <w:tcW w:w="336" w:type="pct"/>
            <w:tcBorders>
              <w:top w:val="nil"/>
              <w:left w:val="nil"/>
              <w:bottom w:val="single" w:sz="4" w:space="0" w:color="auto"/>
              <w:right w:val="single" w:sz="4" w:space="0" w:color="auto"/>
            </w:tcBorders>
            <w:shd w:val="clear" w:color="auto" w:fill="auto"/>
            <w:vAlign w:val="center"/>
            <w:hideMark/>
          </w:tcPr>
          <w:p w14:paraId="405CFAE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4A1244B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89" w:type="pct"/>
            <w:tcBorders>
              <w:top w:val="nil"/>
              <w:left w:val="nil"/>
              <w:bottom w:val="single" w:sz="4" w:space="0" w:color="auto"/>
              <w:right w:val="single" w:sz="4" w:space="0" w:color="auto"/>
            </w:tcBorders>
            <w:shd w:val="clear" w:color="auto" w:fill="auto"/>
            <w:vAlign w:val="center"/>
            <w:hideMark/>
          </w:tcPr>
          <w:p w14:paraId="39E3D1D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9" w:type="pct"/>
            <w:tcBorders>
              <w:top w:val="nil"/>
              <w:left w:val="nil"/>
              <w:bottom w:val="single" w:sz="4" w:space="0" w:color="auto"/>
              <w:right w:val="single" w:sz="4" w:space="0" w:color="auto"/>
            </w:tcBorders>
            <w:shd w:val="clear" w:color="auto" w:fill="auto"/>
            <w:vAlign w:val="center"/>
            <w:hideMark/>
          </w:tcPr>
          <w:p w14:paraId="73F4F98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 </w:t>
            </w:r>
          </w:p>
        </w:tc>
      </w:tr>
      <w:tr w:rsidR="00794EB9" w:rsidRPr="00794EB9" w14:paraId="6A4E3A45" w14:textId="77777777" w:rsidTr="00C307FB">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0217367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1.2. Modelo de Delegaciones</w:t>
            </w:r>
          </w:p>
        </w:tc>
        <w:tc>
          <w:tcPr>
            <w:tcW w:w="605" w:type="pct"/>
            <w:tcBorders>
              <w:top w:val="nil"/>
              <w:left w:val="nil"/>
              <w:bottom w:val="single" w:sz="4" w:space="0" w:color="auto"/>
              <w:right w:val="single" w:sz="4" w:space="0" w:color="auto"/>
            </w:tcBorders>
            <w:shd w:val="clear" w:color="auto" w:fill="auto"/>
            <w:vAlign w:val="center"/>
            <w:hideMark/>
          </w:tcPr>
          <w:p w14:paraId="4F9012B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1.2.2</w:t>
            </w:r>
          </w:p>
        </w:tc>
        <w:tc>
          <w:tcPr>
            <w:tcW w:w="695" w:type="pct"/>
            <w:tcBorders>
              <w:top w:val="nil"/>
              <w:left w:val="nil"/>
              <w:bottom w:val="single" w:sz="4" w:space="0" w:color="auto"/>
              <w:right w:val="single" w:sz="4" w:space="0" w:color="auto"/>
            </w:tcBorders>
            <w:shd w:val="clear" w:color="auto" w:fill="auto"/>
            <w:vAlign w:val="center"/>
            <w:hideMark/>
          </w:tcPr>
          <w:p w14:paraId="652BFBB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1.2.2 Instalar las oficinas de representación en las delegaciones.</w:t>
            </w:r>
          </w:p>
        </w:tc>
        <w:tc>
          <w:tcPr>
            <w:tcW w:w="732" w:type="pct"/>
            <w:tcBorders>
              <w:top w:val="nil"/>
              <w:left w:val="nil"/>
              <w:bottom w:val="single" w:sz="4" w:space="0" w:color="auto"/>
              <w:right w:val="single" w:sz="4" w:space="0" w:color="auto"/>
            </w:tcBorders>
            <w:shd w:val="clear" w:color="auto" w:fill="auto"/>
            <w:vAlign w:val="center"/>
            <w:hideMark/>
          </w:tcPr>
          <w:p w14:paraId="63653DA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instalación de las oficinas respecto del total planeado, Oficinas instaladas respecto al total planeado</w:t>
            </w:r>
          </w:p>
        </w:tc>
        <w:tc>
          <w:tcPr>
            <w:tcW w:w="772" w:type="pct"/>
            <w:tcBorders>
              <w:top w:val="nil"/>
              <w:left w:val="nil"/>
              <w:bottom w:val="single" w:sz="4" w:space="0" w:color="auto"/>
              <w:right w:val="single" w:sz="4" w:space="0" w:color="auto"/>
            </w:tcBorders>
            <w:shd w:val="clear" w:color="auto" w:fill="auto"/>
            <w:vAlign w:val="center"/>
            <w:hideMark/>
          </w:tcPr>
          <w:p w14:paraId="3DFC02A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 Instalar 7 oficinas de representación municipal, una por cada una de las delegaciones para 2022. </w:t>
            </w:r>
          </w:p>
        </w:tc>
        <w:tc>
          <w:tcPr>
            <w:tcW w:w="336" w:type="pct"/>
            <w:tcBorders>
              <w:top w:val="nil"/>
              <w:left w:val="nil"/>
              <w:bottom w:val="single" w:sz="4" w:space="0" w:color="auto"/>
              <w:right w:val="single" w:sz="4" w:space="0" w:color="auto"/>
            </w:tcBorders>
            <w:shd w:val="clear" w:color="auto" w:fill="auto"/>
            <w:vAlign w:val="center"/>
            <w:hideMark/>
          </w:tcPr>
          <w:p w14:paraId="07FE43E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407F546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7 oficinas instaladas</w:t>
            </w:r>
          </w:p>
        </w:tc>
        <w:tc>
          <w:tcPr>
            <w:tcW w:w="389" w:type="pct"/>
            <w:tcBorders>
              <w:top w:val="nil"/>
              <w:left w:val="nil"/>
              <w:bottom w:val="single" w:sz="4" w:space="0" w:color="auto"/>
              <w:right w:val="single" w:sz="4" w:space="0" w:color="auto"/>
            </w:tcBorders>
            <w:shd w:val="clear" w:color="auto" w:fill="auto"/>
            <w:vAlign w:val="center"/>
            <w:hideMark/>
          </w:tcPr>
          <w:p w14:paraId="6FD5AD5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9" w:type="pct"/>
            <w:tcBorders>
              <w:top w:val="nil"/>
              <w:left w:val="nil"/>
              <w:bottom w:val="single" w:sz="4" w:space="0" w:color="auto"/>
              <w:right w:val="single" w:sz="4" w:space="0" w:color="auto"/>
            </w:tcBorders>
            <w:shd w:val="clear" w:color="auto" w:fill="auto"/>
            <w:vAlign w:val="center"/>
            <w:hideMark/>
          </w:tcPr>
          <w:p w14:paraId="7367A5B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118F40CF" w14:textId="77777777" w:rsidTr="00C307FB">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561E579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1.3. Presupuesto participativo</w:t>
            </w:r>
          </w:p>
        </w:tc>
        <w:tc>
          <w:tcPr>
            <w:tcW w:w="605" w:type="pct"/>
            <w:tcBorders>
              <w:top w:val="nil"/>
              <w:left w:val="nil"/>
              <w:bottom w:val="single" w:sz="4" w:space="0" w:color="auto"/>
              <w:right w:val="single" w:sz="4" w:space="0" w:color="auto"/>
            </w:tcBorders>
            <w:shd w:val="clear" w:color="auto" w:fill="auto"/>
            <w:vAlign w:val="center"/>
            <w:hideMark/>
          </w:tcPr>
          <w:p w14:paraId="6512EC4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1.3.1</w:t>
            </w:r>
          </w:p>
        </w:tc>
        <w:tc>
          <w:tcPr>
            <w:tcW w:w="695" w:type="pct"/>
            <w:tcBorders>
              <w:top w:val="nil"/>
              <w:left w:val="nil"/>
              <w:bottom w:val="single" w:sz="4" w:space="0" w:color="auto"/>
              <w:right w:val="single" w:sz="4" w:space="0" w:color="auto"/>
            </w:tcBorders>
            <w:shd w:val="clear" w:color="auto" w:fill="auto"/>
            <w:vAlign w:val="center"/>
            <w:hideMark/>
          </w:tcPr>
          <w:p w14:paraId="21FE86D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1.3.1 Implementar un Sistema de participación ciudadana para la asignación del presupuesto</w:t>
            </w:r>
          </w:p>
        </w:tc>
        <w:tc>
          <w:tcPr>
            <w:tcW w:w="732" w:type="pct"/>
            <w:tcBorders>
              <w:top w:val="nil"/>
              <w:left w:val="nil"/>
              <w:bottom w:val="single" w:sz="4" w:space="0" w:color="auto"/>
              <w:right w:val="single" w:sz="4" w:space="0" w:color="auto"/>
            </w:tcBorders>
            <w:shd w:val="clear" w:color="auto" w:fill="auto"/>
            <w:vAlign w:val="center"/>
            <w:hideMark/>
          </w:tcPr>
          <w:p w14:paraId="3C88421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avance de implementación del sistema de presupuesto participativo </w:t>
            </w:r>
          </w:p>
        </w:tc>
        <w:tc>
          <w:tcPr>
            <w:tcW w:w="772" w:type="pct"/>
            <w:tcBorders>
              <w:top w:val="nil"/>
              <w:left w:val="nil"/>
              <w:bottom w:val="single" w:sz="4" w:space="0" w:color="auto"/>
              <w:right w:val="single" w:sz="4" w:space="0" w:color="auto"/>
            </w:tcBorders>
            <w:shd w:val="clear" w:color="auto" w:fill="auto"/>
            <w:vAlign w:val="center"/>
            <w:hideMark/>
          </w:tcPr>
          <w:p w14:paraId="525C77F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Implementar el 100% del sistema para gestionar el presupuesto participativo y mantener hasta 2024</w:t>
            </w:r>
          </w:p>
        </w:tc>
        <w:tc>
          <w:tcPr>
            <w:tcW w:w="336" w:type="pct"/>
            <w:tcBorders>
              <w:top w:val="nil"/>
              <w:left w:val="nil"/>
              <w:bottom w:val="single" w:sz="4" w:space="0" w:color="auto"/>
              <w:right w:val="single" w:sz="4" w:space="0" w:color="auto"/>
            </w:tcBorders>
            <w:shd w:val="clear" w:color="auto" w:fill="auto"/>
            <w:vAlign w:val="center"/>
            <w:hideMark/>
          </w:tcPr>
          <w:p w14:paraId="407267F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000B3B8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89" w:type="pct"/>
            <w:tcBorders>
              <w:top w:val="nil"/>
              <w:left w:val="nil"/>
              <w:bottom w:val="single" w:sz="4" w:space="0" w:color="auto"/>
              <w:right w:val="single" w:sz="4" w:space="0" w:color="auto"/>
            </w:tcBorders>
            <w:shd w:val="clear" w:color="auto" w:fill="auto"/>
            <w:vAlign w:val="center"/>
            <w:hideMark/>
          </w:tcPr>
          <w:p w14:paraId="49F7B13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89" w:type="pct"/>
            <w:tcBorders>
              <w:top w:val="nil"/>
              <w:left w:val="nil"/>
              <w:bottom w:val="single" w:sz="4" w:space="0" w:color="auto"/>
              <w:right w:val="single" w:sz="4" w:space="0" w:color="auto"/>
            </w:tcBorders>
            <w:shd w:val="clear" w:color="auto" w:fill="auto"/>
            <w:vAlign w:val="center"/>
            <w:hideMark/>
          </w:tcPr>
          <w:p w14:paraId="3E56588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2BBA0ADD" w14:textId="77777777" w:rsidTr="00C307FB">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3FB6122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1.3. Presupuesto participativo</w:t>
            </w:r>
          </w:p>
        </w:tc>
        <w:tc>
          <w:tcPr>
            <w:tcW w:w="605" w:type="pct"/>
            <w:tcBorders>
              <w:top w:val="nil"/>
              <w:left w:val="nil"/>
              <w:bottom w:val="single" w:sz="4" w:space="0" w:color="auto"/>
              <w:right w:val="single" w:sz="4" w:space="0" w:color="auto"/>
            </w:tcBorders>
            <w:shd w:val="clear" w:color="auto" w:fill="auto"/>
            <w:vAlign w:val="center"/>
            <w:hideMark/>
          </w:tcPr>
          <w:p w14:paraId="46E32A8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1.3.2</w:t>
            </w:r>
          </w:p>
        </w:tc>
        <w:tc>
          <w:tcPr>
            <w:tcW w:w="695" w:type="pct"/>
            <w:tcBorders>
              <w:top w:val="nil"/>
              <w:left w:val="nil"/>
              <w:bottom w:val="single" w:sz="4" w:space="0" w:color="auto"/>
              <w:right w:val="single" w:sz="4" w:space="0" w:color="auto"/>
            </w:tcBorders>
            <w:shd w:val="clear" w:color="auto" w:fill="auto"/>
            <w:vAlign w:val="center"/>
            <w:hideMark/>
          </w:tcPr>
          <w:p w14:paraId="13E4288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1.3.2 Establecer los mecanismos y difundir los procesos de postulación y votación de acciones por Delegación</w:t>
            </w:r>
          </w:p>
        </w:tc>
        <w:tc>
          <w:tcPr>
            <w:tcW w:w="732" w:type="pct"/>
            <w:tcBorders>
              <w:top w:val="nil"/>
              <w:left w:val="nil"/>
              <w:bottom w:val="single" w:sz="4" w:space="0" w:color="auto"/>
              <w:right w:val="single" w:sz="4" w:space="0" w:color="auto"/>
            </w:tcBorders>
            <w:shd w:val="clear" w:color="auto" w:fill="auto"/>
            <w:vAlign w:val="center"/>
            <w:hideMark/>
          </w:tcPr>
          <w:p w14:paraId="32F3C3E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Población mayor de 18 años que reside en el Municipio de León, que participa en el proyecto de presupuesto participativo</w:t>
            </w:r>
          </w:p>
        </w:tc>
        <w:tc>
          <w:tcPr>
            <w:tcW w:w="772" w:type="pct"/>
            <w:tcBorders>
              <w:top w:val="nil"/>
              <w:left w:val="nil"/>
              <w:bottom w:val="single" w:sz="4" w:space="0" w:color="auto"/>
              <w:right w:val="single" w:sz="4" w:space="0" w:color="auto"/>
            </w:tcBorders>
            <w:shd w:val="clear" w:color="auto" w:fill="auto"/>
            <w:vAlign w:val="center"/>
            <w:hideMark/>
          </w:tcPr>
          <w:p w14:paraId="4CAFF86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Lograr la participación ciudadana de al menos el 1% de la población mayor de 18 años que reside en el municipio de León anualmente</w:t>
            </w:r>
          </w:p>
        </w:tc>
        <w:tc>
          <w:tcPr>
            <w:tcW w:w="336" w:type="pct"/>
            <w:tcBorders>
              <w:top w:val="nil"/>
              <w:left w:val="nil"/>
              <w:bottom w:val="single" w:sz="4" w:space="0" w:color="auto"/>
              <w:right w:val="single" w:sz="4" w:space="0" w:color="auto"/>
            </w:tcBorders>
            <w:shd w:val="clear" w:color="auto" w:fill="auto"/>
            <w:vAlign w:val="center"/>
            <w:hideMark/>
          </w:tcPr>
          <w:p w14:paraId="15D9155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441515A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11,771</w:t>
            </w:r>
          </w:p>
        </w:tc>
        <w:tc>
          <w:tcPr>
            <w:tcW w:w="389" w:type="pct"/>
            <w:tcBorders>
              <w:top w:val="nil"/>
              <w:left w:val="nil"/>
              <w:bottom w:val="single" w:sz="4" w:space="0" w:color="auto"/>
              <w:right w:val="single" w:sz="4" w:space="0" w:color="auto"/>
            </w:tcBorders>
            <w:shd w:val="clear" w:color="auto" w:fill="auto"/>
            <w:vAlign w:val="center"/>
            <w:hideMark/>
          </w:tcPr>
          <w:p w14:paraId="77ECA07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11,771</w:t>
            </w:r>
          </w:p>
        </w:tc>
        <w:tc>
          <w:tcPr>
            <w:tcW w:w="389" w:type="pct"/>
            <w:tcBorders>
              <w:top w:val="nil"/>
              <w:left w:val="nil"/>
              <w:bottom w:val="single" w:sz="4" w:space="0" w:color="auto"/>
              <w:right w:val="single" w:sz="4" w:space="0" w:color="auto"/>
            </w:tcBorders>
            <w:shd w:val="clear" w:color="auto" w:fill="auto"/>
            <w:vAlign w:val="center"/>
            <w:hideMark/>
          </w:tcPr>
          <w:p w14:paraId="4BD4547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11,771</w:t>
            </w:r>
          </w:p>
        </w:tc>
      </w:tr>
      <w:tr w:rsidR="00794EB9" w:rsidRPr="00794EB9" w14:paraId="06571611" w14:textId="77777777" w:rsidTr="00C307FB">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1B3F96C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1.4 Nuevo Modelo de Atención Ciudadana</w:t>
            </w:r>
          </w:p>
        </w:tc>
        <w:tc>
          <w:tcPr>
            <w:tcW w:w="605" w:type="pct"/>
            <w:tcBorders>
              <w:top w:val="nil"/>
              <w:left w:val="nil"/>
              <w:bottom w:val="single" w:sz="4" w:space="0" w:color="auto"/>
              <w:right w:val="single" w:sz="4" w:space="0" w:color="auto"/>
            </w:tcBorders>
            <w:shd w:val="clear" w:color="auto" w:fill="auto"/>
            <w:vAlign w:val="center"/>
            <w:hideMark/>
          </w:tcPr>
          <w:p w14:paraId="7187351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1.4.1</w:t>
            </w:r>
          </w:p>
        </w:tc>
        <w:tc>
          <w:tcPr>
            <w:tcW w:w="695" w:type="pct"/>
            <w:tcBorders>
              <w:top w:val="nil"/>
              <w:left w:val="nil"/>
              <w:bottom w:val="single" w:sz="4" w:space="0" w:color="auto"/>
              <w:right w:val="single" w:sz="4" w:space="0" w:color="auto"/>
            </w:tcBorders>
            <w:shd w:val="clear" w:color="auto" w:fill="auto"/>
            <w:vAlign w:val="center"/>
            <w:hideMark/>
          </w:tcPr>
          <w:p w14:paraId="6B0D92E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1.4.1 Relanzar el Miércoles Ciudadano para la atención de solicitudes de la ciudadanía.</w:t>
            </w:r>
          </w:p>
        </w:tc>
        <w:tc>
          <w:tcPr>
            <w:tcW w:w="732" w:type="pct"/>
            <w:tcBorders>
              <w:top w:val="nil"/>
              <w:left w:val="nil"/>
              <w:bottom w:val="single" w:sz="4" w:space="0" w:color="auto"/>
              <w:right w:val="single" w:sz="4" w:space="0" w:color="auto"/>
            </w:tcBorders>
            <w:shd w:val="clear" w:color="auto" w:fill="auto"/>
            <w:vAlign w:val="center"/>
            <w:hideMark/>
          </w:tcPr>
          <w:p w14:paraId="02CA251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solicitudes y reportes ciudadanos recibidos en el programa de Miércoles Ciudadano </w:t>
            </w:r>
          </w:p>
        </w:tc>
        <w:tc>
          <w:tcPr>
            <w:tcW w:w="772" w:type="pct"/>
            <w:tcBorders>
              <w:top w:val="nil"/>
              <w:left w:val="nil"/>
              <w:bottom w:val="single" w:sz="4" w:space="0" w:color="auto"/>
              <w:right w:val="single" w:sz="4" w:space="0" w:color="auto"/>
            </w:tcBorders>
            <w:shd w:val="clear" w:color="auto" w:fill="auto"/>
            <w:vAlign w:val="center"/>
            <w:hideMark/>
          </w:tcPr>
          <w:p w14:paraId="1FFE274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Atender y responder anualmente el 100% de los reportes y solicitudes recibidas por la ciudadanía.</w:t>
            </w:r>
          </w:p>
        </w:tc>
        <w:tc>
          <w:tcPr>
            <w:tcW w:w="336" w:type="pct"/>
            <w:tcBorders>
              <w:top w:val="nil"/>
              <w:left w:val="nil"/>
              <w:bottom w:val="single" w:sz="4" w:space="0" w:color="auto"/>
              <w:right w:val="single" w:sz="4" w:space="0" w:color="auto"/>
            </w:tcBorders>
            <w:shd w:val="clear" w:color="auto" w:fill="auto"/>
            <w:vAlign w:val="center"/>
            <w:hideMark/>
          </w:tcPr>
          <w:p w14:paraId="743641B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6083CF5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89" w:type="pct"/>
            <w:tcBorders>
              <w:top w:val="nil"/>
              <w:left w:val="nil"/>
              <w:bottom w:val="single" w:sz="4" w:space="0" w:color="auto"/>
              <w:right w:val="single" w:sz="4" w:space="0" w:color="auto"/>
            </w:tcBorders>
            <w:shd w:val="clear" w:color="auto" w:fill="auto"/>
            <w:vAlign w:val="center"/>
            <w:hideMark/>
          </w:tcPr>
          <w:p w14:paraId="3BB514F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89" w:type="pct"/>
            <w:tcBorders>
              <w:top w:val="nil"/>
              <w:left w:val="nil"/>
              <w:bottom w:val="single" w:sz="4" w:space="0" w:color="auto"/>
              <w:right w:val="single" w:sz="4" w:space="0" w:color="auto"/>
            </w:tcBorders>
            <w:shd w:val="clear" w:color="auto" w:fill="auto"/>
            <w:vAlign w:val="center"/>
            <w:hideMark/>
          </w:tcPr>
          <w:p w14:paraId="2CF3217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r>
      <w:tr w:rsidR="00794EB9" w:rsidRPr="00794EB9" w14:paraId="2B5C3621" w14:textId="77777777" w:rsidTr="00C307FB">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55F6431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1.4 Nuevo Modelo de Atención Ciudadana</w:t>
            </w:r>
          </w:p>
        </w:tc>
        <w:tc>
          <w:tcPr>
            <w:tcW w:w="605" w:type="pct"/>
            <w:tcBorders>
              <w:top w:val="nil"/>
              <w:left w:val="nil"/>
              <w:bottom w:val="single" w:sz="4" w:space="0" w:color="auto"/>
              <w:right w:val="single" w:sz="4" w:space="0" w:color="auto"/>
            </w:tcBorders>
            <w:shd w:val="clear" w:color="auto" w:fill="auto"/>
            <w:vAlign w:val="center"/>
            <w:hideMark/>
          </w:tcPr>
          <w:p w14:paraId="6379D7E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1.4.2</w:t>
            </w:r>
          </w:p>
        </w:tc>
        <w:tc>
          <w:tcPr>
            <w:tcW w:w="695" w:type="pct"/>
            <w:tcBorders>
              <w:top w:val="nil"/>
              <w:left w:val="nil"/>
              <w:bottom w:val="single" w:sz="4" w:space="0" w:color="auto"/>
              <w:right w:val="single" w:sz="4" w:space="0" w:color="auto"/>
            </w:tcBorders>
            <w:shd w:val="clear" w:color="auto" w:fill="auto"/>
            <w:vAlign w:val="center"/>
            <w:hideMark/>
          </w:tcPr>
          <w:p w14:paraId="545C720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1.4.2 Lanzar el programa Mi Barrio Habla en comunidades rurales y urbanas que comprende la organización de asambleas, mesa de servicios y atención ciudadana. </w:t>
            </w:r>
          </w:p>
        </w:tc>
        <w:tc>
          <w:tcPr>
            <w:tcW w:w="732" w:type="pct"/>
            <w:tcBorders>
              <w:top w:val="nil"/>
              <w:left w:val="nil"/>
              <w:bottom w:val="single" w:sz="4" w:space="0" w:color="auto"/>
              <w:right w:val="single" w:sz="4" w:space="0" w:color="auto"/>
            </w:tcBorders>
            <w:shd w:val="clear" w:color="auto" w:fill="auto"/>
            <w:vAlign w:val="center"/>
            <w:hideMark/>
          </w:tcPr>
          <w:p w14:paraId="798EC6A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Eventos realizados en la colonia o comunidad, respecto del total</w:t>
            </w:r>
          </w:p>
        </w:tc>
        <w:tc>
          <w:tcPr>
            <w:tcW w:w="772" w:type="pct"/>
            <w:tcBorders>
              <w:top w:val="nil"/>
              <w:left w:val="nil"/>
              <w:bottom w:val="single" w:sz="4" w:space="0" w:color="auto"/>
              <w:right w:val="single" w:sz="4" w:space="0" w:color="auto"/>
            </w:tcBorders>
            <w:shd w:val="clear" w:color="auto" w:fill="auto"/>
            <w:vAlign w:val="center"/>
            <w:hideMark/>
          </w:tcPr>
          <w:p w14:paraId="08DA68AA" w14:textId="08731920" w:rsidR="00794EB9" w:rsidRDefault="003A175C" w:rsidP="00C307FB">
            <w:pPr>
              <w:jc w:val="center"/>
              <w:rPr>
                <w:rFonts w:ascii="Arial" w:hAnsi="Arial" w:cs="Arial"/>
                <w:sz w:val="22"/>
                <w:szCs w:val="22"/>
                <w:lang w:eastAsia="es-MX"/>
              </w:rPr>
            </w:pPr>
            <w:r>
              <w:rPr>
                <w:rFonts w:ascii="Arial" w:hAnsi="Arial" w:cs="Arial"/>
                <w:sz w:val="22"/>
                <w:szCs w:val="22"/>
                <w:lang w:eastAsia="es-MX"/>
              </w:rPr>
              <w:t>Realizar 30</w:t>
            </w:r>
            <w:r w:rsidR="00794EB9" w:rsidRPr="00794EB9">
              <w:rPr>
                <w:rFonts w:ascii="Arial" w:hAnsi="Arial" w:cs="Arial"/>
                <w:sz w:val="22"/>
                <w:szCs w:val="22"/>
                <w:lang w:eastAsia="es-MX"/>
              </w:rPr>
              <w:t xml:space="preserve"> eventos al año en la</w:t>
            </w:r>
            <w:r>
              <w:rPr>
                <w:rFonts w:ascii="Arial" w:hAnsi="Arial" w:cs="Arial"/>
                <w:sz w:val="22"/>
                <w:szCs w:val="22"/>
                <w:lang w:eastAsia="es-MX"/>
              </w:rPr>
              <w:t>s</w:t>
            </w:r>
            <w:r w:rsidR="00794EB9" w:rsidRPr="00794EB9">
              <w:rPr>
                <w:rFonts w:ascii="Arial" w:hAnsi="Arial" w:cs="Arial"/>
                <w:sz w:val="22"/>
                <w:szCs w:val="22"/>
                <w:lang w:eastAsia="es-MX"/>
              </w:rPr>
              <w:t xml:space="preserve"> diferentes colonias y comunidades de las delegaciones.</w:t>
            </w:r>
            <w:r>
              <w:rPr>
                <w:rFonts w:ascii="Arial" w:hAnsi="Arial" w:cs="Arial"/>
                <w:sz w:val="22"/>
                <w:szCs w:val="22"/>
                <w:lang w:eastAsia="es-MX"/>
              </w:rPr>
              <w:t xml:space="preserve"> </w:t>
            </w:r>
          </w:p>
          <w:p w14:paraId="75683EF9" w14:textId="692A1A7B" w:rsidR="003A175C" w:rsidRPr="00794EB9" w:rsidRDefault="00FB4DF0" w:rsidP="00DA7CE9">
            <w:pPr>
              <w:jc w:val="center"/>
              <w:rPr>
                <w:rFonts w:ascii="Arial" w:hAnsi="Arial" w:cs="Arial"/>
                <w:sz w:val="22"/>
                <w:szCs w:val="22"/>
                <w:lang w:eastAsia="es-MX"/>
              </w:rPr>
            </w:pPr>
            <w:r>
              <w:rPr>
                <w:rFonts w:ascii="Arial" w:hAnsi="Arial" w:cs="Arial"/>
                <w:b/>
                <w:color w:val="002060"/>
                <w:sz w:val="18"/>
                <w:szCs w:val="18"/>
                <w:lang w:eastAsia="es-MX"/>
              </w:rPr>
              <w:t>Meta</w:t>
            </w:r>
            <w:r w:rsidR="003A175C">
              <w:rPr>
                <w:rFonts w:ascii="Arial" w:hAnsi="Arial" w:cs="Arial"/>
                <w:b/>
                <w:color w:val="002060"/>
                <w:sz w:val="18"/>
                <w:szCs w:val="18"/>
                <w:lang w:eastAsia="es-MX"/>
              </w:rPr>
              <w:t xml:space="preserve"> y metas anuales </w:t>
            </w:r>
            <w:r w:rsidR="00DA7CE9">
              <w:rPr>
                <w:rFonts w:ascii="Arial" w:hAnsi="Arial" w:cs="Arial"/>
                <w:b/>
                <w:color w:val="002060"/>
                <w:sz w:val="18"/>
                <w:szCs w:val="18"/>
                <w:lang w:eastAsia="es-MX"/>
              </w:rPr>
              <w:t>disminuidas</w:t>
            </w:r>
            <w:r w:rsidR="003A175C" w:rsidRPr="00900446">
              <w:rPr>
                <w:rFonts w:ascii="Arial" w:hAnsi="Arial" w:cs="Arial"/>
                <w:b/>
                <w:color w:val="002060"/>
                <w:sz w:val="18"/>
                <w:szCs w:val="18"/>
                <w:lang w:eastAsia="es-MX"/>
              </w:rPr>
              <w:t xml:space="preserve"> P.O. 27-12-2022</w:t>
            </w:r>
          </w:p>
        </w:tc>
        <w:tc>
          <w:tcPr>
            <w:tcW w:w="336" w:type="pct"/>
            <w:tcBorders>
              <w:top w:val="nil"/>
              <w:left w:val="nil"/>
              <w:bottom w:val="single" w:sz="4" w:space="0" w:color="auto"/>
              <w:right w:val="single" w:sz="4" w:space="0" w:color="auto"/>
            </w:tcBorders>
            <w:shd w:val="clear" w:color="auto" w:fill="auto"/>
            <w:vAlign w:val="center"/>
            <w:hideMark/>
          </w:tcPr>
          <w:p w14:paraId="3B44C0C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57A488E7" w14:textId="0B9AA814" w:rsidR="00794EB9" w:rsidRPr="00794EB9" w:rsidRDefault="003A175C" w:rsidP="00C307FB">
            <w:pPr>
              <w:jc w:val="center"/>
              <w:rPr>
                <w:rFonts w:ascii="Arial" w:hAnsi="Arial" w:cs="Arial"/>
                <w:sz w:val="22"/>
                <w:szCs w:val="22"/>
                <w:lang w:eastAsia="es-MX"/>
              </w:rPr>
            </w:pPr>
            <w:r>
              <w:rPr>
                <w:rFonts w:ascii="Arial" w:hAnsi="Arial" w:cs="Arial"/>
                <w:sz w:val="22"/>
                <w:szCs w:val="22"/>
                <w:lang w:eastAsia="es-MX"/>
              </w:rPr>
              <w:t>30</w:t>
            </w:r>
          </w:p>
        </w:tc>
        <w:tc>
          <w:tcPr>
            <w:tcW w:w="389" w:type="pct"/>
            <w:tcBorders>
              <w:top w:val="nil"/>
              <w:left w:val="nil"/>
              <w:bottom w:val="single" w:sz="4" w:space="0" w:color="auto"/>
              <w:right w:val="single" w:sz="4" w:space="0" w:color="auto"/>
            </w:tcBorders>
            <w:shd w:val="clear" w:color="auto" w:fill="auto"/>
            <w:vAlign w:val="center"/>
            <w:hideMark/>
          </w:tcPr>
          <w:p w14:paraId="5E24F45C" w14:textId="6706B976" w:rsidR="00794EB9" w:rsidRPr="00794EB9" w:rsidRDefault="003A175C" w:rsidP="00C307FB">
            <w:pPr>
              <w:jc w:val="center"/>
              <w:rPr>
                <w:rFonts w:ascii="Arial" w:hAnsi="Arial" w:cs="Arial"/>
                <w:sz w:val="22"/>
                <w:szCs w:val="22"/>
                <w:lang w:eastAsia="es-MX"/>
              </w:rPr>
            </w:pPr>
            <w:r>
              <w:rPr>
                <w:rFonts w:ascii="Arial" w:hAnsi="Arial" w:cs="Arial"/>
                <w:sz w:val="22"/>
                <w:szCs w:val="22"/>
                <w:lang w:eastAsia="es-MX"/>
              </w:rPr>
              <w:t>30</w:t>
            </w:r>
          </w:p>
        </w:tc>
        <w:tc>
          <w:tcPr>
            <w:tcW w:w="389" w:type="pct"/>
            <w:tcBorders>
              <w:top w:val="nil"/>
              <w:left w:val="nil"/>
              <w:bottom w:val="single" w:sz="4" w:space="0" w:color="auto"/>
              <w:right w:val="single" w:sz="4" w:space="0" w:color="auto"/>
            </w:tcBorders>
            <w:shd w:val="clear" w:color="auto" w:fill="auto"/>
            <w:vAlign w:val="center"/>
            <w:hideMark/>
          </w:tcPr>
          <w:p w14:paraId="4ABF6395" w14:textId="61092661" w:rsidR="00794EB9" w:rsidRPr="00794EB9" w:rsidRDefault="003A175C" w:rsidP="00C307FB">
            <w:pPr>
              <w:jc w:val="center"/>
              <w:rPr>
                <w:rFonts w:ascii="Arial" w:hAnsi="Arial" w:cs="Arial"/>
                <w:sz w:val="22"/>
                <w:szCs w:val="22"/>
                <w:lang w:eastAsia="es-MX"/>
              </w:rPr>
            </w:pPr>
            <w:r>
              <w:rPr>
                <w:rFonts w:ascii="Arial" w:hAnsi="Arial" w:cs="Arial"/>
                <w:sz w:val="22"/>
                <w:szCs w:val="22"/>
                <w:lang w:eastAsia="es-MX"/>
              </w:rPr>
              <w:t>30</w:t>
            </w:r>
          </w:p>
        </w:tc>
      </w:tr>
      <w:tr w:rsidR="00794EB9" w:rsidRPr="00794EB9" w14:paraId="63C93B1D" w14:textId="77777777" w:rsidTr="00C307FB">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0B955227" w14:textId="3DEE0412"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1.4 Nuevo Modelo de Atención Ciudadana</w:t>
            </w:r>
          </w:p>
        </w:tc>
        <w:tc>
          <w:tcPr>
            <w:tcW w:w="605" w:type="pct"/>
            <w:tcBorders>
              <w:top w:val="nil"/>
              <w:left w:val="nil"/>
              <w:bottom w:val="single" w:sz="4" w:space="0" w:color="auto"/>
              <w:right w:val="single" w:sz="4" w:space="0" w:color="auto"/>
            </w:tcBorders>
            <w:shd w:val="clear" w:color="auto" w:fill="auto"/>
            <w:vAlign w:val="center"/>
            <w:hideMark/>
          </w:tcPr>
          <w:p w14:paraId="7A7D648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1.4.3</w:t>
            </w:r>
          </w:p>
        </w:tc>
        <w:tc>
          <w:tcPr>
            <w:tcW w:w="695" w:type="pct"/>
            <w:tcBorders>
              <w:top w:val="nil"/>
              <w:left w:val="nil"/>
              <w:bottom w:val="single" w:sz="4" w:space="0" w:color="auto"/>
              <w:right w:val="single" w:sz="4" w:space="0" w:color="auto"/>
            </w:tcBorders>
            <w:shd w:val="clear" w:color="auto" w:fill="auto"/>
            <w:vAlign w:val="center"/>
            <w:hideMark/>
          </w:tcPr>
          <w:p w14:paraId="378772E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1.4.3 Lanzar el programa de Presidenta en Tu Casa, con la visita de la Alcaldesa a una casa en diferentes colonias.</w:t>
            </w:r>
          </w:p>
        </w:tc>
        <w:tc>
          <w:tcPr>
            <w:tcW w:w="732" w:type="pct"/>
            <w:tcBorders>
              <w:top w:val="nil"/>
              <w:left w:val="nil"/>
              <w:bottom w:val="single" w:sz="4" w:space="0" w:color="auto"/>
              <w:right w:val="single" w:sz="4" w:space="0" w:color="auto"/>
            </w:tcBorders>
            <w:shd w:val="clear" w:color="auto" w:fill="auto"/>
            <w:vAlign w:val="center"/>
            <w:hideMark/>
          </w:tcPr>
          <w:p w14:paraId="624EECB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Número de casas visitadas por la alcaldesa anualmente.</w:t>
            </w:r>
          </w:p>
        </w:tc>
        <w:tc>
          <w:tcPr>
            <w:tcW w:w="772" w:type="pct"/>
            <w:tcBorders>
              <w:top w:val="nil"/>
              <w:left w:val="nil"/>
              <w:bottom w:val="single" w:sz="4" w:space="0" w:color="auto"/>
              <w:right w:val="single" w:sz="4" w:space="0" w:color="auto"/>
            </w:tcBorders>
            <w:shd w:val="clear" w:color="auto" w:fill="auto"/>
            <w:vAlign w:val="center"/>
            <w:hideMark/>
          </w:tcPr>
          <w:p w14:paraId="08DD080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46 visitas al año a domicilios de ciudadanos de las diferentes colonias y comunidades del Municipio.</w:t>
            </w:r>
          </w:p>
        </w:tc>
        <w:tc>
          <w:tcPr>
            <w:tcW w:w="336" w:type="pct"/>
            <w:tcBorders>
              <w:top w:val="nil"/>
              <w:left w:val="nil"/>
              <w:bottom w:val="single" w:sz="4" w:space="0" w:color="auto"/>
              <w:right w:val="single" w:sz="4" w:space="0" w:color="auto"/>
            </w:tcBorders>
            <w:shd w:val="clear" w:color="auto" w:fill="auto"/>
            <w:vAlign w:val="center"/>
            <w:hideMark/>
          </w:tcPr>
          <w:p w14:paraId="228A71B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3439BD5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46</w:t>
            </w:r>
          </w:p>
        </w:tc>
        <w:tc>
          <w:tcPr>
            <w:tcW w:w="389" w:type="pct"/>
            <w:tcBorders>
              <w:top w:val="nil"/>
              <w:left w:val="nil"/>
              <w:bottom w:val="single" w:sz="4" w:space="0" w:color="auto"/>
              <w:right w:val="single" w:sz="4" w:space="0" w:color="auto"/>
            </w:tcBorders>
            <w:shd w:val="clear" w:color="auto" w:fill="auto"/>
            <w:vAlign w:val="center"/>
            <w:hideMark/>
          </w:tcPr>
          <w:p w14:paraId="2621AB7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46</w:t>
            </w:r>
          </w:p>
        </w:tc>
        <w:tc>
          <w:tcPr>
            <w:tcW w:w="389" w:type="pct"/>
            <w:tcBorders>
              <w:top w:val="nil"/>
              <w:left w:val="nil"/>
              <w:bottom w:val="single" w:sz="4" w:space="0" w:color="auto"/>
              <w:right w:val="single" w:sz="4" w:space="0" w:color="auto"/>
            </w:tcBorders>
            <w:shd w:val="clear" w:color="auto" w:fill="auto"/>
            <w:vAlign w:val="center"/>
            <w:hideMark/>
          </w:tcPr>
          <w:p w14:paraId="74BBCD8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46</w:t>
            </w:r>
          </w:p>
        </w:tc>
      </w:tr>
      <w:tr w:rsidR="00794EB9" w:rsidRPr="00794EB9" w14:paraId="77FF1916" w14:textId="77777777" w:rsidTr="00C307FB">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39EDBDD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1.4 Nuevo Modelo de Atención Ciudadana</w:t>
            </w:r>
          </w:p>
        </w:tc>
        <w:tc>
          <w:tcPr>
            <w:tcW w:w="605" w:type="pct"/>
            <w:tcBorders>
              <w:top w:val="nil"/>
              <w:left w:val="nil"/>
              <w:bottom w:val="single" w:sz="4" w:space="0" w:color="auto"/>
              <w:right w:val="single" w:sz="4" w:space="0" w:color="auto"/>
            </w:tcBorders>
            <w:shd w:val="clear" w:color="auto" w:fill="auto"/>
            <w:vAlign w:val="center"/>
            <w:hideMark/>
          </w:tcPr>
          <w:p w14:paraId="7099006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1.4.4</w:t>
            </w:r>
          </w:p>
        </w:tc>
        <w:tc>
          <w:tcPr>
            <w:tcW w:w="695" w:type="pct"/>
            <w:tcBorders>
              <w:top w:val="nil"/>
              <w:left w:val="nil"/>
              <w:bottom w:val="single" w:sz="4" w:space="0" w:color="auto"/>
              <w:right w:val="single" w:sz="4" w:space="0" w:color="auto"/>
            </w:tcBorders>
            <w:shd w:val="clear" w:color="auto" w:fill="auto"/>
            <w:vAlign w:val="center"/>
            <w:hideMark/>
          </w:tcPr>
          <w:p w14:paraId="38B14FB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1.4.4. Relanzar el sistema de atención ciudadana a través del programa Hola León! que contempla la integración de diferentes mecanismos de atención vía página web, atención vía WhatsApp, App Móvil, línea 072 y Redes Sociales.</w:t>
            </w:r>
          </w:p>
        </w:tc>
        <w:tc>
          <w:tcPr>
            <w:tcW w:w="732" w:type="pct"/>
            <w:tcBorders>
              <w:top w:val="nil"/>
              <w:left w:val="nil"/>
              <w:bottom w:val="single" w:sz="4" w:space="0" w:color="auto"/>
              <w:right w:val="single" w:sz="4" w:space="0" w:color="auto"/>
            </w:tcBorders>
            <w:shd w:val="clear" w:color="auto" w:fill="auto"/>
            <w:vAlign w:val="center"/>
            <w:hideMark/>
          </w:tcPr>
          <w:p w14:paraId="054B6F9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reportes atendidos en tiempo, respecto del total.</w:t>
            </w:r>
          </w:p>
        </w:tc>
        <w:tc>
          <w:tcPr>
            <w:tcW w:w="772" w:type="pct"/>
            <w:tcBorders>
              <w:top w:val="nil"/>
              <w:left w:val="nil"/>
              <w:bottom w:val="single" w:sz="4" w:space="0" w:color="auto"/>
              <w:right w:val="single" w:sz="4" w:space="0" w:color="auto"/>
            </w:tcBorders>
            <w:shd w:val="clear" w:color="auto" w:fill="auto"/>
            <w:vAlign w:val="center"/>
            <w:hideMark/>
          </w:tcPr>
          <w:p w14:paraId="3A053E2A" w14:textId="77777777" w:rsidR="00794EB9" w:rsidRPr="00794EB9" w:rsidRDefault="00794EB9" w:rsidP="00C307FB">
            <w:pPr>
              <w:spacing w:after="240"/>
              <w:jc w:val="center"/>
              <w:rPr>
                <w:rFonts w:ascii="Arial" w:hAnsi="Arial" w:cs="Arial"/>
                <w:sz w:val="22"/>
                <w:szCs w:val="22"/>
                <w:lang w:eastAsia="es-MX"/>
              </w:rPr>
            </w:pPr>
            <w:r w:rsidRPr="00794EB9">
              <w:rPr>
                <w:rFonts w:ascii="Arial" w:hAnsi="Arial" w:cs="Arial"/>
                <w:sz w:val="22"/>
                <w:szCs w:val="22"/>
                <w:lang w:eastAsia="es-MX"/>
              </w:rPr>
              <w:t>Atender anualmente el 100% de los reportes y solicitudes ciudadanas que fueron registradas en el SAC (Servicio de Atención Ciudadana) a través del Programa Hola León¡</w:t>
            </w:r>
          </w:p>
        </w:tc>
        <w:tc>
          <w:tcPr>
            <w:tcW w:w="336" w:type="pct"/>
            <w:tcBorders>
              <w:top w:val="nil"/>
              <w:left w:val="nil"/>
              <w:bottom w:val="single" w:sz="4" w:space="0" w:color="auto"/>
              <w:right w:val="single" w:sz="4" w:space="0" w:color="auto"/>
            </w:tcBorders>
            <w:shd w:val="clear" w:color="auto" w:fill="auto"/>
            <w:vAlign w:val="center"/>
            <w:hideMark/>
          </w:tcPr>
          <w:p w14:paraId="762E953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741F558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89" w:type="pct"/>
            <w:tcBorders>
              <w:top w:val="nil"/>
              <w:left w:val="nil"/>
              <w:bottom w:val="single" w:sz="4" w:space="0" w:color="auto"/>
              <w:right w:val="single" w:sz="4" w:space="0" w:color="auto"/>
            </w:tcBorders>
            <w:shd w:val="clear" w:color="auto" w:fill="auto"/>
            <w:vAlign w:val="center"/>
            <w:hideMark/>
          </w:tcPr>
          <w:p w14:paraId="7120909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89" w:type="pct"/>
            <w:tcBorders>
              <w:top w:val="nil"/>
              <w:left w:val="nil"/>
              <w:bottom w:val="single" w:sz="4" w:space="0" w:color="auto"/>
              <w:right w:val="single" w:sz="4" w:space="0" w:color="auto"/>
            </w:tcBorders>
            <w:shd w:val="clear" w:color="auto" w:fill="auto"/>
            <w:vAlign w:val="center"/>
            <w:hideMark/>
          </w:tcPr>
          <w:p w14:paraId="09575FB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r>
      <w:tr w:rsidR="00794EB9" w:rsidRPr="00794EB9" w14:paraId="5F54DAE5" w14:textId="77777777" w:rsidTr="00C307FB">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107250A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1.4 Nuevo Modelo de Atención Ciudadana</w:t>
            </w:r>
          </w:p>
        </w:tc>
        <w:tc>
          <w:tcPr>
            <w:tcW w:w="605" w:type="pct"/>
            <w:tcBorders>
              <w:top w:val="nil"/>
              <w:left w:val="nil"/>
              <w:bottom w:val="single" w:sz="4" w:space="0" w:color="auto"/>
              <w:right w:val="single" w:sz="4" w:space="0" w:color="auto"/>
            </w:tcBorders>
            <w:shd w:val="clear" w:color="auto" w:fill="auto"/>
            <w:vAlign w:val="center"/>
            <w:hideMark/>
          </w:tcPr>
          <w:p w14:paraId="0C8C499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1.4.5</w:t>
            </w:r>
          </w:p>
        </w:tc>
        <w:tc>
          <w:tcPr>
            <w:tcW w:w="695" w:type="pct"/>
            <w:tcBorders>
              <w:top w:val="nil"/>
              <w:left w:val="nil"/>
              <w:bottom w:val="single" w:sz="4" w:space="0" w:color="auto"/>
              <w:right w:val="single" w:sz="4" w:space="0" w:color="auto"/>
            </w:tcBorders>
            <w:shd w:val="clear" w:color="auto" w:fill="auto"/>
            <w:vAlign w:val="center"/>
            <w:hideMark/>
          </w:tcPr>
          <w:p w14:paraId="7CEF1D0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1.4.5. Realizar una ampliación de los horarios de atención en todas las dependencias que cuentan con ventanilla de atención al público. </w:t>
            </w:r>
          </w:p>
        </w:tc>
        <w:tc>
          <w:tcPr>
            <w:tcW w:w="732" w:type="pct"/>
            <w:tcBorders>
              <w:top w:val="nil"/>
              <w:left w:val="nil"/>
              <w:bottom w:val="single" w:sz="4" w:space="0" w:color="auto"/>
              <w:right w:val="single" w:sz="4" w:space="0" w:color="auto"/>
            </w:tcBorders>
            <w:shd w:val="clear" w:color="auto" w:fill="auto"/>
            <w:vAlign w:val="center"/>
            <w:hideMark/>
          </w:tcPr>
          <w:p w14:paraId="7C39C88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dependencias y entidades que cuentan con ventanilla de atención al público</w:t>
            </w:r>
          </w:p>
        </w:tc>
        <w:tc>
          <w:tcPr>
            <w:tcW w:w="772" w:type="pct"/>
            <w:tcBorders>
              <w:top w:val="nil"/>
              <w:left w:val="nil"/>
              <w:bottom w:val="single" w:sz="4" w:space="0" w:color="auto"/>
              <w:right w:val="single" w:sz="4" w:space="0" w:color="auto"/>
            </w:tcBorders>
            <w:shd w:val="clear" w:color="auto" w:fill="auto"/>
            <w:vAlign w:val="center"/>
            <w:hideMark/>
          </w:tcPr>
          <w:p w14:paraId="4FCF7A7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El 100% de las dependencias y entidades que cuentan con ventanilla de atención al público mantienen horario ampliado</w:t>
            </w:r>
          </w:p>
        </w:tc>
        <w:tc>
          <w:tcPr>
            <w:tcW w:w="336" w:type="pct"/>
            <w:tcBorders>
              <w:top w:val="nil"/>
              <w:left w:val="nil"/>
              <w:bottom w:val="single" w:sz="4" w:space="0" w:color="auto"/>
              <w:right w:val="single" w:sz="4" w:space="0" w:color="auto"/>
            </w:tcBorders>
            <w:shd w:val="clear" w:color="auto" w:fill="auto"/>
            <w:vAlign w:val="center"/>
            <w:hideMark/>
          </w:tcPr>
          <w:p w14:paraId="659974A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w:t>
            </w:r>
          </w:p>
        </w:tc>
        <w:tc>
          <w:tcPr>
            <w:tcW w:w="418" w:type="pct"/>
            <w:tcBorders>
              <w:top w:val="nil"/>
              <w:left w:val="nil"/>
              <w:bottom w:val="single" w:sz="4" w:space="0" w:color="auto"/>
              <w:right w:val="single" w:sz="4" w:space="0" w:color="auto"/>
            </w:tcBorders>
            <w:shd w:val="clear" w:color="auto" w:fill="auto"/>
            <w:vAlign w:val="center"/>
            <w:hideMark/>
          </w:tcPr>
          <w:p w14:paraId="4B1D139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89" w:type="pct"/>
            <w:tcBorders>
              <w:top w:val="nil"/>
              <w:left w:val="nil"/>
              <w:bottom w:val="single" w:sz="4" w:space="0" w:color="auto"/>
              <w:right w:val="single" w:sz="4" w:space="0" w:color="auto"/>
            </w:tcBorders>
            <w:shd w:val="clear" w:color="auto" w:fill="auto"/>
            <w:vAlign w:val="center"/>
            <w:hideMark/>
          </w:tcPr>
          <w:p w14:paraId="358486E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89" w:type="pct"/>
            <w:tcBorders>
              <w:top w:val="nil"/>
              <w:left w:val="nil"/>
              <w:bottom w:val="single" w:sz="4" w:space="0" w:color="auto"/>
              <w:right w:val="single" w:sz="4" w:space="0" w:color="auto"/>
            </w:tcBorders>
            <w:shd w:val="clear" w:color="auto" w:fill="auto"/>
            <w:vAlign w:val="center"/>
            <w:hideMark/>
          </w:tcPr>
          <w:p w14:paraId="383834F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789FC9CB" w14:textId="77777777" w:rsidTr="00C307FB">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555E63F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1.5  Servidores Públicos al 100</w:t>
            </w:r>
          </w:p>
        </w:tc>
        <w:tc>
          <w:tcPr>
            <w:tcW w:w="605" w:type="pct"/>
            <w:tcBorders>
              <w:top w:val="nil"/>
              <w:left w:val="nil"/>
              <w:bottom w:val="single" w:sz="4" w:space="0" w:color="auto"/>
              <w:right w:val="single" w:sz="4" w:space="0" w:color="auto"/>
            </w:tcBorders>
            <w:shd w:val="clear" w:color="auto" w:fill="auto"/>
            <w:vAlign w:val="center"/>
            <w:hideMark/>
          </w:tcPr>
          <w:p w14:paraId="212F218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1.5.1</w:t>
            </w:r>
          </w:p>
        </w:tc>
        <w:tc>
          <w:tcPr>
            <w:tcW w:w="695" w:type="pct"/>
            <w:tcBorders>
              <w:top w:val="nil"/>
              <w:left w:val="nil"/>
              <w:bottom w:val="single" w:sz="4" w:space="0" w:color="auto"/>
              <w:right w:val="single" w:sz="4" w:space="0" w:color="auto"/>
            </w:tcBorders>
            <w:shd w:val="clear" w:color="auto" w:fill="auto"/>
            <w:vAlign w:val="center"/>
            <w:hideMark/>
          </w:tcPr>
          <w:p w14:paraId="2826F7F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1.5.1 Desarrollar un programa para el desarrollo de competencias y el fortalecimiento de las habilidades de liderazgo  para titulares de dependencias</w:t>
            </w:r>
          </w:p>
        </w:tc>
        <w:tc>
          <w:tcPr>
            <w:tcW w:w="732" w:type="pct"/>
            <w:tcBorders>
              <w:top w:val="nil"/>
              <w:left w:val="nil"/>
              <w:bottom w:val="single" w:sz="4" w:space="0" w:color="auto"/>
              <w:right w:val="single" w:sz="4" w:space="0" w:color="auto"/>
            </w:tcBorders>
            <w:shd w:val="clear" w:color="auto" w:fill="auto"/>
            <w:vAlign w:val="center"/>
            <w:hideMark/>
          </w:tcPr>
          <w:p w14:paraId="7A046F9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titulares de las dependencias y entidades capacitados en el programa de desarrollo de liderazgo y competencias respecto del total </w:t>
            </w:r>
          </w:p>
        </w:tc>
        <w:tc>
          <w:tcPr>
            <w:tcW w:w="772" w:type="pct"/>
            <w:tcBorders>
              <w:top w:val="nil"/>
              <w:left w:val="nil"/>
              <w:bottom w:val="single" w:sz="4" w:space="0" w:color="auto"/>
              <w:right w:val="single" w:sz="4" w:space="0" w:color="auto"/>
            </w:tcBorders>
            <w:shd w:val="clear" w:color="auto" w:fill="auto"/>
            <w:vAlign w:val="center"/>
            <w:hideMark/>
          </w:tcPr>
          <w:p w14:paraId="173AB78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El 100% de los titulares de las dependencias y entidades capacitados en el programa de desarrollo de liderazgo y competencias</w:t>
            </w:r>
          </w:p>
        </w:tc>
        <w:tc>
          <w:tcPr>
            <w:tcW w:w="336" w:type="pct"/>
            <w:tcBorders>
              <w:top w:val="nil"/>
              <w:left w:val="nil"/>
              <w:bottom w:val="single" w:sz="4" w:space="0" w:color="auto"/>
              <w:right w:val="single" w:sz="4" w:space="0" w:color="auto"/>
            </w:tcBorders>
            <w:shd w:val="clear" w:color="auto" w:fill="auto"/>
            <w:vAlign w:val="center"/>
            <w:hideMark/>
          </w:tcPr>
          <w:p w14:paraId="42A043B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19526C6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89" w:type="pct"/>
            <w:tcBorders>
              <w:top w:val="nil"/>
              <w:left w:val="nil"/>
              <w:bottom w:val="single" w:sz="4" w:space="0" w:color="auto"/>
              <w:right w:val="single" w:sz="4" w:space="0" w:color="auto"/>
            </w:tcBorders>
            <w:shd w:val="clear" w:color="auto" w:fill="auto"/>
            <w:vAlign w:val="center"/>
            <w:hideMark/>
          </w:tcPr>
          <w:p w14:paraId="0A1518E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9" w:type="pct"/>
            <w:tcBorders>
              <w:top w:val="nil"/>
              <w:left w:val="nil"/>
              <w:bottom w:val="single" w:sz="4" w:space="0" w:color="auto"/>
              <w:right w:val="single" w:sz="4" w:space="0" w:color="auto"/>
            </w:tcBorders>
            <w:shd w:val="clear" w:color="auto" w:fill="auto"/>
            <w:vAlign w:val="center"/>
            <w:hideMark/>
          </w:tcPr>
          <w:p w14:paraId="666981A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37D93BC3" w14:textId="77777777" w:rsidTr="00C307FB">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250D60B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1.5  Servidores Públicos al 100</w:t>
            </w:r>
          </w:p>
        </w:tc>
        <w:tc>
          <w:tcPr>
            <w:tcW w:w="605" w:type="pct"/>
            <w:tcBorders>
              <w:top w:val="nil"/>
              <w:left w:val="nil"/>
              <w:bottom w:val="single" w:sz="4" w:space="0" w:color="auto"/>
              <w:right w:val="single" w:sz="4" w:space="0" w:color="auto"/>
            </w:tcBorders>
            <w:shd w:val="clear" w:color="auto" w:fill="auto"/>
            <w:vAlign w:val="center"/>
            <w:hideMark/>
          </w:tcPr>
          <w:p w14:paraId="0D43282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1.5.2</w:t>
            </w:r>
          </w:p>
        </w:tc>
        <w:tc>
          <w:tcPr>
            <w:tcW w:w="695" w:type="pct"/>
            <w:tcBorders>
              <w:top w:val="nil"/>
              <w:left w:val="nil"/>
              <w:bottom w:val="single" w:sz="4" w:space="0" w:color="auto"/>
              <w:right w:val="single" w:sz="4" w:space="0" w:color="auto"/>
            </w:tcBorders>
            <w:shd w:val="clear" w:color="auto" w:fill="auto"/>
            <w:vAlign w:val="center"/>
            <w:hideMark/>
          </w:tcPr>
          <w:p w14:paraId="6468A02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1.5.2 Desarrollar un programa de formación de servidores públicos enfocado a fortalecer la vocación de servicio y mejorar la atención ciudadana.</w:t>
            </w:r>
          </w:p>
        </w:tc>
        <w:tc>
          <w:tcPr>
            <w:tcW w:w="732" w:type="pct"/>
            <w:tcBorders>
              <w:top w:val="nil"/>
              <w:left w:val="nil"/>
              <w:bottom w:val="single" w:sz="4" w:space="0" w:color="auto"/>
              <w:right w:val="single" w:sz="4" w:space="0" w:color="auto"/>
            </w:tcBorders>
            <w:shd w:val="clear" w:color="auto" w:fill="auto"/>
            <w:vAlign w:val="center"/>
            <w:hideMark/>
          </w:tcPr>
          <w:p w14:paraId="1CD4202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servidores públicos que atienden directamente al público, capacitados en atención ciudadana y en el nuevo modelo de gobierno, respecto del total.</w:t>
            </w:r>
          </w:p>
        </w:tc>
        <w:tc>
          <w:tcPr>
            <w:tcW w:w="772" w:type="pct"/>
            <w:tcBorders>
              <w:top w:val="nil"/>
              <w:left w:val="nil"/>
              <w:bottom w:val="single" w:sz="4" w:space="0" w:color="auto"/>
              <w:right w:val="single" w:sz="4" w:space="0" w:color="auto"/>
            </w:tcBorders>
            <w:shd w:val="clear" w:color="auto" w:fill="auto"/>
            <w:vAlign w:val="center"/>
            <w:hideMark/>
          </w:tcPr>
          <w:p w14:paraId="10E15B6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Capacitar al 100% de 570 funcionarios públicos que atienden directamente al público y 2000 policías municipales, en atención ciudadana y en el nuevo modelo de gobierno durante el trienio.</w:t>
            </w:r>
          </w:p>
        </w:tc>
        <w:tc>
          <w:tcPr>
            <w:tcW w:w="336" w:type="pct"/>
            <w:tcBorders>
              <w:top w:val="nil"/>
              <w:left w:val="nil"/>
              <w:bottom w:val="single" w:sz="4" w:space="0" w:color="auto"/>
              <w:right w:val="single" w:sz="4" w:space="0" w:color="auto"/>
            </w:tcBorders>
            <w:shd w:val="clear" w:color="auto" w:fill="auto"/>
            <w:vAlign w:val="center"/>
            <w:hideMark/>
          </w:tcPr>
          <w:p w14:paraId="307CF20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445D244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89" w:type="pct"/>
            <w:tcBorders>
              <w:top w:val="nil"/>
              <w:left w:val="nil"/>
              <w:bottom w:val="single" w:sz="4" w:space="0" w:color="auto"/>
              <w:right w:val="single" w:sz="4" w:space="0" w:color="auto"/>
            </w:tcBorders>
            <w:shd w:val="clear" w:color="auto" w:fill="auto"/>
            <w:vAlign w:val="center"/>
            <w:hideMark/>
          </w:tcPr>
          <w:p w14:paraId="44455A5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89" w:type="pct"/>
            <w:tcBorders>
              <w:top w:val="nil"/>
              <w:left w:val="nil"/>
              <w:bottom w:val="single" w:sz="4" w:space="0" w:color="auto"/>
              <w:right w:val="single" w:sz="4" w:space="0" w:color="auto"/>
            </w:tcBorders>
            <w:shd w:val="clear" w:color="auto" w:fill="auto"/>
            <w:vAlign w:val="center"/>
            <w:hideMark/>
          </w:tcPr>
          <w:p w14:paraId="33A764F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0EBD8CF2" w14:textId="77777777" w:rsidTr="00C307FB">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23D66E2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1.6 Sistema de Inteligencia Municipal (SIM)</w:t>
            </w:r>
          </w:p>
        </w:tc>
        <w:tc>
          <w:tcPr>
            <w:tcW w:w="605" w:type="pct"/>
            <w:tcBorders>
              <w:top w:val="nil"/>
              <w:left w:val="nil"/>
              <w:bottom w:val="single" w:sz="4" w:space="0" w:color="auto"/>
              <w:right w:val="single" w:sz="4" w:space="0" w:color="auto"/>
            </w:tcBorders>
            <w:shd w:val="clear" w:color="auto" w:fill="auto"/>
            <w:vAlign w:val="center"/>
            <w:hideMark/>
          </w:tcPr>
          <w:p w14:paraId="744B83A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1.6.1</w:t>
            </w:r>
          </w:p>
        </w:tc>
        <w:tc>
          <w:tcPr>
            <w:tcW w:w="695" w:type="pct"/>
            <w:tcBorders>
              <w:top w:val="nil"/>
              <w:left w:val="nil"/>
              <w:bottom w:val="single" w:sz="4" w:space="0" w:color="auto"/>
              <w:right w:val="single" w:sz="4" w:space="0" w:color="auto"/>
            </w:tcBorders>
            <w:shd w:val="clear" w:color="auto" w:fill="auto"/>
            <w:vAlign w:val="center"/>
            <w:hideMark/>
          </w:tcPr>
          <w:p w14:paraId="1005DF0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1.6.1 Integrar capas de información existente para desarrollar de manera analítica el cruce de capas de información que permitan el diseño y desarrollo de reportes de inteligencia, así como la integración de un tablero de indicadores para la toma de decisiones. </w:t>
            </w:r>
          </w:p>
        </w:tc>
        <w:tc>
          <w:tcPr>
            <w:tcW w:w="732" w:type="pct"/>
            <w:tcBorders>
              <w:top w:val="nil"/>
              <w:left w:val="nil"/>
              <w:bottom w:val="single" w:sz="4" w:space="0" w:color="auto"/>
              <w:right w:val="single" w:sz="4" w:space="0" w:color="auto"/>
            </w:tcBorders>
            <w:shd w:val="clear" w:color="auto" w:fill="auto"/>
            <w:vAlign w:val="center"/>
            <w:hideMark/>
          </w:tcPr>
          <w:p w14:paraId="4C49EF1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implementación del sistema de inteligencia municipal.</w:t>
            </w:r>
          </w:p>
        </w:tc>
        <w:tc>
          <w:tcPr>
            <w:tcW w:w="772" w:type="pct"/>
            <w:tcBorders>
              <w:top w:val="nil"/>
              <w:left w:val="nil"/>
              <w:bottom w:val="single" w:sz="4" w:space="0" w:color="auto"/>
              <w:right w:val="single" w:sz="4" w:space="0" w:color="auto"/>
            </w:tcBorders>
            <w:shd w:val="clear" w:color="auto" w:fill="auto"/>
            <w:vAlign w:val="center"/>
            <w:hideMark/>
          </w:tcPr>
          <w:p w14:paraId="4B659C7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Implementar al 100% el Sistema de Inteligencia Municipal para 2022 y que opere durante el trienio.</w:t>
            </w:r>
          </w:p>
        </w:tc>
        <w:tc>
          <w:tcPr>
            <w:tcW w:w="336" w:type="pct"/>
            <w:tcBorders>
              <w:top w:val="nil"/>
              <w:left w:val="nil"/>
              <w:bottom w:val="single" w:sz="4" w:space="0" w:color="auto"/>
              <w:right w:val="single" w:sz="4" w:space="0" w:color="auto"/>
            </w:tcBorders>
            <w:shd w:val="clear" w:color="auto" w:fill="auto"/>
            <w:vAlign w:val="center"/>
            <w:hideMark/>
          </w:tcPr>
          <w:p w14:paraId="142F948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006129E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89" w:type="pct"/>
            <w:tcBorders>
              <w:top w:val="nil"/>
              <w:left w:val="nil"/>
              <w:bottom w:val="single" w:sz="4" w:space="0" w:color="auto"/>
              <w:right w:val="single" w:sz="4" w:space="0" w:color="auto"/>
            </w:tcBorders>
            <w:shd w:val="clear" w:color="auto" w:fill="auto"/>
            <w:vAlign w:val="center"/>
            <w:hideMark/>
          </w:tcPr>
          <w:p w14:paraId="2A9235C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25%</w:t>
            </w:r>
          </w:p>
        </w:tc>
        <w:tc>
          <w:tcPr>
            <w:tcW w:w="389" w:type="pct"/>
            <w:tcBorders>
              <w:top w:val="nil"/>
              <w:left w:val="nil"/>
              <w:bottom w:val="single" w:sz="4" w:space="0" w:color="auto"/>
              <w:right w:val="single" w:sz="4" w:space="0" w:color="auto"/>
            </w:tcBorders>
            <w:shd w:val="clear" w:color="auto" w:fill="auto"/>
            <w:vAlign w:val="center"/>
            <w:hideMark/>
          </w:tcPr>
          <w:p w14:paraId="4624D99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25%</w:t>
            </w:r>
          </w:p>
        </w:tc>
      </w:tr>
    </w:tbl>
    <w:p w14:paraId="18D4CDC6" w14:textId="77777777" w:rsidR="00794EB9" w:rsidRPr="00794EB9" w:rsidRDefault="00794EB9" w:rsidP="00794EB9">
      <w:pPr>
        <w:ind w:leftChars="-194" w:left="-388" w:firstLine="1"/>
        <w:rPr>
          <w:rFonts w:ascii="Arial" w:hAnsi="Arial" w:cs="Arial"/>
          <w:sz w:val="22"/>
          <w:szCs w:val="22"/>
        </w:rPr>
      </w:pPr>
    </w:p>
    <w:p w14:paraId="36E6DEB3" w14:textId="77777777" w:rsidR="00794EB9" w:rsidRPr="00794EB9" w:rsidRDefault="00794EB9" w:rsidP="00794EB9">
      <w:pPr>
        <w:spacing w:after="160" w:line="259" w:lineRule="auto"/>
        <w:rPr>
          <w:rFonts w:ascii="Arial" w:hAnsi="Arial" w:cs="Arial"/>
          <w:sz w:val="22"/>
          <w:szCs w:val="22"/>
        </w:rPr>
      </w:pPr>
    </w:p>
    <w:p w14:paraId="51FA5497" w14:textId="77777777" w:rsidR="00794EB9" w:rsidRPr="00794EB9" w:rsidRDefault="00794EB9" w:rsidP="00794EB9">
      <w:pPr>
        <w:jc w:val="both"/>
        <w:rPr>
          <w:rFonts w:ascii="Arial" w:hAnsi="Arial" w:cs="Arial"/>
          <w:b/>
          <w:bCs/>
          <w:sz w:val="22"/>
          <w:szCs w:val="22"/>
          <w:lang w:eastAsia="es-MX"/>
        </w:rPr>
      </w:pPr>
      <w:r w:rsidRPr="00794EB9">
        <w:rPr>
          <w:rFonts w:ascii="Arial" w:hAnsi="Arial" w:cs="Arial"/>
          <w:b/>
          <w:bCs/>
          <w:sz w:val="22"/>
          <w:szCs w:val="22"/>
          <w:lang w:eastAsia="es-MX"/>
        </w:rPr>
        <w:t>BANDERA. VIVIR TRANQUILO</w:t>
      </w:r>
    </w:p>
    <w:p w14:paraId="0B8BFD59" w14:textId="77777777" w:rsidR="00794EB9" w:rsidRPr="00794EB9" w:rsidRDefault="00794EB9" w:rsidP="00794EB9">
      <w:pPr>
        <w:jc w:val="both"/>
        <w:rPr>
          <w:rFonts w:ascii="Arial" w:hAnsi="Arial" w:cs="Arial"/>
          <w:b/>
          <w:bCs/>
          <w:sz w:val="22"/>
          <w:szCs w:val="22"/>
          <w:lang w:eastAsia="es-MX"/>
        </w:rPr>
      </w:pPr>
      <w:r w:rsidRPr="00794EB9">
        <w:rPr>
          <w:rFonts w:ascii="Arial" w:hAnsi="Arial" w:cs="Arial"/>
          <w:b/>
          <w:bCs/>
          <w:sz w:val="22"/>
          <w:szCs w:val="22"/>
          <w:lang w:eastAsia="es-MX"/>
        </w:rPr>
        <w:t>Estrategia 1.  ESTADO DE DERECHO Y SEGURIDAD PÚBLICA</w:t>
      </w:r>
    </w:p>
    <w:p w14:paraId="148306AB" w14:textId="77777777" w:rsidR="00794EB9" w:rsidRPr="00794EB9" w:rsidRDefault="00794EB9" w:rsidP="00794EB9">
      <w:pPr>
        <w:jc w:val="both"/>
        <w:rPr>
          <w:rFonts w:ascii="Arial" w:hAnsi="Arial" w:cs="Arial"/>
          <w:b/>
          <w:bCs/>
          <w:sz w:val="22"/>
          <w:szCs w:val="22"/>
          <w:lang w:eastAsia="es-MX"/>
        </w:rPr>
      </w:pPr>
      <w:r w:rsidRPr="00794EB9">
        <w:rPr>
          <w:rFonts w:ascii="Arial" w:hAnsi="Arial" w:cs="Arial"/>
          <w:b/>
          <w:bCs/>
          <w:sz w:val="22"/>
          <w:szCs w:val="22"/>
          <w:lang w:eastAsia="es-MX"/>
        </w:rPr>
        <w:t>PROGRAMA: VT.2 MOVILIDAD SEGURA</w:t>
      </w:r>
    </w:p>
    <w:p w14:paraId="01A37E9B" w14:textId="77777777" w:rsidR="00794EB9" w:rsidRPr="00794EB9" w:rsidRDefault="00794EB9" w:rsidP="00794EB9">
      <w:pPr>
        <w:spacing w:after="160"/>
        <w:jc w:val="both"/>
        <w:rPr>
          <w:rFonts w:ascii="Arial" w:hAnsi="Arial" w:cs="Arial"/>
          <w:sz w:val="22"/>
          <w:szCs w:val="22"/>
        </w:rPr>
      </w:pPr>
      <w:r w:rsidRPr="00794EB9">
        <w:rPr>
          <w:rFonts w:ascii="Arial" w:hAnsi="Arial" w:cs="Arial"/>
          <w:i/>
          <w:iCs/>
          <w:sz w:val="22"/>
          <w:szCs w:val="22"/>
          <w:lang w:eastAsia="es-MX"/>
        </w:rPr>
        <w:t>Objetivo del programa:</w:t>
      </w:r>
      <w:r w:rsidRPr="00794EB9">
        <w:rPr>
          <w:rFonts w:ascii="Arial" w:hAnsi="Arial" w:cs="Arial"/>
          <w:sz w:val="22"/>
          <w:szCs w:val="22"/>
        </w:rPr>
        <w:t xml:space="preserve"> Impulsar de forma integral acciones para mejorar la movilidad urbana de forma sustentable y que se orienten a que los ciudadanos circulen de forma segura y ágil, utilizando racionalmente las herramientas tecnológicas de última generación.</w:t>
      </w:r>
    </w:p>
    <w:tbl>
      <w:tblPr>
        <w:tblW w:w="5000" w:type="pct"/>
        <w:tblCellMar>
          <w:left w:w="70" w:type="dxa"/>
          <w:right w:w="70" w:type="dxa"/>
        </w:tblCellMar>
        <w:tblLook w:val="04A0" w:firstRow="1" w:lastRow="0" w:firstColumn="1" w:lastColumn="0" w:noHBand="0" w:noVBand="1"/>
      </w:tblPr>
      <w:tblGrid>
        <w:gridCol w:w="1165"/>
        <w:gridCol w:w="1065"/>
        <w:gridCol w:w="1420"/>
        <w:gridCol w:w="1383"/>
        <w:gridCol w:w="1383"/>
        <w:gridCol w:w="603"/>
        <w:gridCol w:w="603"/>
        <w:gridCol w:w="603"/>
        <w:gridCol w:w="603"/>
      </w:tblGrid>
      <w:tr w:rsidR="00794EB9" w:rsidRPr="00794EB9" w14:paraId="6107786D" w14:textId="77777777" w:rsidTr="00C307FB">
        <w:trPr>
          <w:cantSplit/>
          <w:trHeight w:val="57"/>
          <w:tblHeader/>
        </w:trPr>
        <w:tc>
          <w:tcPr>
            <w:tcW w:w="60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83CA16C"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lastRenderedPageBreak/>
              <w:t xml:space="preserve"> PROYECTOS </w:t>
            </w:r>
          </w:p>
        </w:tc>
        <w:tc>
          <w:tcPr>
            <w:tcW w:w="54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909B761"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80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4CCCF18"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78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03190CE"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78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88CF471"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0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28A8970"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38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7C7673B"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8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7CFF83C"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8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072D94E"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74B6FA19"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76A3C76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 Ciclociudad</w:t>
            </w:r>
          </w:p>
        </w:tc>
        <w:tc>
          <w:tcPr>
            <w:tcW w:w="549" w:type="pct"/>
            <w:tcBorders>
              <w:top w:val="nil"/>
              <w:left w:val="nil"/>
              <w:bottom w:val="single" w:sz="4" w:space="0" w:color="auto"/>
              <w:right w:val="single" w:sz="4" w:space="0" w:color="auto"/>
            </w:tcBorders>
            <w:shd w:val="clear" w:color="auto" w:fill="auto"/>
            <w:vAlign w:val="center"/>
            <w:hideMark/>
          </w:tcPr>
          <w:p w14:paraId="0426E55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2.1.1</w:t>
            </w:r>
          </w:p>
        </w:tc>
        <w:tc>
          <w:tcPr>
            <w:tcW w:w="808" w:type="pct"/>
            <w:tcBorders>
              <w:top w:val="nil"/>
              <w:left w:val="nil"/>
              <w:bottom w:val="single" w:sz="4" w:space="0" w:color="auto"/>
              <w:right w:val="single" w:sz="4" w:space="0" w:color="auto"/>
            </w:tcBorders>
            <w:shd w:val="clear" w:color="auto" w:fill="auto"/>
            <w:vAlign w:val="center"/>
            <w:hideMark/>
          </w:tcPr>
          <w:p w14:paraId="6339D3F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2.1.1 Realizar estudios y proyectos para el desarrollo de ciclovías y rutas peatonales</w:t>
            </w:r>
          </w:p>
        </w:tc>
        <w:tc>
          <w:tcPr>
            <w:tcW w:w="787" w:type="pct"/>
            <w:tcBorders>
              <w:top w:val="nil"/>
              <w:left w:val="nil"/>
              <w:bottom w:val="single" w:sz="4" w:space="0" w:color="auto"/>
              <w:right w:val="single" w:sz="4" w:space="0" w:color="auto"/>
            </w:tcBorders>
            <w:shd w:val="clear" w:color="auto" w:fill="auto"/>
            <w:vAlign w:val="center"/>
            <w:hideMark/>
          </w:tcPr>
          <w:p w14:paraId="3C85608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de proyectos ejecutivos realizados</w:t>
            </w:r>
          </w:p>
        </w:tc>
        <w:tc>
          <w:tcPr>
            <w:tcW w:w="787" w:type="pct"/>
            <w:tcBorders>
              <w:top w:val="nil"/>
              <w:left w:val="nil"/>
              <w:bottom w:val="single" w:sz="4" w:space="0" w:color="auto"/>
              <w:right w:val="single" w:sz="4" w:space="0" w:color="auto"/>
            </w:tcBorders>
            <w:shd w:val="clear" w:color="auto" w:fill="auto"/>
            <w:vAlign w:val="center"/>
            <w:hideMark/>
          </w:tcPr>
          <w:p w14:paraId="63D504E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Proyectos ejecutivos de 112 kilómetros de ciclovías y de 20 kilómetros de ruta peatonal o banquetas</w:t>
            </w:r>
          </w:p>
        </w:tc>
        <w:tc>
          <w:tcPr>
            <w:tcW w:w="307" w:type="pct"/>
            <w:tcBorders>
              <w:top w:val="nil"/>
              <w:left w:val="nil"/>
              <w:bottom w:val="single" w:sz="4" w:space="0" w:color="auto"/>
              <w:right w:val="single" w:sz="4" w:space="0" w:color="auto"/>
            </w:tcBorders>
            <w:shd w:val="clear" w:color="auto" w:fill="auto"/>
            <w:vAlign w:val="center"/>
            <w:hideMark/>
          </w:tcPr>
          <w:p w14:paraId="7E2A781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3E4E30E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87" w:type="pct"/>
            <w:tcBorders>
              <w:top w:val="nil"/>
              <w:left w:val="nil"/>
              <w:bottom w:val="single" w:sz="4" w:space="0" w:color="auto"/>
              <w:right w:val="single" w:sz="4" w:space="0" w:color="auto"/>
            </w:tcBorders>
            <w:shd w:val="clear" w:color="auto" w:fill="auto"/>
            <w:vAlign w:val="center"/>
            <w:hideMark/>
          </w:tcPr>
          <w:p w14:paraId="58B79F7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87" w:type="pct"/>
            <w:tcBorders>
              <w:top w:val="nil"/>
              <w:left w:val="nil"/>
              <w:bottom w:val="single" w:sz="4" w:space="0" w:color="auto"/>
              <w:right w:val="single" w:sz="4" w:space="0" w:color="auto"/>
            </w:tcBorders>
            <w:shd w:val="clear" w:color="auto" w:fill="auto"/>
            <w:vAlign w:val="center"/>
            <w:hideMark/>
          </w:tcPr>
          <w:p w14:paraId="176E120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14902C6B"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2AA5839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 Ciclociudad</w:t>
            </w:r>
          </w:p>
        </w:tc>
        <w:tc>
          <w:tcPr>
            <w:tcW w:w="549" w:type="pct"/>
            <w:tcBorders>
              <w:top w:val="nil"/>
              <w:left w:val="nil"/>
              <w:bottom w:val="single" w:sz="4" w:space="0" w:color="auto"/>
              <w:right w:val="single" w:sz="4" w:space="0" w:color="auto"/>
            </w:tcBorders>
            <w:shd w:val="clear" w:color="auto" w:fill="auto"/>
            <w:vAlign w:val="center"/>
            <w:hideMark/>
          </w:tcPr>
          <w:p w14:paraId="2AB566D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2.1.2</w:t>
            </w:r>
          </w:p>
        </w:tc>
        <w:tc>
          <w:tcPr>
            <w:tcW w:w="808" w:type="pct"/>
            <w:tcBorders>
              <w:top w:val="nil"/>
              <w:left w:val="nil"/>
              <w:bottom w:val="single" w:sz="4" w:space="0" w:color="auto"/>
              <w:right w:val="single" w:sz="4" w:space="0" w:color="auto"/>
            </w:tcBorders>
            <w:shd w:val="clear" w:color="auto" w:fill="auto"/>
            <w:vAlign w:val="center"/>
            <w:hideMark/>
          </w:tcPr>
          <w:p w14:paraId="0C37D23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2.1.2.  Construir 112 km de ciclovías adicionales a los existentes </w:t>
            </w:r>
          </w:p>
        </w:tc>
        <w:tc>
          <w:tcPr>
            <w:tcW w:w="787" w:type="pct"/>
            <w:tcBorders>
              <w:top w:val="nil"/>
              <w:left w:val="nil"/>
              <w:bottom w:val="single" w:sz="4" w:space="0" w:color="auto"/>
              <w:right w:val="single" w:sz="4" w:space="0" w:color="auto"/>
            </w:tcBorders>
            <w:shd w:val="clear" w:color="auto" w:fill="auto"/>
            <w:vAlign w:val="center"/>
            <w:hideMark/>
          </w:tcPr>
          <w:p w14:paraId="5487C4E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Kilómetros construidos respecto del total.</w:t>
            </w:r>
          </w:p>
        </w:tc>
        <w:tc>
          <w:tcPr>
            <w:tcW w:w="787" w:type="pct"/>
            <w:tcBorders>
              <w:top w:val="nil"/>
              <w:left w:val="nil"/>
              <w:bottom w:val="single" w:sz="4" w:space="0" w:color="auto"/>
              <w:right w:val="single" w:sz="4" w:space="0" w:color="auto"/>
            </w:tcBorders>
            <w:shd w:val="clear" w:color="auto" w:fill="auto"/>
            <w:vAlign w:val="center"/>
            <w:hideMark/>
          </w:tcPr>
          <w:p w14:paraId="779A55C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Construir 112 km de ciclovías</w:t>
            </w:r>
          </w:p>
        </w:tc>
        <w:tc>
          <w:tcPr>
            <w:tcW w:w="307" w:type="pct"/>
            <w:tcBorders>
              <w:top w:val="nil"/>
              <w:left w:val="nil"/>
              <w:bottom w:val="single" w:sz="4" w:space="0" w:color="auto"/>
              <w:right w:val="single" w:sz="4" w:space="0" w:color="auto"/>
            </w:tcBorders>
            <w:shd w:val="clear" w:color="auto" w:fill="auto"/>
            <w:vAlign w:val="center"/>
            <w:hideMark/>
          </w:tcPr>
          <w:p w14:paraId="76D93DB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0.5</w:t>
            </w:r>
          </w:p>
        </w:tc>
        <w:tc>
          <w:tcPr>
            <w:tcW w:w="387" w:type="pct"/>
            <w:tcBorders>
              <w:top w:val="nil"/>
              <w:left w:val="nil"/>
              <w:bottom w:val="single" w:sz="4" w:space="0" w:color="auto"/>
              <w:right w:val="single" w:sz="4" w:space="0" w:color="auto"/>
            </w:tcBorders>
            <w:shd w:val="clear" w:color="auto" w:fill="auto"/>
            <w:vAlign w:val="center"/>
            <w:hideMark/>
          </w:tcPr>
          <w:p w14:paraId="07212C3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45</w:t>
            </w:r>
          </w:p>
        </w:tc>
        <w:tc>
          <w:tcPr>
            <w:tcW w:w="387" w:type="pct"/>
            <w:tcBorders>
              <w:top w:val="nil"/>
              <w:left w:val="nil"/>
              <w:bottom w:val="single" w:sz="4" w:space="0" w:color="auto"/>
              <w:right w:val="single" w:sz="4" w:space="0" w:color="auto"/>
            </w:tcBorders>
            <w:shd w:val="clear" w:color="auto" w:fill="auto"/>
            <w:vAlign w:val="center"/>
            <w:hideMark/>
          </w:tcPr>
          <w:p w14:paraId="1EA8E26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56</w:t>
            </w:r>
          </w:p>
        </w:tc>
        <w:tc>
          <w:tcPr>
            <w:tcW w:w="387" w:type="pct"/>
            <w:tcBorders>
              <w:top w:val="nil"/>
              <w:left w:val="nil"/>
              <w:bottom w:val="single" w:sz="4" w:space="0" w:color="auto"/>
              <w:right w:val="single" w:sz="4" w:space="0" w:color="auto"/>
            </w:tcBorders>
            <w:shd w:val="clear" w:color="auto" w:fill="auto"/>
            <w:vAlign w:val="center"/>
            <w:hideMark/>
          </w:tcPr>
          <w:p w14:paraId="5002C01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10.5</w:t>
            </w:r>
          </w:p>
        </w:tc>
      </w:tr>
      <w:tr w:rsidR="00794EB9" w:rsidRPr="00794EB9" w14:paraId="264AEEE9"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7A04B43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 Ciclociudad</w:t>
            </w:r>
          </w:p>
        </w:tc>
        <w:tc>
          <w:tcPr>
            <w:tcW w:w="549" w:type="pct"/>
            <w:tcBorders>
              <w:top w:val="nil"/>
              <w:left w:val="nil"/>
              <w:bottom w:val="single" w:sz="4" w:space="0" w:color="auto"/>
              <w:right w:val="single" w:sz="4" w:space="0" w:color="auto"/>
            </w:tcBorders>
            <w:shd w:val="clear" w:color="auto" w:fill="auto"/>
            <w:vAlign w:val="center"/>
            <w:hideMark/>
          </w:tcPr>
          <w:p w14:paraId="2182E71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2.1.3</w:t>
            </w:r>
          </w:p>
        </w:tc>
        <w:tc>
          <w:tcPr>
            <w:tcW w:w="808" w:type="pct"/>
            <w:tcBorders>
              <w:top w:val="nil"/>
              <w:left w:val="nil"/>
              <w:bottom w:val="single" w:sz="4" w:space="0" w:color="auto"/>
              <w:right w:val="single" w:sz="4" w:space="0" w:color="auto"/>
            </w:tcBorders>
            <w:shd w:val="clear" w:color="auto" w:fill="auto"/>
            <w:vAlign w:val="center"/>
            <w:hideMark/>
          </w:tcPr>
          <w:p w14:paraId="35E93FD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2.1.3 Construir  20 km de ruta peatonal o banquetas adicionales a los existentes</w:t>
            </w:r>
          </w:p>
        </w:tc>
        <w:tc>
          <w:tcPr>
            <w:tcW w:w="787" w:type="pct"/>
            <w:tcBorders>
              <w:top w:val="nil"/>
              <w:left w:val="nil"/>
              <w:bottom w:val="single" w:sz="4" w:space="0" w:color="auto"/>
              <w:right w:val="single" w:sz="4" w:space="0" w:color="auto"/>
            </w:tcBorders>
            <w:shd w:val="clear" w:color="auto" w:fill="auto"/>
            <w:vAlign w:val="center"/>
            <w:hideMark/>
          </w:tcPr>
          <w:p w14:paraId="5043020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Kilómetros construidos de ruta peatonal o banquetas</w:t>
            </w:r>
          </w:p>
        </w:tc>
        <w:tc>
          <w:tcPr>
            <w:tcW w:w="787" w:type="pct"/>
            <w:tcBorders>
              <w:top w:val="nil"/>
              <w:left w:val="nil"/>
              <w:bottom w:val="single" w:sz="4" w:space="0" w:color="auto"/>
              <w:right w:val="single" w:sz="4" w:space="0" w:color="auto"/>
            </w:tcBorders>
            <w:shd w:val="clear" w:color="auto" w:fill="auto"/>
            <w:vAlign w:val="center"/>
            <w:hideMark/>
          </w:tcPr>
          <w:p w14:paraId="35B2C2F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Construir 20 km de ruta peatonal o banquetas</w:t>
            </w:r>
          </w:p>
        </w:tc>
        <w:tc>
          <w:tcPr>
            <w:tcW w:w="307" w:type="pct"/>
            <w:tcBorders>
              <w:top w:val="nil"/>
              <w:left w:val="nil"/>
              <w:bottom w:val="single" w:sz="4" w:space="0" w:color="auto"/>
              <w:right w:val="single" w:sz="4" w:space="0" w:color="auto"/>
            </w:tcBorders>
            <w:shd w:val="clear" w:color="auto" w:fill="auto"/>
            <w:vAlign w:val="center"/>
            <w:hideMark/>
          </w:tcPr>
          <w:p w14:paraId="25EDEBC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3379E7D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8</w:t>
            </w:r>
          </w:p>
        </w:tc>
        <w:tc>
          <w:tcPr>
            <w:tcW w:w="387" w:type="pct"/>
            <w:tcBorders>
              <w:top w:val="nil"/>
              <w:left w:val="nil"/>
              <w:bottom w:val="single" w:sz="4" w:space="0" w:color="auto"/>
              <w:right w:val="single" w:sz="4" w:space="0" w:color="auto"/>
            </w:tcBorders>
            <w:shd w:val="clear" w:color="auto" w:fill="auto"/>
            <w:vAlign w:val="center"/>
            <w:hideMark/>
          </w:tcPr>
          <w:p w14:paraId="66BEDFD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w:t>
            </w:r>
          </w:p>
        </w:tc>
        <w:tc>
          <w:tcPr>
            <w:tcW w:w="387" w:type="pct"/>
            <w:tcBorders>
              <w:top w:val="nil"/>
              <w:left w:val="nil"/>
              <w:bottom w:val="single" w:sz="4" w:space="0" w:color="auto"/>
              <w:right w:val="single" w:sz="4" w:space="0" w:color="auto"/>
            </w:tcBorders>
            <w:shd w:val="clear" w:color="auto" w:fill="auto"/>
            <w:vAlign w:val="center"/>
            <w:hideMark/>
          </w:tcPr>
          <w:p w14:paraId="439E2DA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w:t>
            </w:r>
          </w:p>
        </w:tc>
      </w:tr>
      <w:tr w:rsidR="00794EB9" w:rsidRPr="00794EB9" w14:paraId="51740306"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23BC28C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 Ciclociudad</w:t>
            </w:r>
          </w:p>
        </w:tc>
        <w:tc>
          <w:tcPr>
            <w:tcW w:w="549" w:type="pct"/>
            <w:tcBorders>
              <w:top w:val="nil"/>
              <w:left w:val="nil"/>
              <w:bottom w:val="single" w:sz="4" w:space="0" w:color="auto"/>
              <w:right w:val="single" w:sz="4" w:space="0" w:color="auto"/>
            </w:tcBorders>
            <w:shd w:val="clear" w:color="auto" w:fill="auto"/>
            <w:vAlign w:val="center"/>
            <w:hideMark/>
          </w:tcPr>
          <w:p w14:paraId="0476173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2.1.4</w:t>
            </w:r>
          </w:p>
        </w:tc>
        <w:tc>
          <w:tcPr>
            <w:tcW w:w="808" w:type="pct"/>
            <w:tcBorders>
              <w:top w:val="nil"/>
              <w:left w:val="nil"/>
              <w:bottom w:val="single" w:sz="4" w:space="0" w:color="auto"/>
              <w:right w:val="single" w:sz="4" w:space="0" w:color="auto"/>
            </w:tcBorders>
            <w:shd w:val="clear" w:color="auto" w:fill="auto"/>
            <w:vAlign w:val="center"/>
            <w:hideMark/>
          </w:tcPr>
          <w:p w14:paraId="4166660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2.1.4 Rehabilitar 45 km de ciclovías deterioradas.</w:t>
            </w:r>
          </w:p>
        </w:tc>
        <w:tc>
          <w:tcPr>
            <w:tcW w:w="787" w:type="pct"/>
            <w:tcBorders>
              <w:top w:val="nil"/>
              <w:left w:val="nil"/>
              <w:bottom w:val="single" w:sz="4" w:space="0" w:color="auto"/>
              <w:right w:val="single" w:sz="4" w:space="0" w:color="auto"/>
            </w:tcBorders>
            <w:shd w:val="clear" w:color="auto" w:fill="auto"/>
            <w:vAlign w:val="center"/>
            <w:hideMark/>
          </w:tcPr>
          <w:p w14:paraId="1065502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Kilómetros de ciclovías rehabilitadas, respecto del total.</w:t>
            </w:r>
          </w:p>
        </w:tc>
        <w:tc>
          <w:tcPr>
            <w:tcW w:w="787" w:type="pct"/>
            <w:tcBorders>
              <w:top w:val="nil"/>
              <w:left w:val="nil"/>
              <w:bottom w:val="single" w:sz="4" w:space="0" w:color="auto"/>
              <w:right w:val="single" w:sz="4" w:space="0" w:color="auto"/>
            </w:tcBorders>
            <w:shd w:val="clear" w:color="auto" w:fill="auto"/>
            <w:vAlign w:val="center"/>
            <w:hideMark/>
          </w:tcPr>
          <w:p w14:paraId="19C166D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Rehabilitar 45 km de ciclovías</w:t>
            </w:r>
          </w:p>
        </w:tc>
        <w:tc>
          <w:tcPr>
            <w:tcW w:w="307" w:type="pct"/>
            <w:tcBorders>
              <w:top w:val="nil"/>
              <w:left w:val="nil"/>
              <w:bottom w:val="single" w:sz="4" w:space="0" w:color="auto"/>
              <w:right w:val="single" w:sz="4" w:space="0" w:color="auto"/>
            </w:tcBorders>
            <w:shd w:val="clear" w:color="auto" w:fill="auto"/>
            <w:vAlign w:val="center"/>
            <w:hideMark/>
          </w:tcPr>
          <w:p w14:paraId="2B937BE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540459E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13.5</w:t>
            </w:r>
          </w:p>
        </w:tc>
        <w:tc>
          <w:tcPr>
            <w:tcW w:w="387" w:type="pct"/>
            <w:tcBorders>
              <w:top w:val="nil"/>
              <w:left w:val="nil"/>
              <w:bottom w:val="single" w:sz="4" w:space="0" w:color="auto"/>
              <w:right w:val="single" w:sz="4" w:space="0" w:color="auto"/>
            </w:tcBorders>
            <w:shd w:val="clear" w:color="auto" w:fill="auto"/>
            <w:vAlign w:val="center"/>
            <w:hideMark/>
          </w:tcPr>
          <w:p w14:paraId="45F9D3B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18</w:t>
            </w:r>
          </w:p>
        </w:tc>
        <w:tc>
          <w:tcPr>
            <w:tcW w:w="387" w:type="pct"/>
            <w:tcBorders>
              <w:top w:val="nil"/>
              <w:left w:val="nil"/>
              <w:bottom w:val="single" w:sz="4" w:space="0" w:color="auto"/>
              <w:right w:val="single" w:sz="4" w:space="0" w:color="auto"/>
            </w:tcBorders>
            <w:shd w:val="clear" w:color="auto" w:fill="auto"/>
            <w:vAlign w:val="center"/>
            <w:hideMark/>
          </w:tcPr>
          <w:p w14:paraId="1C3C542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13.5</w:t>
            </w:r>
          </w:p>
        </w:tc>
      </w:tr>
      <w:tr w:rsidR="00794EB9" w:rsidRPr="00794EB9" w14:paraId="2A66E57F"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6AA4EE3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 Ciclociudad</w:t>
            </w:r>
          </w:p>
        </w:tc>
        <w:tc>
          <w:tcPr>
            <w:tcW w:w="549" w:type="pct"/>
            <w:tcBorders>
              <w:top w:val="nil"/>
              <w:left w:val="nil"/>
              <w:bottom w:val="single" w:sz="4" w:space="0" w:color="auto"/>
              <w:right w:val="single" w:sz="4" w:space="0" w:color="auto"/>
            </w:tcBorders>
            <w:shd w:val="clear" w:color="auto" w:fill="auto"/>
            <w:vAlign w:val="center"/>
            <w:hideMark/>
          </w:tcPr>
          <w:p w14:paraId="5454C46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2.1.5</w:t>
            </w:r>
          </w:p>
        </w:tc>
        <w:tc>
          <w:tcPr>
            <w:tcW w:w="808" w:type="pct"/>
            <w:tcBorders>
              <w:top w:val="nil"/>
              <w:left w:val="nil"/>
              <w:bottom w:val="single" w:sz="4" w:space="0" w:color="auto"/>
              <w:right w:val="single" w:sz="4" w:space="0" w:color="auto"/>
            </w:tcBorders>
            <w:shd w:val="clear" w:color="auto" w:fill="auto"/>
            <w:vAlign w:val="center"/>
            <w:hideMark/>
          </w:tcPr>
          <w:p w14:paraId="75A17F47" w14:textId="283BF30E" w:rsidR="004522BD" w:rsidRDefault="004522BD" w:rsidP="00DA7CE9">
            <w:pPr>
              <w:jc w:val="center"/>
              <w:rPr>
                <w:rFonts w:ascii="Arial" w:hAnsi="Arial" w:cs="Arial"/>
                <w:sz w:val="22"/>
                <w:szCs w:val="22"/>
                <w:lang w:eastAsia="es-MX"/>
              </w:rPr>
            </w:pPr>
            <w:r>
              <w:rPr>
                <w:rFonts w:ascii="Arial" w:hAnsi="Arial" w:cs="Arial"/>
                <w:sz w:val="22"/>
                <w:szCs w:val="22"/>
                <w:lang w:eastAsia="es-MX"/>
              </w:rPr>
              <w:t>VT. 2.1.5 Adicionar un nuevo polígono</w:t>
            </w:r>
            <w:r w:rsidR="00794EB9" w:rsidRPr="00794EB9">
              <w:rPr>
                <w:rFonts w:ascii="Arial" w:hAnsi="Arial" w:cs="Arial"/>
                <w:sz w:val="22"/>
                <w:szCs w:val="22"/>
                <w:lang w:eastAsia="es-MX"/>
              </w:rPr>
              <w:t xml:space="preserve"> y mantener el Sistema de Bicicleta Pública (SBP) Poliforum-Centro.</w:t>
            </w:r>
          </w:p>
          <w:p w14:paraId="52FF4AE8" w14:textId="32A9B3CA" w:rsidR="004522BD" w:rsidRPr="004522BD" w:rsidRDefault="004522BD" w:rsidP="004522BD">
            <w:pPr>
              <w:jc w:val="center"/>
              <w:rPr>
                <w:rFonts w:ascii="Arial" w:hAnsi="Arial" w:cs="Arial"/>
                <w:b/>
                <w:sz w:val="18"/>
                <w:szCs w:val="18"/>
                <w:lang w:eastAsia="es-MX"/>
              </w:rPr>
            </w:pPr>
            <w:r>
              <w:rPr>
                <w:rFonts w:ascii="Arial" w:hAnsi="Arial" w:cs="Arial"/>
                <w:b/>
                <w:color w:val="002060"/>
                <w:sz w:val="18"/>
                <w:szCs w:val="18"/>
                <w:lang w:eastAsia="es-MX"/>
              </w:rPr>
              <w:t xml:space="preserve">Acción modificada </w:t>
            </w:r>
            <w:r w:rsidR="00B87FCE">
              <w:rPr>
                <w:rFonts w:ascii="Arial" w:hAnsi="Arial" w:cs="Arial"/>
                <w:b/>
                <w:color w:val="002060"/>
                <w:sz w:val="18"/>
                <w:szCs w:val="18"/>
                <w:lang w:eastAsia="es-MX"/>
              </w:rPr>
              <w:t>P.O. 27-</w:t>
            </w:r>
            <w:r w:rsidRPr="004522BD">
              <w:rPr>
                <w:rFonts w:ascii="Arial" w:hAnsi="Arial" w:cs="Arial"/>
                <w:b/>
                <w:color w:val="002060"/>
                <w:sz w:val="18"/>
                <w:szCs w:val="18"/>
                <w:lang w:eastAsia="es-MX"/>
              </w:rPr>
              <w:t>1</w:t>
            </w:r>
            <w:r w:rsidR="00B87FCE">
              <w:rPr>
                <w:rFonts w:ascii="Arial" w:hAnsi="Arial" w:cs="Arial"/>
                <w:b/>
                <w:color w:val="002060"/>
                <w:sz w:val="18"/>
                <w:szCs w:val="18"/>
                <w:lang w:eastAsia="es-MX"/>
              </w:rPr>
              <w:t>2</w:t>
            </w:r>
            <w:r w:rsidRPr="004522BD">
              <w:rPr>
                <w:rFonts w:ascii="Arial" w:hAnsi="Arial" w:cs="Arial"/>
                <w:b/>
                <w:color w:val="002060"/>
                <w:sz w:val="18"/>
                <w:szCs w:val="18"/>
                <w:lang w:eastAsia="es-MX"/>
              </w:rPr>
              <w:t>-2022</w:t>
            </w:r>
          </w:p>
        </w:tc>
        <w:tc>
          <w:tcPr>
            <w:tcW w:w="787" w:type="pct"/>
            <w:tcBorders>
              <w:top w:val="nil"/>
              <w:left w:val="nil"/>
              <w:bottom w:val="single" w:sz="4" w:space="0" w:color="auto"/>
              <w:right w:val="single" w:sz="4" w:space="0" w:color="auto"/>
            </w:tcBorders>
            <w:shd w:val="clear" w:color="auto" w:fill="auto"/>
            <w:vAlign w:val="center"/>
            <w:hideMark/>
          </w:tcPr>
          <w:p w14:paraId="4B846C66" w14:textId="77777777" w:rsid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w:t>
            </w:r>
            <w:r w:rsidR="004522BD">
              <w:rPr>
                <w:rFonts w:ascii="Arial" w:hAnsi="Arial" w:cs="Arial"/>
                <w:sz w:val="22"/>
                <w:szCs w:val="22"/>
                <w:lang w:eastAsia="es-MX"/>
              </w:rPr>
              <w:t>olígono adicionado</w:t>
            </w:r>
            <w:r w:rsidRPr="00794EB9">
              <w:rPr>
                <w:rFonts w:ascii="Arial" w:hAnsi="Arial" w:cs="Arial"/>
                <w:sz w:val="22"/>
                <w:szCs w:val="22"/>
                <w:lang w:eastAsia="es-MX"/>
              </w:rPr>
              <w:t xml:space="preserve"> del Sistema de Bicicleta Pública</w:t>
            </w:r>
          </w:p>
          <w:p w14:paraId="26E9758F" w14:textId="6E7B7A76" w:rsidR="004522BD" w:rsidRPr="00794EB9" w:rsidRDefault="00DA7CE9" w:rsidP="00C307FB">
            <w:pPr>
              <w:jc w:val="center"/>
              <w:rPr>
                <w:rFonts w:ascii="Arial" w:hAnsi="Arial" w:cs="Arial"/>
                <w:sz w:val="22"/>
                <w:szCs w:val="22"/>
                <w:lang w:eastAsia="es-MX"/>
              </w:rPr>
            </w:pPr>
            <w:r>
              <w:rPr>
                <w:rFonts w:ascii="Arial" w:hAnsi="Arial" w:cs="Arial"/>
                <w:b/>
                <w:color w:val="002060"/>
                <w:sz w:val="18"/>
                <w:szCs w:val="18"/>
                <w:lang w:eastAsia="es-MX"/>
              </w:rPr>
              <w:t>Redacción modificada</w:t>
            </w:r>
            <w:r w:rsidR="004522BD">
              <w:rPr>
                <w:rFonts w:ascii="Arial" w:hAnsi="Arial" w:cs="Arial"/>
                <w:b/>
                <w:color w:val="002060"/>
                <w:sz w:val="18"/>
                <w:szCs w:val="18"/>
                <w:lang w:eastAsia="es-MX"/>
              </w:rPr>
              <w:t xml:space="preserve"> </w:t>
            </w:r>
            <w:r w:rsidR="00B87FCE">
              <w:rPr>
                <w:rFonts w:ascii="Arial" w:hAnsi="Arial" w:cs="Arial"/>
                <w:b/>
                <w:color w:val="002060"/>
                <w:sz w:val="18"/>
                <w:szCs w:val="18"/>
                <w:lang w:eastAsia="es-MX"/>
              </w:rPr>
              <w:t>P.O. 27-</w:t>
            </w:r>
            <w:r w:rsidR="004522BD" w:rsidRPr="004522BD">
              <w:rPr>
                <w:rFonts w:ascii="Arial" w:hAnsi="Arial" w:cs="Arial"/>
                <w:b/>
                <w:color w:val="002060"/>
                <w:sz w:val="18"/>
                <w:szCs w:val="18"/>
                <w:lang w:eastAsia="es-MX"/>
              </w:rPr>
              <w:t>1</w:t>
            </w:r>
            <w:r w:rsidR="00B87FCE">
              <w:rPr>
                <w:rFonts w:ascii="Arial" w:hAnsi="Arial" w:cs="Arial"/>
                <w:b/>
                <w:color w:val="002060"/>
                <w:sz w:val="18"/>
                <w:szCs w:val="18"/>
                <w:lang w:eastAsia="es-MX"/>
              </w:rPr>
              <w:t>2</w:t>
            </w:r>
            <w:r w:rsidR="004522BD" w:rsidRPr="004522BD">
              <w:rPr>
                <w:rFonts w:ascii="Arial" w:hAnsi="Arial" w:cs="Arial"/>
                <w:b/>
                <w:color w:val="002060"/>
                <w:sz w:val="18"/>
                <w:szCs w:val="18"/>
                <w:lang w:eastAsia="es-MX"/>
              </w:rPr>
              <w:t>-2022</w:t>
            </w:r>
          </w:p>
        </w:tc>
        <w:tc>
          <w:tcPr>
            <w:tcW w:w="787" w:type="pct"/>
            <w:tcBorders>
              <w:top w:val="nil"/>
              <w:left w:val="nil"/>
              <w:bottom w:val="single" w:sz="4" w:space="0" w:color="auto"/>
              <w:right w:val="single" w:sz="4" w:space="0" w:color="auto"/>
            </w:tcBorders>
            <w:shd w:val="clear" w:color="auto" w:fill="auto"/>
            <w:vAlign w:val="center"/>
            <w:hideMark/>
          </w:tcPr>
          <w:p w14:paraId="4A34ABC2" w14:textId="5DDCEC4D" w:rsidR="00794EB9" w:rsidRDefault="004522BD" w:rsidP="00C307FB">
            <w:pPr>
              <w:jc w:val="center"/>
              <w:rPr>
                <w:rFonts w:ascii="Arial" w:hAnsi="Arial" w:cs="Arial"/>
                <w:sz w:val="22"/>
                <w:szCs w:val="22"/>
                <w:lang w:eastAsia="es-MX"/>
              </w:rPr>
            </w:pPr>
            <w:r>
              <w:rPr>
                <w:rFonts w:ascii="Arial" w:hAnsi="Arial" w:cs="Arial"/>
                <w:sz w:val="22"/>
                <w:szCs w:val="22"/>
                <w:lang w:eastAsia="es-MX"/>
              </w:rPr>
              <w:t xml:space="preserve">Construir  </w:t>
            </w:r>
            <w:r w:rsidR="0069081C">
              <w:rPr>
                <w:rFonts w:ascii="Arial" w:hAnsi="Arial" w:cs="Arial"/>
                <w:sz w:val="22"/>
                <w:szCs w:val="22"/>
                <w:lang w:eastAsia="es-MX"/>
              </w:rPr>
              <w:t xml:space="preserve">1 </w:t>
            </w:r>
            <w:r>
              <w:rPr>
                <w:rFonts w:ascii="Arial" w:hAnsi="Arial" w:cs="Arial"/>
                <w:sz w:val="22"/>
                <w:szCs w:val="22"/>
                <w:lang w:eastAsia="es-MX"/>
              </w:rPr>
              <w:t>polígono nuevo</w:t>
            </w:r>
            <w:r w:rsidR="00794EB9" w:rsidRPr="00794EB9">
              <w:rPr>
                <w:rFonts w:ascii="Arial" w:hAnsi="Arial" w:cs="Arial"/>
                <w:sz w:val="22"/>
                <w:szCs w:val="22"/>
                <w:lang w:eastAsia="es-MX"/>
              </w:rPr>
              <w:t xml:space="preserve"> y mantener el Poliforum-Centro  del Sistema de Bicicleta Pública (SBP) para 2023.</w:t>
            </w:r>
          </w:p>
          <w:p w14:paraId="6DEF66D8" w14:textId="77777777" w:rsidR="00DA7CE9" w:rsidRDefault="00FB4DF0" w:rsidP="00DA7CE9">
            <w:pPr>
              <w:jc w:val="center"/>
              <w:rPr>
                <w:rFonts w:ascii="Arial" w:hAnsi="Arial" w:cs="Arial"/>
                <w:b/>
                <w:color w:val="002060"/>
                <w:sz w:val="18"/>
                <w:szCs w:val="18"/>
                <w:lang w:eastAsia="es-MX"/>
              </w:rPr>
            </w:pPr>
            <w:r>
              <w:rPr>
                <w:rFonts w:ascii="Arial" w:hAnsi="Arial" w:cs="Arial"/>
                <w:b/>
                <w:color w:val="002060"/>
                <w:sz w:val="18"/>
                <w:szCs w:val="18"/>
                <w:lang w:eastAsia="es-MX"/>
              </w:rPr>
              <w:t>Meta</w:t>
            </w:r>
            <w:r w:rsidR="004522BD">
              <w:rPr>
                <w:rFonts w:ascii="Arial" w:hAnsi="Arial" w:cs="Arial"/>
                <w:b/>
                <w:color w:val="002060"/>
                <w:sz w:val="18"/>
                <w:szCs w:val="18"/>
                <w:lang w:eastAsia="es-MX"/>
              </w:rPr>
              <w:t xml:space="preserve"> y metas anuales </w:t>
            </w:r>
            <w:r w:rsidR="00DA7CE9">
              <w:rPr>
                <w:rFonts w:ascii="Arial" w:hAnsi="Arial" w:cs="Arial"/>
                <w:b/>
                <w:color w:val="002060"/>
                <w:sz w:val="18"/>
                <w:szCs w:val="18"/>
                <w:lang w:eastAsia="es-MX"/>
              </w:rPr>
              <w:t>disminuidas</w:t>
            </w:r>
          </w:p>
          <w:p w14:paraId="654FA92B" w14:textId="1215EB45" w:rsidR="004522BD" w:rsidRPr="00794EB9" w:rsidRDefault="00B87FCE" w:rsidP="00DA7CE9">
            <w:pPr>
              <w:jc w:val="center"/>
              <w:rPr>
                <w:rFonts w:ascii="Arial" w:hAnsi="Arial" w:cs="Arial"/>
                <w:sz w:val="22"/>
                <w:szCs w:val="22"/>
                <w:lang w:eastAsia="es-MX"/>
              </w:rPr>
            </w:pPr>
            <w:r>
              <w:rPr>
                <w:rFonts w:ascii="Arial" w:hAnsi="Arial" w:cs="Arial"/>
                <w:b/>
                <w:color w:val="002060"/>
                <w:sz w:val="18"/>
                <w:szCs w:val="18"/>
                <w:lang w:eastAsia="es-MX"/>
              </w:rPr>
              <w:t>P.O. 27-</w:t>
            </w:r>
            <w:r w:rsidR="004522BD" w:rsidRPr="004522BD">
              <w:rPr>
                <w:rFonts w:ascii="Arial" w:hAnsi="Arial" w:cs="Arial"/>
                <w:b/>
                <w:color w:val="002060"/>
                <w:sz w:val="18"/>
                <w:szCs w:val="18"/>
                <w:lang w:eastAsia="es-MX"/>
              </w:rPr>
              <w:t>1-2022</w:t>
            </w:r>
          </w:p>
        </w:tc>
        <w:tc>
          <w:tcPr>
            <w:tcW w:w="307" w:type="pct"/>
            <w:tcBorders>
              <w:top w:val="nil"/>
              <w:left w:val="nil"/>
              <w:bottom w:val="single" w:sz="4" w:space="0" w:color="auto"/>
              <w:right w:val="single" w:sz="4" w:space="0" w:color="auto"/>
            </w:tcBorders>
            <w:shd w:val="clear" w:color="auto" w:fill="auto"/>
            <w:vAlign w:val="center"/>
            <w:hideMark/>
          </w:tcPr>
          <w:p w14:paraId="3C19B5A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4159C79E" w14:textId="7175A1F4" w:rsidR="00794EB9" w:rsidRPr="00794EB9" w:rsidRDefault="004522BD" w:rsidP="00C307FB">
            <w:pPr>
              <w:jc w:val="center"/>
              <w:rPr>
                <w:rFonts w:ascii="Arial" w:hAnsi="Arial" w:cs="Arial"/>
                <w:sz w:val="22"/>
                <w:szCs w:val="22"/>
                <w:lang w:eastAsia="es-MX"/>
              </w:rPr>
            </w:pPr>
            <w:r>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2C4BC1F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w:t>
            </w:r>
          </w:p>
        </w:tc>
        <w:tc>
          <w:tcPr>
            <w:tcW w:w="387" w:type="pct"/>
            <w:tcBorders>
              <w:top w:val="nil"/>
              <w:left w:val="nil"/>
              <w:bottom w:val="single" w:sz="4" w:space="0" w:color="auto"/>
              <w:right w:val="single" w:sz="4" w:space="0" w:color="auto"/>
            </w:tcBorders>
            <w:shd w:val="clear" w:color="auto" w:fill="auto"/>
            <w:vAlign w:val="center"/>
            <w:hideMark/>
          </w:tcPr>
          <w:p w14:paraId="715D7BE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7C38820E"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487F02CB" w14:textId="14494FD4"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2.1 Ciclociudad</w:t>
            </w:r>
          </w:p>
        </w:tc>
        <w:tc>
          <w:tcPr>
            <w:tcW w:w="549" w:type="pct"/>
            <w:tcBorders>
              <w:top w:val="nil"/>
              <w:left w:val="nil"/>
              <w:bottom w:val="single" w:sz="4" w:space="0" w:color="auto"/>
              <w:right w:val="single" w:sz="4" w:space="0" w:color="auto"/>
            </w:tcBorders>
            <w:shd w:val="clear" w:color="auto" w:fill="auto"/>
            <w:vAlign w:val="center"/>
            <w:hideMark/>
          </w:tcPr>
          <w:p w14:paraId="4B9AEE6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2.1.6</w:t>
            </w:r>
          </w:p>
        </w:tc>
        <w:tc>
          <w:tcPr>
            <w:tcW w:w="808" w:type="pct"/>
            <w:tcBorders>
              <w:top w:val="nil"/>
              <w:left w:val="nil"/>
              <w:bottom w:val="single" w:sz="4" w:space="0" w:color="auto"/>
              <w:right w:val="single" w:sz="4" w:space="0" w:color="auto"/>
            </w:tcBorders>
            <w:shd w:val="clear" w:color="auto" w:fill="auto"/>
            <w:vAlign w:val="center"/>
            <w:hideMark/>
          </w:tcPr>
          <w:p w14:paraId="11B9ACC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2.1.6 Impartir talleres de fomento al uso de la bicicleta, seguridad para los ciclistas, peatones y conductores de manera integral</w:t>
            </w:r>
          </w:p>
        </w:tc>
        <w:tc>
          <w:tcPr>
            <w:tcW w:w="787" w:type="pct"/>
            <w:tcBorders>
              <w:top w:val="nil"/>
              <w:left w:val="nil"/>
              <w:bottom w:val="single" w:sz="4" w:space="0" w:color="auto"/>
              <w:right w:val="single" w:sz="4" w:space="0" w:color="auto"/>
            </w:tcBorders>
            <w:shd w:val="clear" w:color="auto" w:fill="auto"/>
            <w:vAlign w:val="center"/>
            <w:hideMark/>
          </w:tcPr>
          <w:p w14:paraId="1B263EB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Talleres impartidos respecto del total anual.</w:t>
            </w:r>
          </w:p>
        </w:tc>
        <w:tc>
          <w:tcPr>
            <w:tcW w:w="787" w:type="pct"/>
            <w:tcBorders>
              <w:top w:val="nil"/>
              <w:left w:val="nil"/>
              <w:bottom w:val="single" w:sz="4" w:space="0" w:color="auto"/>
              <w:right w:val="single" w:sz="4" w:space="0" w:color="auto"/>
            </w:tcBorders>
            <w:shd w:val="clear" w:color="auto" w:fill="auto"/>
            <w:vAlign w:val="center"/>
            <w:hideMark/>
          </w:tcPr>
          <w:p w14:paraId="7688EF82" w14:textId="77777777" w:rsidR="00C51006" w:rsidRDefault="00C51006" w:rsidP="00C307FB">
            <w:pPr>
              <w:jc w:val="center"/>
              <w:rPr>
                <w:rFonts w:ascii="Arial" w:hAnsi="Arial" w:cs="Arial"/>
                <w:sz w:val="22"/>
                <w:szCs w:val="22"/>
                <w:lang w:eastAsia="es-MX"/>
              </w:rPr>
            </w:pPr>
            <w:r>
              <w:rPr>
                <w:rFonts w:ascii="Arial" w:hAnsi="Arial" w:cs="Arial"/>
                <w:sz w:val="22"/>
                <w:szCs w:val="22"/>
                <w:lang w:eastAsia="es-MX"/>
              </w:rPr>
              <w:t>Impartir 95</w:t>
            </w:r>
            <w:r w:rsidR="00794EB9" w:rsidRPr="00794EB9">
              <w:rPr>
                <w:rFonts w:ascii="Arial" w:hAnsi="Arial" w:cs="Arial"/>
                <w:sz w:val="22"/>
                <w:szCs w:val="22"/>
                <w:lang w:eastAsia="es-MX"/>
              </w:rPr>
              <w:t xml:space="preserve"> talleres de fomento al uso de la bicicleta, seguridad para los ciclistas, peatones y conductores de manera integral </w:t>
            </w:r>
          </w:p>
          <w:p w14:paraId="41007C48" w14:textId="77777777" w:rsidR="00C51006" w:rsidRDefault="00C51006" w:rsidP="00C307FB">
            <w:pPr>
              <w:jc w:val="center"/>
              <w:rPr>
                <w:rFonts w:ascii="Arial" w:hAnsi="Arial" w:cs="Arial"/>
                <w:sz w:val="22"/>
                <w:szCs w:val="22"/>
                <w:lang w:eastAsia="es-MX"/>
              </w:rPr>
            </w:pPr>
          </w:p>
          <w:p w14:paraId="253FAB19" w14:textId="2C60029A" w:rsidR="00794EB9" w:rsidRPr="00C51006" w:rsidRDefault="00FB4DF0" w:rsidP="007F7470">
            <w:pPr>
              <w:jc w:val="center"/>
              <w:rPr>
                <w:rFonts w:ascii="Arial" w:hAnsi="Arial" w:cs="Arial"/>
                <w:b/>
                <w:sz w:val="16"/>
                <w:szCs w:val="16"/>
                <w:lang w:eastAsia="es-MX"/>
              </w:rPr>
            </w:pPr>
            <w:r>
              <w:rPr>
                <w:rFonts w:ascii="Arial" w:hAnsi="Arial" w:cs="Arial"/>
                <w:b/>
                <w:color w:val="002060"/>
                <w:sz w:val="16"/>
                <w:szCs w:val="16"/>
                <w:lang w:eastAsia="es-MX"/>
              </w:rPr>
              <w:t>Meta</w:t>
            </w:r>
            <w:r w:rsidR="00F12BEC">
              <w:rPr>
                <w:rFonts w:ascii="Arial" w:hAnsi="Arial" w:cs="Arial"/>
                <w:b/>
                <w:color w:val="002060"/>
                <w:sz w:val="16"/>
                <w:szCs w:val="16"/>
                <w:lang w:eastAsia="es-MX"/>
              </w:rPr>
              <w:t xml:space="preserve"> y metas anuales incrementadas </w:t>
            </w:r>
            <w:r w:rsidR="00C51006" w:rsidRPr="00C51006">
              <w:rPr>
                <w:rFonts w:ascii="Arial" w:hAnsi="Arial" w:cs="Arial"/>
                <w:b/>
                <w:color w:val="002060"/>
                <w:sz w:val="16"/>
                <w:szCs w:val="16"/>
                <w:lang w:eastAsia="es-MX"/>
              </w:rPr>
              <w:t>P.O. 27</w:t>
            </w:r>
            <w:r w:rsidR="007F7470">
              <w:rPr>
                <w:rFonts w:ascii="Arial" w:hAnsi="Arial" w:cs="Arial"/>
                <w:b/>
                <w:color w:val="002060"/>
                <w:sz w:val="16"/>
                <w:szCs w:val="16"/>
                <w:lang w:eastAsia="es-MX"/>
              </w:rPr>
              <w:t>-12-2022</w:t>
            </w:r>
            <w:r w:rsidR="00794EB9" w:rsidRPr="00C51006">
              <w:rPr>
                <w:rFonts w:ascii="Arial" w:hAnsi="Arial" w:cs="Arial"/>
                <w:b/>
                <w:color w:val="002060"/>
                <w:sz w:val="16"/>
                <w:szCs w:val="16"/>
                <w:lang w:eastAsia="es-MX"/>
              </w:rPr>
              <w:t xml:space="preserve">  </w:t>
            </w:r>
          </w:p>
        </w:tc>
        <w:tc>
          <w:tcPr>
            <w:tcW w:w="307" w:type="pct"/>
            <w:tcBorders>
              <w:top w:val="nil"/>
              <w:left w:val="nil"/>
              <w:bottom w:val="single" w:sz="4" w:space="0" w:color="auto"/>
              <w:right w:val="single" w:sz="4" w:space="0" w:color="auto"/>
            </w:tcBorders>
            <w:shd w:val="clear" w:color="auto" w:fill="auto"/>
            <w:vAlign w:val="center"/>
            <w:hideMark/>
          </w:tcPr>
          <w:p w14:paraId="1693AAA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3A06E14C" w14:textId="0A052383" w:rsidR="00F12BEC" w:rsidRPr="00794EB9" w:rsidRDefault="00F12BEC" w:rsidP="00F12BEC">
            <w:pPr>
              <w:jc w:val="center"/>
              <w:rPr>
                <w:rFonts w:ascii="Arial" w:hAnsi="Arial" w:cs="Arial"/>
                <w:sz w:val="22"/>
                <w:szCs w:val="22"/>
                <w:lang w:eastAsia="es-MX"/>
              </w:rPr>
            </w:pPr>
            <w:r>
              <w:rPr>
                <w:rFonts w:ascii="Arial" w:hAnsi="Arial" w:cs="Arial"/>
                <w:sz w:val="22"/>
                <w:szCs w:val="22"/>
                <w:lang w:eastAsia="es-MX"/>
              </w:rPr>
              <w:t>25</w:t>
            </w:r>
          </w:p>
        </w:tc>
        <w:tc>
          <w:tcPr>
            <w:tcW w:w="387" w:type="pct"/>
            <w:tcBorders>
              <w:top w:val="nil"/>
              <w:left w:val="nil"/>
              <w:bottom w:val="single" w:sz="4" w:space="0" w:color="auto"/>
              <w:right w:val="single" w:sz="4" w:space="0" w:color="auto"/>
            </w:tcBorders>
            <w:shd w:val="clear" w:color="auto" w:fill="auto"/>
            <w:vAlign w:val="center"/>
            <w:hideMark/>
          </w:tcPr>
          <w:p w14:paraId="34FDFA86" w14:textId="7F8A1F5C" w:rsidR="00794EB9" w:rsidRPr="00794EB9" w:rsidRDefault="00F12BEC" w:rsidP="00C307FB">
            <w:pPr>
              <w:jc w:val="center"/>
              <w:rPr>
                <w:rFonts w:ascii="Arial" w:hAnsi="Arial" w:cs="Arial"/>
                <w:sz w:val="22"/>
                <w:szCs w:val="22"/>
                <w:lang w:eastAsia="es-MX"/>
              </w:rPr>
            </w:pPr>
            <w:r>
              <w:rPr>
                <w:rFonts w:ascii="Arial" w:hAnsi="Arial" w:cs="Arial"/>
                <w:sz w:val="22"/>
                <w:szCs w:val="22"/>
                <w:lang w:eastAsia="es-MX"/>
              </w:rPr>
              <w:t>35</w:t>
            </w:r>
          </w:p>
        </w:tc>
        <w:tc>
          <w:tcPr>
            <w:tcW w:w="387" w:type="pct"/>
            <w:tcBorders>
              <w:top w:val="nil"/>
              <w:left w:val="nil"/>
              <w:bottom w:val="single" w:sz="4" w:space="0" w:color="auto"/>
              <w:right w:val="single" w:sz="4" w:space="0" w:color="auto"/>
            </w:tcBorders>
            <w:shd w:val="clear" w:color="auto" w:fill="auto"/>
            <w:vAlign w:val="center"/>
            <w:hideMark/>
          </w:tcPr>
          <w:p w14:paraId="0E80BF53" w14:textId="299B386D" w:rsidR="00794EB9" w:rsidRPr="00794EB9" w:rsidRDefault="00F12BEC" w:rsidP="00C307FB">
            <w:pPr>
              <w:jc w:val="center"/>
              <w:rPr>
                <w:rFonts w:ascii="Arial" w:hAnsi="Arial" w:cs="Arial"/>
                <w:sz w:val="22"/>
                <w:szCs w:val="22"/>
                <w:lang w:eastAsia="es-MX"/>
              </w:rPr>
            </w:pPr>
            <w:r>
              <w:rPr>
                <w:rFonts w:ascii="Arial" w:hAnsi="Arial" w:cs="Arial"/>
                <w:sz w:val="22"/>
                <w:szCs w:val="22"/>
                <w:lang w:eastAsia="es-MX"/>
              </w:rPr>
              <w:t>35</w:t>
            </w:r>
          </w:p>
        </w:tc>
      </w:tr>
      <w:tr w:rsidR="00794EB9" w:rsidRPr="00794EB9" w14:paraId="3F58E62A"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1EE2480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 Ciclociudad</w:t>
            </w:r>
          </w:p>
        </w:tc>
        <w:tc>
          <w:tcPr>
            <w:tcW w:w="549" w:type="pct"/>
            <w:tcBorders>
              <w:top w:val="nil"/>
              <w:left w:val="nil"/>
              <w:bottom w:val="single" w:sz="4" w:space="0" w:color="auto"/>
              <w:right w:val="single" w:sz="4" w:space="0" w:color="auto"/>
            </w:tcBorders>
            <w:shd w:val="clear" w:color="auto" w:fill="auto"/>
            <w:vAlign w:val="center"/>
            <w:hideMark/>
          </w:tcPr>
          <w:p w14:paraId="69F2E30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2.1.7</w:t>
            </w:r>
          </w:p>
        </w:tc>
        <w:tc>
          <w:tcPr>
            <w:tcW w:w="808" w:type="pct"/>
            <w:tcBorders>
              <w:top w:val="nil"/>
              <w:left w:val="nil"/>
              <w:bottom w:val="single" w:sz="4" w:space="0" w:color="auto"/>
              <w:right w:val="single" w:sz="4" w:space="0" w:color="auto"/>
            </w:tcBorders>
            <w:shd w:val="clear" w:color="auto" w:fill="auto"/>
            <w:vAlign w:val="center"/>
            <w:hideMark/>
          </w:tcPr>
          <w:p w14:paraId="25FC684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2.1.7 Realizar 12 eventos de Paseo Ciclista en la ciudad anualmente. </w:t>
            </w:r>
          </w:p>
        </w:tc>
        <w:tc>
          <w:tcPr>
            <w:tcW w:w="787" w:type="pct"/>
            <w:tcBorders>
              <w:top w:val="nil"/>
              <w:left w:val="nil"/>
              <w:bottom w:val="single" w:sz="4" w:space="0" w:color="auto"/>
              <w:right w:val="single" w:sz="4" w:space="0" w:color="auto"/>
            </w:tcBorders>
            <w:shd w:val="clear" w:color="auto" w:fill="auto"/>
            <w:vAlign w:val="center"/>
            <w:hideMark/>
          </w:tcPr>
          <w:p w14:paraId="5F38178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Eventos de paseo ciclista realizados respecto del total anual</w:t>
            </w:r>
          </w:p>
        </w:tc>
        <w:tc>
          <w:tcPr>
            <w:tcW w:w="787" w:type="pct"/>
            <w:tcBorders>
              <w:top w:val="nil"/>
              <w:left w:val="nil"/>
              <w:bottom w:val="single" w:sz="4" w:space="0" w:color="auto"/>
              <w:right w:val="single" w:sz="4" w:space="0" w:color="auto"/>
            </w:tcBorders>
            <w:shd w:val="clear" w:color="auto" w:fill="auto"/>
            <w:vAlign w:val="center"/>
            <w:hideMark/>
          </w:tcPr>
          <w:p w14:paraId="1E4AF280" w14:textId="77777777" w:rsidR="00794EB9" w:rsidRDefault="00F12BEC" w:rsidP="00C307FB">
            <w:pPr>
              <w:jc w:val="center"/>
              <w:rPr>
                <w:rFonts w:ascii="Arial" w:hAnsi="Arial" w:cs="Arial"/>
                <w:sz w:val="22"/>
                <w:szCs w:val="22"/>
                <w:lang w:eastAsia="es-MX"/>
              </w:rPr>
            </w:pPr>
            <w:r>
              <w:rPr>
                <w:rFonts w:ascii="Arial" w:hAnsi="Arial" w:cs="Arial"/>
                <w:sz w:val="22"/>
                <w:szCs w:val="22"/>
                <w:lang w:eastAsia="es-MX"/>
              </w:rPr>
              <w:br/>
              <w:t>Realizar 93</w:t>
            </w:r>
            <w:r w:rsidR="00794EB9" w:rsidRPr="00794EB9">
              <w:rPr>
                <w:rFonts w:ascii="Arial" w:hAnsi="Arial" w:cs="Arial"/>
                <w:sz w:val="22"/>
                <w:szCs w:val="22"/>
                <w:lang w:eastAsia="es-MX"/>
              </w:rPr>
              <w:t xml:space="preserve"> eventos de Paseo Ciclista en la ciudad durante el trienio</w:t>
            </w:r>
          </w:p>
          <w:p w14:paraId="5C2AD8F1" w14:textId="77777777" w:rsidR="00F12BEC" w:rsidRDefault="00F12BEC" w:rsidP="00C307FB">
            <w:pPr>
              <w:jc w:val="center"/>
              <w:rPr>
                <w:rFonts w:ascii="Arial" w:hAnsi="Arial" w:cs="Arial"/>
                <w:sz w:val="22"/>
                <w:szCs w:val="22"/>
                <w:lang w:eastAsia="es-MX"/>
              </w:rPr>
            </w:pPr>
          </w:p>
          <w:p w14:paraId="05EB32F8" w14:textId="7A508C95" w:rsidR="00F12BEC" w:rsidRPr="00794EB9" w:rsidRDefault="00F12BEC" w:rsidP="00C307FB">
            <w:pPr>
              <w:jc w:val="center"/>
              <w:rPr>
                <w:rFonts w:ascii="Arial" w:hAnsi="Arial" w:cs="Arial"/>
                <w:sz w:val="22"/>
                <w:szCs w:val="22"/>
                <w:lang w:eastAsia="es-MX"/>
              </w:rPr>
            </w:pPr>
            <w:r w:rsidRPr="00C51006">
              <w:rPr>
                <w:rFonts w:ascii="Arial" w:hAnsi="Arial" w:cs="Arial"/>
                <w:b/>
                <w:color w:val="002060"/>
                <w:sz w:val="16"/>
                <w:szCs w:val="16"/>
                <w:lang w:eastAsia="es-MX"/>
              </w:rPr>
              <w:t xml:space="preserve">Meta </w:t>
            </w:r>
            <w:r>
              <w:rPr>
                <w:rFonts w:ascii="Arial" w:hAnsi="Arial" w:cs="Arial"/>
                <w:b/>
                <w:color w:val="002060"/>
                <w:sz w:val="16"/>
                <w:szCs w:val="16"/>
                <w:lang w:eastAsia="es-MX"/>
              </w:rPr>
              <w:t xml:space="preserve">y metas anuales incrementadas </w:t>
            </w:r>
            <w:r w:rsidR="007F7470" w:rsidRPr="00C51006">
              <w:rPr>
                <w:rFonts w:ascii="Arial" w:hAnsi="Arial" w:cs="Arial"/>
                <w:b/>
                <w:color w:val="002060"/>
                <w:sz w:val="16"/>
                <w:szCs w:val="16"/>
                <w:lang w:eastAsia="es-MX"/>
              </w:rPr>
              <w:t>P.O. 27</w:t>
            </w:r>
            <w:r w:rsidR="007F7470">
              <w:rPr>
                <w:rFonts w:ascii="Arial" w:hAnsi="Arial" w:cs="Arial"/>
                <w:b/>
                <w:color w:val="002060"/>
                <w:sz w:val="16"/>
                <w:szCs w:val="16"/>
                <w:lang w:eastAsia="es-MX"/>
              </w:rPr>
              <w:t>-12-2022</w:t>
            </w:r>
            <w:r w:rsidR="007F7470" w:rsidRPr="00C51006">
              <w:rPr>
                <w:rFonts w:ascii="Arial" w:hAnsi="Arial" w:cs="Arial"/>
                <w:b/>
                <w:color w:val="002060"/>
                <w:sz w:val="16"/>
                <w:szCs w:val="16"/>
                <w:lang w:eastAsia="es-MX"/>
              </w:rPr>
              <w:t xml:space="preserve">  </w:t>
            </w:r>
          </w:p>
        </w:tc>
        <w:tc>
          <w:tcPr>
            <w:tcW w:w="307" w:type="pct"/>
            <w:tcBorders>
              <w:top w:val="nil"/>
              <w:left w:val="nil"/>
              <w:bottom w:val="single" w:sz="4" w:space="0" w:color="auto"/>
              <w:right w:val="single" w:sz="4" w:space="0" w:color="auto"/>
            </w:tcBorders>
            <w:shd w:val="clear" w:color="auto" w:fill="auto"/>
            <w:vAlign w:val="center"/>
            <w:hideMark/>
          </w:tcPr>
          <w:p w14:paraId="2B0F0BE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7B48F635" w14:textId="10A37B25" w:rsidR="00794EB9" w:rsidRPr="00794EB9" w:rsidRDefault="00F12BEC" w:rsidP="00C307FB">
            <w:pPr>
              <w:jc w:val="center"/>
              <w:rPr>
                <w:rFonts w:ascii="Arial" w:hAnsi="Arial" w:cs="Arial"/>
                <w:sz w:val="22"/>
                <w:szCs w:val="22"/>
                <w:lang w:eastAsia="es-MX"/>
              </w:rPr>
            </w:pPr>
            <w:r>
              <w:rPr>
                <w:rFonts w:ascii="Arial" w:hAnsi="Arial" w:cs="Arial"/>
                <w:sz w:val="22"/>
                <w:szCs w:val="22"/>
                <w:lang w:eastAsia="es-MX"/>
              </w:rPr>
              <w:t>20</w:t>
            </w:r>
          </w:p>
        </w:tc>
        <w:tc>
          <w:tcPr>
            <w:tcW w:w="387" w:type="pct"/>
            <w:tcBorders>
              <w:top w:val="nil"/>
              <w:left w:val="nil"/>
              <w:bottom w:val="single" w:sz="4" w:space="0" w:color="auto"/>
              <w:right w:val="single" w:sz="4" w:space="0" w:color="auto"/>
            </w:tcBorders>
            <w:shd w:val="clear" w:color="auto" w:fill="auto"/>
            <w:vAlign w:val="center"/>
            <w:hideMark/>
          </w:tcPr>
          <w:p w14:paraId="391A462A" w14:textId="2D0F8378" w:rsidR="00794EB9" w:rsidRPr="00794EB9" w:rsidRDefault="00F12BEC" w:rsidP="00C307FB">
            <w:pPr>
              <w:jc w:val="center"/>
              <w:rPr>
                <w:rFonts w:ascii="Arial" w:hAnsi="Arial" w:cs="Arial"/>
                <w:sz w:val="22"/>
                <w:szCs w:val="22"/>
                <w:lang w:eastAsia="es-MX"/>
              </w:rPr>
            </w:pPr>
            <w:r>
              <w:rPr>
                <w:rFonts w:ascii="Arial" w:hAnsi="Arial" w:cs="Arial"/>
                <w:sz w:val="22"/>
                <w:szCs w:val="22"/>
                <w:lang w:eastAsia="es-MX"/>
              </w:rPr>
              <w:t>40</w:t>
            </w:r>
          </w:p>
        </w:tc>
        <w:tc>
          <w:tcPr>
            <w:tcW w:w="387" w:type="pct"/>
            <w:tcBorders>
              <w:top w:val="nil"/>
              <w:left w:val="nil"/>
              <w:bottom w:val="single" w:sz="4" w:space="0" w:color="auto"/>
              <w:right w:val="single" w:sz="4" w:space="0" w:color="auto"/>
            </w:tcBorders>
            <w:shd w:val="clear" w:color="auto" w:fill="auto"/>
            <w:vAlign w:val="center"/>
            <w:hideMark/>
          </w:tcPr>
          <w:p w14:paraId="40029D4A" w14:textId="160E06F6" w:rsidR="00794EB9" w:rsidRPr="00794EB9" w:rsidRDefault="00F12BEC" w:rsidP="00C307FB">
            <w:pPr>
              <w:jc w:val="center"/>
              <w:rPr>
                <w:rFonts w:ascii="Arial" w:hAnsi="Arial" w:cs="Arial"/>
                <w:sz w:val="22"/>
                <w:szCs w:val="22"/>
                <w:lang w:eastAsia="es-MX"/>
              </w:rPr>
            </w:pPr>
            <w:r>
              <w:rPr>
                <w:rFonts w:ascii="Arial" w:hAnsi="Arial" w:cs="Arial"/>
                <w:sz w:val="22"/>
                <w:szCs w:val="22"/>
                <w:lang w:eastAsia="es-MX"/>
              </w:rPr>
              <w:t>33</w:t>
            </w:r>
          </w:p>
        </w:tc>
      </w:tr>
      <w:tr w:rsidR="00794EB9" w:rsidRPr="00794EB9" w14:paraId="5AB053DA"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5082C1A2" w14:textId="0B0BE95A"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 C</w:t>
            </w:r>
            <w:r w:rsidR="00B87FCE">
              <w:rPr>
                <w:rFonts w:ascii="Arial" w:hAnsi="Arial" w:cs="Arial"/>
                <w:sz w:val="22"/>
                <w:szCs w:val="22"/>
                <w:lang w:eastAsia="es-MX"/>
              </w:rPr>
              <w:t>2</w:t>
            </w:r>
            <w:r w:rsidRPr="00794EB9">
              <w:rPr>
                <w:rFonts w:ascii="Arial" w:hAnsi="Arial" w:cs="Arial"/>
                <w:sz w:val="22"/>
                <w:szCs w:val="22"/>
                <w:lang w:eastAsia="es-MX"/>
              </w:rPr>
              <w:t>iclociudad</w:t>
            </w:r>
          </w:p>
        </w:tc>
        <w:tc>
          <w:tcPr>
            <w:tcW w:w="549" w:type="pct"/>
            <w:tcBorders>
              <w:top w:val="nil"/>
              <w:left w:val="nil"/>
              <w:bottom w:val="single" w:sz="4" w:space="0" w:color="auto"/>
              <w:right w:val="single" w:sz="4" w:space="0" w:color="auto"/>
            </w:tcBorders>
            <w:shd w:val="clear" w:color="auto" w:fill="auto"/>
            <w:vAlign w:val="center"/>
            <w:hideMark/>
          </w:tcPr>
          <w:p w14:paraId="434B3EA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2.1.8</w:t>
            </w:r>
          </w:p>
        </w:tc>
        <w:tc>
          <w:tcPr>
            <w:tcW w:w="808" w:type="pct"/>
            <w:tcBorders>
              <w:top w:val="nil"/>
              <w:left w:val="nil"/>
              <w:bottom w:val="single" w:sz="4" w:space="0" w:color="auto"/>
              <w:right w:val="single" w:sz="4" w:space="0" w:color="auto"/>
            </w:tcBorders>
            <w:shd w:val="clear" w:color="auto" w:fill="auto"/>
            <w:vAlign w:val="center"/>
            <w:hideMark/>
          </w:tcPr>
          <w:p w14:paraId="38AFDF4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2.1.8 Lograr la Certificación para el 2022 para mantener a León en el Top 5 nacional de ciudades ciclistas (índice ITDP- Ciclociudades).</w:t>
            </w:r>
          </w:p>
        </w:tc>
        <w:tc>
          <w:tcPr>
            <w:tcW w:w="787" w:type="pct"/>
            <w:tcBorders>
              <w:top w:val="nil"/>
              <w:left w:val="nil"/>
              <w:bottom w:val="single" w:sz="4" w:space="0" w:color="auto"/>
              <w:right w:val="single" w:sz="4" w:space="0" w:color="auto"/>
            </w:tcBorders>
            <w:shd w:val="clear" w:color="auto" w:fill="auto"/>
            <w:vAlign w:val="center"/>
            <w:hideMark/>
          </w:tcPr>
          <w:p w14:paraId="4E160A6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 Obtención de la certificación en el Top 5 nacional de ciudades ciclistas</w:t>
            </w:r>
          </w:p>
        </w:tc>
        <w:tc>
          <w:tcPr>
            <w:tcW w:w="787" w:type="pct"/>
            <w:tcBorders>
              <w:top w:val="nil"/>
              <w:left w:val="nil"/>
              <w:bottom w:val="single" w:sz="4" w:space="0" w:color="auto"/>
              <w:right w:val="single" w:sz="4" w:space="0" w:color="auto"/>
            </w:tcBorders>
            <w:shd w:val="clear" w:color="auto" w:fill="auto"/>
            <w:vAlign w:val="center"/>
            <w:hideMark/>
          </w:tcPr>
          <w:p w14:paraId="3E9ACAB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Obtener y mantener la certificación durante el trienio (índice ITDP- Ciclociudades)</w:t>
            </w:r>
          </w:p>
        </w:tc>
        <w:tc>
          <w:tcPr>
            <w:tcW w:w="307" w:type="pct"/>
            <w:tcBorders>
              <w:top w:val="nil"/>
              <w:left w:val="nil"/>
              <w:bottom w:val="single" w:sz="4" w:space="0" w:color="auto"/>
              <w:right w:val="single" w:sz="4" w:space="0" w:color="auto"/>
            </w:tcBorders>
            <w:shd w:val="clear" w:color="auto" w:fill="auto"/>
            <w:vAlign w:val="center"/>
            <w:hideMark/>
          </w:tcPr>
          <w:p w14:paraId="535ED2F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77D173A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w:t>
            </w:r>
          </w:p>
        </w:tc>
        <w:tc>
          <w:tcPr>
            <w:tcW w:w="387" w:type="pct"/>
            <w:tcBorders>
              <w:top w:val="nil"/>
              <w:left w:val="nil"/>
              <w:bottom w:val="single" w:sz="4" w:space="0" w:color="auto"/>
              <w:right w:val="single" w:sz="4" w:space="0" w:color="auto"/>
            </w:tcBorders>
            <w:shd w:val="clear" w:color="auto" w:fill="auto"/>
            <w:vAlign w:val="center"/>
            <w:hideMark/>
          </w:tcPr>
          <w:p w14:paraId="394EA08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w:t>
            </w:r>
          </w:p>
        </w:tc>
        <w:tc>
          <w:tcPr>
            <w:tcW w:w="387" w:type="pct"/>
            <w:tcBorders>
              <w:top w:val="nil"/>
              <w:left w:val="nil"/>
              <w:bottom w:val="single" w:sz="4" w:space="0" w:color="auto"/>
              <w:right w:val="single" w:sz="4" w:space="0" w:color="auto"/>
            </w:tcBorders>
            <w:shd w:val="clear" w:color="auto" w:fill="auto"/>
            <w:vAlign w:val="center"/>
            <w:hideMark/>
          </w:tcPr>
          <w:p w14:paraId="1871A41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w:t>
            </w:r>
          </w:p>
        </w:tc>
      </w:tr>
      <w:tr w:rsidR="00794EB9" w:rsidRPr="00794EB9" w14:paraId="010080EC"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398DC21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VT. 2.2 Circuito de Rutas Exprés Perimetrales </w:t>
            </w:r>
          </w:p>
        </w:tc>
        <w:tc>
          <w:tcPr>
            <w:tcW w:w="549" w:type="pct"/>
            <w:tcBorders>
              <w:top w:val="nil"/>
              <w:left w:val="nil"/>
              <w:bottom w:val="single" w:sz="4" w:space="0" w:color="auto"/>
              <w:right w:val="single" w:sz="4" w:space="0" w:color="auto"/>
            </w:tcBorders>
            <w:shd w:val="clear" w:color="auto" w:fill="auto"/>
            <w:vAlign w:val="center"/>
            <w:hideMark/>
          </w:tcPr>
          <w:p w14:paraId="0E5AC0E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2.2.1</w:t>
            </w:r>
          </w:p>
        </w:tc>
        <w:tc>
          <w:tcPr>
            <w:tcW w:w="808" w:type="pct"/>
            <w:tcBorders>
              <w:top w:val="nil"/>
              <w:left w:val="nil"/>
              <w:bottom w:val="single" w:sz="4" w:space="0" w:color="auto"/>
              <w:right w:val="single" w:sz="4" w:space="0" w:color="auto"/>
            </w:tcBorders>
            <w:shd w:val="clear" w:color="auto" w:fill="auto"/>
            <w:vAlign w:val="center"/>
            <w:hideMark/>
          </w:tcPr>
          <w:p w14:paraId="4AA7E0C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2.2.1 Crear el primer circuito de transporte exprés en la ciudad y Delegaciones.</w:t>
            </w:r>
          </w:p>
        </w:tc>
        <w:tc>
          <w:tcPr>
            <w:tcW w:w="787" w:type="pct"/>
            <w:tcBorders>
              <w:top w:val="nil"/>
              <w:left w:val="nil"/>
              <w:bottom w:val="single" w:sz="4" w:space="0" w:color="auto"/>
              <w:right w:val="single" w:sz="4" w:space="0" w:color="auto"/>
            </w:tcBorders>
            <w:shd w:val="clear" w:color="auto" w:fill="auto"/>
            <w:vAlign w:val="center"/>
            <w:hideMark/>
          </w:tcPr>
          <w:p w14:paraId="2567BB6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Rutas exprés implementadas, respecto del total</w:t>
            </w:r>
          </w:p>
        </w:tc>
        <w:tc>
          <w:tcPr>
            <w:tcW w:w="787" w:type="pct"/>
            <w:tcBorders>
              <w:top w:val="nil"/>
              <w:left w:val="nil"/>
              <w:bottom w:val="single" w:sz="4" w:space="0" w:color="auto"/>
              <w:right w:val="single" w:sz="4" w:space="0" w:color="auto"/>
            </w:tcBorders>
            <w:shd w:val="clear" w:color="auto" w:fill="auto"/>
            <w:vAlign w:val="center"/>
            <w:hideMark/>
          </w:tcPr>
          <w:p w14:paraId="2E254F64" w14:textId="77777777" w:rsidR="00794EB9" w:rsidRDefault="007F7470" w:rsidP="00C307FB">
            <w:pPr>
              <w:jc w:val="center"/>
              <w:rPr>
                <w:rFonts w:ascii="Arial" w:hAnsi="Arial" w:cs="Arial"/>
                <w:sz w:val="22"/>
                <w:szCs w:val="22"/>
                <w:lang w:eastAsia="es-MX"/>
              </w:rPr>
            </w:pPr>
            <w:r>
              <w:rPr>
                <w:rFonts w:ascii="Arial" w:hAnsi="Arial" w:cs="Arial"/>
                <w:sz w:val="22"/>
                <w:szCs w:val="22"/>
                <w:lang w:eastAsia="es-MX"/>
              </w:rPr>
              <w:t>Implementar 6</w:t>
            </w:r>
            <w:r w:rsidR="00794EB9" w:rsidRPr="00794EB9">
              <w:rPr>
                <w:rFonts w:ascii="Arial" w:hAnsi="Arial" w:cs="Arial"/>
                <w:sz w:val="22"/>
                <w:szCs w:val="22"/>
                <w:lang w:eastAsia="es-MX"/>
              </w:rPr>
              <w:t xml:space="preserve"> rutas exprés para el año 2023.</w:t>
            </w:r>
          </w:p>
          <w:p w14:paraId="68637EFA" w14:textId="77777777" w:rsidR="007F7470" w:rsidRDefault="007F7470" w:rsidP="00C307FB">
            <w:pPr>
              <w:jc w:val="center"/>
              <w:rPr>
                <w:rFonts w:ascii="Arial" w:hAnsi="Arial" w:cs="Arial"/>
                <w:sz w:val="22"/>
                <w:szCs w:val="22"/>
                <w:lang w:eastAsia="es-MX"/>
              </w:rPr>
            </w:pPr>
          </w:p>
          <w:p w14:paraId="178CB788" w14:textId="464DB0DE" w:rsidR="007F7470" w:rsidRPr="00794EB9" w:rsidRDefault="00FB4DF0" w:rsidP="00C307FB">
            <w:pPr>
              <w:jc w:val="center"/>
              <w:rPr>
                <w:rFonts w:ascii="Arial" w:hAnsi="Arial" w:cs="Arial"/>
                <w:sz w:val="22"/>
                <w:szCs w:val="22"/>
                <w:lang w:eastAsia="es-MX"/>
              </w:rPr>
            </w:pPr>
            <w:r>
              <w:rPr>
                <w:rFonts w:ascii="Arial" w:hAnsi="Arial" w:cs="Arial"/>
                <w:b/>
                <w:color w:val="002060"/>
                <w:sz w:val="16"/>
                <w:szCs w:val="16"/>
                <w:lang w:eastAsia="es-MX"/>
              </w:rPr>
              <w:t>Meta</w:t>
            </w:r>
            <w:r w:rsidR="007F7470">
              <w:rPr>
                <w:rFonts w:ascii="Arial" w:hAnsi="Arial" w:cs="Arial"/>
                <w:b/>
                <w:color w:val="002060"/>
                <w:sz w:val="16"/>
                <w:szCs w:val="16"/>
                <w:lang w:eastAsia="es-MX"/>
              </w:rPr>
              <w:t xml:space="preserve"> y metas anuales incrementadas </w:t>
            </w:r>
            <w:r w:rsidR="007F7470" w:rsidRPr="00C51006">
              <w:rPr>
                <w:rFonts w:ascii="Arial" w:hAnsi="Arial" w:cs="Arial"/>
                <w:b/>
                <w:color w:val="002060"/>
                <w:sz w:val="16"/>
                <w:szCs w:val="16"/>
                <w:lang w:eastAsia="es-MX"/>
              </w:rPr>
              <w:t>P.O. 27</w:t>
            </w:r>
            <w:r w:rsidR="007F7470">
              <w:rPr>
                <w:rFonts w:ascii="Arial" w:hAnsi="Arial" w:cs="Arial"/>
                <w:b/>
                <w:color w:val="002060"/>
                <w:sz w:val="16"/>
                <w:szCs w:val="16"/>
                <w:lang w:eastAsia="es-MX"/>
              </w:rPr>
              <w:t>-12-2022</w:t>
            </w:r>
            <w:r w:rsidR="007F7470" w:rsidRPr="00C51006">
              <w:rPr>
                <w:rFonts w:ascii="Arial" w:hAnsi="Arial" w:cs="Arial"/>
                <w:b/>
                <w:color w:val="002060"/>
                <w:sz w:val="16"/>
                <w:szCs w:val="16"/>
                <w:lang w:eastAsia="es-MX"/>
              </w:rPr>
              <w:t xml:space="preserve">  </w:t>
            </w:r>
          </w:p>
        </w:tc>
        <w:tc>
          <w:tcPr>
            <w:tcW w:w="307" w:type="pct"/>
            <w:tcBorders>
              <w:top w:val="nil"/>
              <w:left w:val="nil"/>
              <w:bottom w:val="single" w:sz="4" w:space="0" w:color="auto"/>
              <w:right w:val="single" w:sz="4" w:space="0" w:color="auto"/>
            </w:tcBorders>
            <w:shd w:val="clear" w:color="auto" w:fill="auto"/>
            <w:vAlign w:val="center"/>
            <w:hideMark/>
          </w:tcPr>
          <w:p w14:paraId="0C69ABD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4CF1D289" w14:textId="752EE5DC" w:rsidR="00794EB9" w:rsidRPr="00794EB9" w:rsidRDefault="007F7470" w:rsidP="00C307FB">
            <w:pPr>
              <w:jc w:val="center"/>
              <w:rPr>
                <w:rFonts w:ascii="Arial" w:hAnsi="Arial" w:cs="Arial"/>
                <w:sz w:val="22"/>
                <w:szCs w:val="22"/>
                <w:lang w:eastAsia="es-MX"/>
              </w:rPr>
            </w:pPr>
            <w:r>
              <w:rPr>
                <w:rFonts w:ascii="Arial" w:hAnsi="Arial" w:cs="Arial"/>
                <w:sz w:val="22"/>
                <w:szCs w:val="22"/>
                <w:lang w:eastAsia="es-MX"/>
              </w:rPr>
              <w:t>4</w:t>
            </w:r>
          </w:p>
        </w:tc>
        <w:tc>
          <w:tcPr>
            <w:tcW w:w="387" w:type="pct"/>
            <w:tcBorders>
              <w:top w:val="nil"/>
              <w:left w:val="nil"/>
              <w:bottom w:val="single" w:sz="4" w:space="0" w:color="auto"/>
              <w:right w:val="single" w:sz="4" w:space="0" w:color="auto"/>
            </w:tcBorders>
            <w:shd w:val="clear" w:color="auto" w:fill="auto"/>
            <w:vAlign w:val="center"/>
            <w:hideMark/>
          </w:tcPr>
          <w:p w14:paraId="7426A889" w14:textId="4A23FA9D" w:rsidR="00794EB9" w:rsidRPr="00794EB9" w:rsidRDefault="007F7470" w:rsidP="00C307FB">
            <w:pPr>
              <w:jc w:val="center"/>
              <w:rPr>
                <w:rFonts w:ascii="Arial" w:hAnsi="Arial" w:cs="Arial"/>
                <w:sz w:val="22"/>
                <w:szCs w:val="22"/>
                <w:lang w:eastAsia="es-MX"/>
              </w:rPr>
            </w:pPr>
            <w:r>
              <w:rPr>
                <w:rFonts w:ascii="Arial" w:hAnsi="Arial" w:cs="Arial"/>
                <w:sz w:val="22"/>
                <w:szCs w:val="22"/>
                <w:lang w:eastAsia="es-MX"/>
              </w:rPr>
              <w:t>2</w:t>
            </w:r>
          </w:p>
        </w:tc>
        <w:tc>
          <w:tcPr>
            <w:tcW w:w="387" w:type="pct"/>
            <w:tcBorders>
              <w:top w:val="nil"/>
              <w:left w:val="nil"/>
              <w:bottom w:val="single" w:sz="4" w:space="0" w:color="auto"/>
              <w:right w:val="single" w:sz="4" w:space="0" w:color="auto"/>
            </w:tcBorders>
            <w:shd w:val="clear" w:color="auto" w:fill="auto"/>
            <w:vAlign w:val="center"/>
            <w:hideMark/>
          </w:tcPr>
          <w:p w14:paraId="0A1C76A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321138E0"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0B5E7D3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2.3 Evolución del SIT</w:t>
            </w:r>
          </w:p>
        </w:tc>
        <w:tc>
          <w:tcPr>
            <w:tcW w:w="549" w:type="pct"/>
            <w:tcBorders>
              <w:top w:val="nil"/>
              <w:left w:val="nil"/>
              <w:bottom w:val="single" w:sz="4" w:space="0" w:color="auto"/>
              <w:right w:val="single" w:sz="4" w:space="0" w:color="auto"/>
            </w:tcBorders>
            <w:shd w:val="clear" w:color="auto" w:fill="auto"/>
            <w:vAlign w:val="center"/>
            <w:hideMark/>
          </w:tcPr>
          <w:p w14:paraId="42F618D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2.3.1</w:t>
            </w:r>
          </w:p>
        </w:tc>
        <w:tc>
          <w:tcPr>
            <w:tcW w:w="808" w:type="pct"/>
            <w:tcBorders>
              <w:top w:val="nil"/>
              <w:left w:val="nil"/>
              <w:bottom w:val="single" w:sz="4" w:space="0" w:color="auto"/>
              <w:right w:val="single" w:sz="4" w:space="0" w:color="auto"/>
            </w:tcBorders>
            <w:shd w:val="clear" w:color="auto" w:fill="auto"/>
            <w:vAlign w:val="center"/>
            <w:hideMark/>
          </w:tcPr>
          <w:p w14:paraId="762308F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2.3.1 Realizar un estudio Integral Origen-Destino de la Zona Metropolitana, que contemple aspectos de modelación y microsimulación.</w:t>
            </w:r>
          </w:p>
        </w:tc>
        <w:tc>
          <w:tcPr>
            <w:tcW w:w="787" w:type="pct"/>
            <w:tcBorders>
              <w:top w:val="nil"/>
              <w:left w:val="nil"/>
              <w:bottom w:val="single" w:sz="4" w:space="0" w:color="auto"/>
              <w:right w:val="single" w:sz="4" w:space="0" w:color="auto"/>
            </w:tcBorders>
            <w:shd w:val="clear" w:color="auto" w:fill="auto"/>
            <w:vAlign w:val="center"/>
            <w:hideMark/>
          </w:tcPr>
          <w:p w14:paraId="391BD7A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Estudio Integral Origen-Destino de la Zona Metropolitana</w:t>
            </w:r>
          </w:p>
        </w:tc>
        <w:tc>
          <w:tcPr>
            <w:tcW w:w="787" w:type="pct"/>
            <w:tcBorders>
              <w:top w:val="nil"/>
              <w:left w:val="nil"/>
              <w:bottom w:val="single" w:sz="4" w:space="0" w:color="auto"/>
              <w:right w:val="single" w:sz="4" w:space="0" w:color="auto"/>
            </w:tcBorders>
            <w:shd w:val="clear" w:color="auto" w:fill="auto"/>
            <w:vAlign w:val="center"/>
            <w:hideMark/>
          </w:tcPr>
          <w:p w14:paraId="7C2C048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el Estudio Integral Origen-Destino de la Zona Metropolitana, con modelación y microsimulación para 2022</w:t>
            </w:r>
          </w:p>
        </w:tc>
        <w:tc>
          <w:tcPr>
            <w:tcW w:w="307" w:type="pct"/>
            <w:tcBorders>
              <w:top w:val="nil"/>
              <w:left w:val="nil"/>
              <w:bottom w:val="single" w:sz="4" w:space="0" w:color="auto"/>
              <w:right w:val="single" w:sz="4" w:space="0" w:color="auto"/>
            </w:tcBorders>
            <w:shd w:val="clear" w:color="auto" w:fill="auto"/>
            <w:vAlign w:val="center"/>
            <w:hideMark/>
          </w:tcPr>
          <w:p w14:paraId="3FB7262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703FA87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w:t>
            </w:r>
          </w:p>
        </w:tc>
        <w:tc>
          <w:tcPr>
            <w:tcW w:w="387" w:type="pct"/>
            <w:tcBorders>
              <w:top w:val="nil"/>
              <w:left w:val="nil"/>
              <w:bottom w:val="single" w:sz="4" w:space="0" w:color="auto"/>
              <w:right w:val="single" w:sz="4" w:space="0" w:color="auto"/>
            </w:tcBorders>
            <w:shd w:val="clear" w:color="auto" w:fill="auto"/>
            <w:vAlign w:val="center"/>
            <w:hideMark/>
          </w:tcPr>
          <w:p w14:paraId="552ED89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0136E58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2AFD129B"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59BFBD5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2.3 Evolución del SIT</w:t>
            </w:r>
          </w:p>
        </w:tc>
        <w:tc>
          <w:tcPr>
            <w:tcW w:w="549" w:type="pct"/>
            <w:tcBorders>
              <w:top w:val="nil"/>
              <w:left w:val="nil"/>
              <w:bottom w:val="single" w:sz="4" w:space="0" w:color="auto"/>
              <w:right w:val="single" w:sz="4" w:space="0" w:color="auto"/>
            </w:tcBorders>
            <w:shd w:val="clear" w:color="auto" w:fill="auto"/>
            <w:vAlign w:val="center"/>
            <w:hideMark/>
          </w:tcPr>
          <w:p w14:paraId="2BD0BC3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2.3.2</w:t>
            </w:r>
          </w:p>
        </w:tc>
        <w:tc>
          <w:tcPr>
            <w:tcW w:w="808" w:type="pct"/>
            <w:tcBorders>
              <w:top w:val="nil"/>
              <w:left w:val="nil"/>
              <w:bottom w:val="single" w:sz="4" w:space="0" w:color="auto"/>
              <w:right w:val="single" w:sz="4" w:space="0" w:color="auto"/>
            </w:tcBorders>
            <w:shd w:val="clear" w:color="auto" w:fill="auto"/>
            <w:vAlign w:val="center"/>
            <w:hideMark/>
          </w:tcPr>
          <w:p w14:paraId="01D266B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2.3.2 Realizar un Plan Maestro de nuevas rutas troncales y estaciones de Transferencia. </w:t>
            </w:r>
          </w:p>
        </w:tc>
        <w:tc>
          <w:tcPr>
            <w:tcW w:w="787" w:type="pct"/>
            <w:tcBorders>
              <w:top w:val="nil"/>
              <w:left w:val="nil"/>
              <w:bottom w:val="single" w:sz="4" w:space="0" w:color="auto"/>
              <w:right w:val="single" w:sz="4" w:space="0" w:color="auto"/>
            </w:tcBorders>
            <w:shd w:val="clear" w:color="auto" w:fill="auto"/>
            <w:vAlign w:val="center"/>
            <w:hideMark/>
          </w:tcPr>
          <w:p w14:paraId="7FBAA22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Plan Maestro de nuevas rutas troncales y estaciones de Transferencia. </w:t>
            </w:r>
          </w:p>
        </w:tc>
        <w:tc>
          <w:tcPr>
            <w:tcW w:w="787" w:type="pct"/>
            <w:tcBorders>
              <w:top w:val="nil"/>
              <w:left w:val="nil"/>
              <w:bottom w:val="single" w:sz="4" w:space="0" w:color="auto"/>
              <w:right w:val="single" w:sz="4" w:space="0" w:color="auto"/>
            </w:tcBorders>
            <w:shd w:val="clear" w:color="auto" w:fill="auto"/>
            <w:vAlign w:val="center"/>
            <w:hideMark/>
          </w:tcPr>
          <w:p w14:paraId="35EB130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Realizar el Plan Maestro de nuevas rutas troncales y estaciones de Transferencia para 2022. </w:t>
            </w:r>
            <w:r w:rsidRPr="00794EB9">
              <w:rPr>
                <w:rFonts w:ascii="Arial" w:hAnsi="Arial" w:cs="Arial"/>
                <w:sz w:val="22"/>
                <w:szCs w:val="22"/>
                <w:lang w:eastAsia="es-MX"/>
              </w:rPr>
              <w:br/>
              <w:t xml:space="preserve"> </w:t>
            </w:r>
          </w:p>
        </w:tc>
        <w:tc>
          <w:tcPr>
            <w:tcW w:w="307" w:type="pct"/>
            <w:tcBorders>
              <w:top w:val="nil"/>
              <w:left w:val="nil"/>
              <w:bottom w:val="single" w:sz="4" w:space="0" w:color="auto"/>
              <w:right w:val="single" w:sz="4" w:space="0" w:color="auto"/>
            </w:tcBorders>
            <w:shd w:val="clear" w:color="auto" w:fill="auto"/>
            <w:vAlign w:val="center"/>
            <w:hideMark/>
          </w:tcPr>
          <w:p w14:paraId="1644C25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66E0473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w:t>
            </w:r>
          </w:p>
        </w:tc>
        <w:tc>
          <w:tcPr>
            <w:tcW w:w="387" w:type="pct"/>
            <w:tcBorders>
              <w:top w:val="nil"/>
              <w:left w:val="nil"/>
              <w:bottom w:val="single" w:sz="4" w:space="0" w:color="auto"/>
              <w:right w:val="single" w:sz="4" w:space="0" w:color="auto"/>
            </w:tcBorders>
            <w:shd w:val="clear" w:color="auto" w:fill="auto"/>
            <w:vAlign w:val="center"/>
            <w:hideMark/>
          </w:tcPr>
          <w:p w14:paraId="4517F67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43583BD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7C35E349"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49BF9A2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2.3 Evolución del SIT</w:t>
            </w:r>
          </w:p>
        </w:tc>
        <w:tc>
          <w:tcPr>
            <w:tcW w:w="549" w:type="pct"/>
            <w:tcBorders>
              <w:top w:val="nil"/>
              <w:left w:val="nil"/>
              <w:bottom w:val="single" w:sz="4" w:space="0" w:color="auto"/>
              <w:right w:val="single" w:sz="4" w:space="0" w:color="auto"/>
            </w:tcBorders>
            <w:shd w:val="clear" w:color="auto" w:fill="auto"/>
            <w:vAlign w:val="center"/>
            <w:hideMark/>
          </w:tcPr>
          <w:p w14:paraId="568A905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2.3.3</w:t>
            </w:r>
          </w:p>
        </w:tc>
        <w:tc>
          <w:tcPr>
            <w:tcW w:w="808" w:type="pct"/>
            <w:tcBorders>
              <w:top w:val="nil"/>
              <w:left w:val="nil"/>
              <w:bottom w:val="single" w:sz="4" w:space="0" w:color="auto"/>
              <w:right w:val="single" w:sz="4" w:space="0" w:color="auto"/>
            </w:tcBorders>
            <w:shd w:val="clear" w:color="auto" w:fill="auto"/>
            <w:vAlign w:val="center"/>
            <w:hideMark/>
          </w:tcPr>
          <w:p w14:paraId="60B589AA" w14:textId="77777777" w:rsidR="00794EB9" w:rsidRDefault="00794EB9" w:rsidP="004522BD">
            <w:pPr>
              <w:jc w:val="center"/>
              <w:rPr>
                <w:rFonts w:ascii="Arial" w:hAnsi="Arial" w:cs="Arial"/>
                <w:sz w:val="22"/>
                <w:szCs w:val="22"/>
                <w:lang w:eastAsia="es-MX"/>
              </w:rPr>
            </w:pPr>
            <w:r w:rsidRPr="00794EB9">
              <w:rPr>
                <w:rFonts w:ascii="Arial" w:hAnsi="Arial" w:cs="Arial"/>
                <w:sz w:val="22"/>
                <w:szCs w:val="22"/>
                <w:lang w:eastAsia="es-MX"/>
              </w:rPr>
              <w:t xml:space="preserve">VT. 2.3.3 Construir </w:t>
            </w:r>
            <w:r w:rsidR="004522BD">
              <w:rPr>
                <w:rFonts w:ascii="Arial" w:hAnsi="Arial" w:cs="Arial"/>
                <w:sz w:val="22"/>
                <w:szCs w:val="22"/>
                <w:lang w:eastAsia="es-MX"/>
              </w:rPr>
              <w:t>una nueva terminal</w:t>
            </w:r>
            <w:r w:rsidRPr="00794EB9">
              <w:rPr>
                <w:rFonts w:ascii="Arial" w:hAnsi="Arial" w:cs="Arial"/>
                <w:sz w:val="22"/>
                <w:szCs w:val="22"/>
                <w:lang w:eastAsia="es-MX"/>
              </w:rPr>
              <w:t xml:space="preserve"> del SIT y habilitar paraderos seguros.</w:t>
            </w:r>
          </w:p>
          <w:p w14:paraId="1CCFDA82" w14:textId="2A5500D2" w:rsidR="004522BD" w:rsidRPr="00794EB9" w:rsidRDefault="004522BD" w:rsidP="004522BD">
            <w:pPr>
              <w:jc w:val="center"/>
              <w:rPr>
                <w:rFonts w:ascii="Arial" w:hAnsi="Arial" w:cs="Arial"/>
                <w:sz w:val="22"/>
                <w:szCs w:val="22"/>
                <w:lang w:eastAsia="es-MX"/>
              </w:rPr>
            </w:pPr>
            <w:r>
              <w:rPr>
                <w:rFonts w:ascii="Arial" w:hAnsi="Arial" w:cs="Arial"/>
                <w:b/>
                <w:color w:val="002060"/>
                <w:sz w:val="18"/>
                <w:szCs w:val="18"/>
                <w:lang w:eastAsia="es-MX"/>
              </w:rPr>
              <w:t xml:space="preserve">Acción modificada </w:t>
            </w:r>
            <w:r w:rsidR="00B87FCE">
              <w:rPr>
                <w:rFonts w:ascii="Arial" w:hAnsi="Arial" w:cs="Arial"/>
                <w:b/>
                <w:color w:val="002060"/>
                <w:sz w:val="18"/>
                <w:szCs w:val="18"/>
                <w:lang w:eastAsia="es-MX"/>
              </w:rPr>
              <w:t>P.O. 27-</w:t>
            </w:r>
            <w:r w:rsidRPr="004522BD">
              <w:rPr>
                <w:rFonts w:ascii="Arial" w:hAnsi="Arial" w:cs="Arial"/>
                <w:b/>
                <w:color w:val="002060"/>
                <w:sz w:val="18"/>
                <w:szCs w:val="18"/>
                <w:lang w:eastAsia="es-MX"/>
              </w:rPr>
              <w:t>1</w:t>
            </w:r>
            <w:r w:rsidR="00B87FCE">
              <w:rPr>
                <w:rFonts w:ascii="Arial" w:hAnsi="Arial" w:cs="Arial"/>
                <w:b/>
                <w:color w:val="002060"/>
                <w:sz w:val="18"/>
                <w:szCs w:val="18"/>
                <w:lang w:eastAsia="es-MX"/>
              </w:rPr>
              <w:t>2</w:t>
            </w:r>
            <w:r w:rsidRPr="004522BD">
              <w:rPr>
                <w:rFonts w:ascii="Arial" w:hAnsi="Arial" w:cs="Arial"/>
                <w:b/>
                <w:color w:val="002060"/>
                <w:sz w:val="18"/>
                <w:szCs w:val="18"/>
                <w:lang w:eastAsia="es-MX"/>
              </w:rPr>
              <w:t>-2022</w:t>
            </w:r>
          </w:p>
        </w:tc>
        <w:tc>
          <w:tcPr>
            <w:tcW w:w="787" w:type="pct"/>
            <w:tcBorders>
              <w:top w:val="nil"/>
              <w:left w:val="nil"/>
              <w:bottom w:val="single" w:sz="4" w:space="0" w:color="auto"/>
              <w:right w:val="single" w:sz="4" w:space="0" w:color="auto"/>
            </w:tcBorders>
            <w:shd w:val="clear" w:color="auto" w:fill="auto"/>
            <w:vAlign w:val="center"/>
            <w:hideMark/>
          </w:tcPr>
          <w:p w14:paraId="6CFE679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paradores seguros habilitados</w:t>
            </w:r>
          </w:p>
        </w:tc>
        <w:tc>
          <w:tcPr>
            <w:tcW w:w="787" w:type="pct"/>
            <w:tcBorders>
              <w:top w:val="nil"/>
              <w:left w:val="nil"/>
              <w:bottom w:val="single" w:sz="4" w:space="0" w:color="auto"/>
              <w:right w:val="single" w:sz="4" w:space="0" w:color="auto"/>
            </w:tcBorders>
            <w:shd w:val="clear" w:color="auto" w:fill="auto"/>
            <w:vAlign w:val="center"/>
            <w:hideMark/>
          </w:tcPr>
          <w:p w14:paraId="76D91F2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Habilitar 21 paraderos seguros durante el trienio  </w:t>
            </w:r>
          </w:p>
        </w:tc>
        <w:tc>
          <w:tcPr>
            <w:tcW w:w="307" w:type="pct"/>
            <w:tcBorders>
              <w:top w:val="nil"/>
              <w:left w:val="nil"/>
              <w:bottom w:val="single" w:sz="4" w:space="0" w:color="auto"/>
              <w:right w:val="single" w:sz="4" w:space="0" w:color="auto"/>
            </w:tcBorders>
            <w:shd w:val="clear" w:color="auto" w:fill="auto"/>
            <w:vAlign w:val="center"/>
            <w:hideMark/>
          </w:tcPr>
          <w:p w14:paraId="028D6C4C" w14:textId="57CF8C0F" w:rsidR="00794EB9" w:rsidRPr="00794EB9" w:rsidRDefault="00794EB9" w:rsidP="004522BD">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0680519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87" w:type="pct"/>
            <w:tcBorders>
              <w:top w:val="nil"/>
              <w:left w:val="nil"/>
              <w:bottom w:val="single" w:sz="4" w:space="0" w:color="auto"/>
              <w:right w:val="single" w:sz="4" w:space="0" w:color="auto"/>
            </w:tcBorders>
            <w:shd w:val="clear" w:color="auto" w:fill="auto"/>
            <w:vAlign w:val="center"/>
            <w:hideMark/>
          </w:tcPr>
          <w:p w14:paraId="03C6C74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87" w:type="pct"/>
            <w:tcBorders>
              <w:top w:val="nil"/>
              <w:left w:val="nil"/>
              <w:bottom w:val="single" w:sz="4" w:space="0" w:color="auto"/>
              <w:right w:val="single" w:sz="4" w:space="0" w:color="auto"/>
            </w:tcBorders>
            <w:shd w:val="clear" w:color="auto" w:fill="auto"/>
            <w:vAlign w:val="center"/>
            <w:hideMark/>
          </w:tcPr>
          <w:p w14:paraId="7BD6D85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0F3E00F2"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3A5D597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2.3 Evolución del SIT</w:t>
            </w:r>
          </w:p>
        </w:tc>
        <w:tc>
          <w:tcPr>
            <w:tcW w:w="549" w:type="pct"/>
            <w:tcBorders>
              <w:top w:val="nil"/>
              <w:left w:val="nil"/>
              <w:bottom w:val="single" w:sz="4" w:space="0" w:color="auto"/>
              <w:right w:val="single" w:sz="4" w:space="0" w:color="auto"/>
            </w:tcBorders>
            <w:shd w:val="clear" w:color="auto" w:fill="auto"/>
            <w:vAlign w:val="center"/>
            <w:hideMark/>
          </w:tcPr>
          <w:p w14:paraId="2A3ECE8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2.3.3</w:t>
            </w:r>
          </w:p>
        </w:tc>
        <w:tc>
          <w:tcPr>
            <w:tcW w:w="808" w:type="pct"/>
            <w:tcBorders>
              <w:top w:val="nil"/>
              <w:left w:val="nil"/>
              <w:bottom w:val="single" w:sz="4" w:space="0" w:color="auto"/>
              <w:right w:val="single" w:sz="4" w:space="0" w:color="auto"/>
            </w:tcBorders>
            <w:shd w:val="clear" w:color="auto" w:fill="auto"/>
            <w:vAlign w:val="center"/>
            <w:hideMark/>
          </w:tcPr>
          <w:p w14:paraId="4A0E741F" w14:textId="77777777" w:rsidR="00794EB9" w:rsidRDefault="00B87FCE" w:rsidP="0069081C">
            <w:pPr>
              <w:jc w:val="center"/>
              <w:rPr>
                <w:rFonts w:ascii="Arial" w:hAnsi="Arial" w:cs="Arial"/>
                <w:sz w:val="22"/>
                <w:szCs w:val="22"/>
                <w:lang w:eastAsia="es-MX"/>
              </w:rPr>
            </w:pPr>
            <w:r>
              <w:rPr>
                <w:rFonts w:ascii="Arial" w:hAnsi="Arial" w:cs="Arial"/>
                <w:sz w:val="22"/>
                <w:szCs w:val="22"/>
                <w:lang w:eastAsia="es-MX"/>
              </w:rPr>
              <w:t>VT. 2.3.3 Construir una nueva terminal</w:t>
            </w:r>
            <w:r w:rsidR="00794EB9" w:rsidRPr="00794EB9">
              <w:rPr>
                <w:rFonts w:ascii="Arial" w:hAnsi="Arial" w:cs="Arial"/>
                <w:sz w:val="22"/>
                <w:szCs w:val="22"/>
                <w:lang w:eastAsia="es-MX"/>
              </w:rPr>
              <w:t xml:space="preserve"> del SIT y habilitar paraderos seguros.</w:t>
            </w:r>
          </w:p>
          <w:p w14:paraId="4685DAC6" w14:textId="2789A833" w:rsidR="00B87FCE" w:rsidRPr="00794EB9" w:rsidRDefault="00B87FCE" w:rsidP="00B87FCE">
            <w:pPr>
              <w:jc w:val="center"/>
              <w:rPr>
                <w:rFonts w:ascii="Arial" w:hAnsi="Arial" w:cs="Arial"/>
                <w:sz w:val="22"/>
                <w:szCs w:val="22"/>
                <w:lang w:eastAsia="es-MX"/>
              </w:rPr>
            </w:pPr>
            <w:r>
              <w:rPr>
                <w:rFonts w:ascii="Arial" w:hAnsi="Arial" w:cs="Arial"/>
                <w:b/>
                <w:color w:val="002060"/>
                <w:sz w:val="18"/>
                <w:szCs w:val="18"/>
                <w:lang w:eastAsia="es-MX"/>
              </w:rPr>
              <w:t>Acción modificada P.O. 27-</w:t>
            </w:r>
            <w:r w:rsidRPr="004522BD">
              <w:rPr>
                <w:rFonts w:ascii="Arial" w:hAnsi="Arial" w:cs="Arial"/>
                <w:b/>
                <w:color w:val="002060"/>
                <w:sz w:val="18"/>
                <w:szCs w:val="18"/>
                <w:lang w:eastAsia="es-MX"/>
              </w:rPr>
              <w:t>1</w:t>
            </w:r>
            <w:r>
              <w:rPr>
                <w:rFonts w:ascii="Arial" w:hAnsi="Arial" w:cs="Arial"/>
                <w:b/>
                <w:color w:val="002060"/>
                <w:sz w:val="18"/>
                <w:szCs w:val="18"/>
                <w:lang w:eastAsia="es-MX"/>
              </w:rPr>
              <w:t>2</w:t>
            </w:r>
            <w:r w:rsidRPr="004522BD">
              <w:rPr>
                <w:rFonts w:ascii="Arial" w:hAnsi="Arial" w:cs="Arial"/>
                <w:b/>
                <w:color w:val="002060"/>
                <w:sz w:val="18"/>
                <w:szCs w:val="18"/>
                <w:lang w:eastAsia="es-MX"/>
              </w:rPr>
              <w:t>-2022</w:t>
            </w:r>
          </w:p>
        </w:tc>
        <w:tc>
          <w:tcPr>
            <w:tcW w:w="787" w:type="pct"/>
            <w:tcBorders>
              <w:top w:val="nil"/>
              <w:left w:val="nil"/>
              <w:bottom w:val="single" w:sz="4" w:space="0" w:color="auto"/>
              <w:right w:val="single" w:sz="4" w:space="0" w:color="auto"/>
            </w:tcBorders>
            <w:shd w:val="clear" w:color="auto" w:fill="auto"/>
            <w:vAlign w:val="center"/>
            <w:hideMark/>
          </w:tcPr>
          <w:p w14:paraId="3C64D1B7" w14:textId="77777777" w:rsidR="00794EB9" w:rsidRDefault="00B87FCE" w:rsidP="00C307FB">
            <w:pPr>
              <w:jc w:val="center"/>
              <w:rPr>
                <w:rFonts w:ascii="Arial" w:hAnsi="Arial" w:cs="Arial"/>
                <w:sz w:val="22"/>
                <w:szCs w:val="22"/>
                <w:lang w:eastAsia="es-MX"/>
              </w:rPr>
            </w:pPr>
            <w:r>
              <w:rPr>
                <w:rFonts w:ascii="Arial" w:hAnsi="Arial" w:cs="Arial"/>
                <w:sz w:val="22"/>
                <w:szCs w:val="22"/>
                <w:lang w:eastAsia="es-MX"/>
              </w:rPr>
              <w:t>Nueva terminal del SIT construida</w:t>
            </w:r>
          </w:p>
          <w:p w14:paraId="1826AD95" w14:textId="5533F676" w:rsidR="00B87FCE" w:rsidRPr="00794EB9" w:rsidRDefault="00DA7CE9" w:rsidP="00C307FB">
            <w:pPr>
              <w:jc w:val="center"/>
              <w:rPr>
                <w:rFonts w:ascii="Arial" w:hAnsi="Arial" w:cs="Arial"/>
                <w:sz w:val="22"/>
                <w:szCs w:val="22"/>
                <w:lang w:eastAsia="es-MX"/>
              </w:rPr>
            </w:pPr>
            <w:r>
              <w:rPr>
                <w:rFonts w:ascii="Arial" w:hAnsi="Arial" w:cs="Arial"/>
                <w:b/>
                <w:color w:val="002060"/>
                <w:sz w:val="18"/>
                <w:szCs w:val="18"/>
                <w:lang w:eastAsia="es-MX"/>
              </w:rPr>
              <w:t>Redacción modificada</w:t>
            </w:r>
            <w:r w:rsidR="00B87FCE">
              <w:rPr>
                <w:rFonts w:ascii="Arial" w:hAnsi="Arial" w:cs="Arial"/>
                <w:b/>
                <w:color w:val="002060"/>
                <w:sz w:val="18"/>
                <w:szCs w:val="18"/>
                <w:lang w:eastAsia="es-MX"/>
              </w:rPr>
              <w:t xml:space="preserve"> P.O. 27-</w:t>
            </w:r>
            <w:r w:rsidR="00B87FCE" w:rsidRPr="004522BD">
              <w:rPr>
                <w:rFonts w:ascii="Arial" w:hAnsi="Arial" w:cs="Arial"/>
                <w:b/>
                <w:color w:val="002060"/>
                <w:sz w:val="18"/>
                <w:szCs w:val="18"/>
                <w:lang w:eastAsia="es-MX"/>
              </w:rPr>
              <w:t>1</w:t>
            </w:r>
            <w:r w:rsidR="00B87FCE">
              <w:rPr>
                <w:rFonts w:ascii="Arial" w:hAnsi="Arial" w:cs="Arial"/>
                <w:b/>
                <w:color w:val="002060"/>
                <w:sz w:val="18"/>
                <w:szCs w:val="18"/>
                <w:lang w:eastAsia="es-MX"/>
              </w:rPr>
              <w:t>2</w:t>
            </w:r>
            <w:r w:rsidR="00B87FCE" w:rsidRPr="004522BD">
              <w:rPr>
                <w:rFonts w:ascii="Arial" w:hAnsi="Arial" w:cs="Arial"/>
                <w:b/>
                <w:color w:val="002060"/>
                <w:sz w:val="18"/>
                <w:szCs w:val="18"/>
                <w:lang w:eastAsia="es-MX"/>
              </w:rPr>
              <w:t>-2022</w:t>
            </w:r>
          </w:p>
        </w:tc>
        <w:tc>
          <w:tcPr>
            <w:tcW w:w="787" w:type="pct"/>
            <w:tcBorders>
              <w:top w:val="nil"/>
              <w:left w:val="nil"/>
              <w:bottom w:val="single" w:sz="4" w:space="0" w:color="auto"/>
              <w:right w:val="single" w:sz="4" w:space="0" w:color="auto"/>
            </w:tcBorders>
            <w:shd w:val="clear" w:color="auto" w:fill="auto"/>
            <w:vAlign w:val="center"/>
            <w:hideMark/>
          </w:tcPr>
          <w:p w14:paraId="4C470F1A" w14:textId="77777777" w:rsidR="00B87FCE" w:rsidRDefault="00B87FCE" w:rsidP="00B87FCE">
            <w:pPr>
              <w:jc w:val="center"/>
              <w:rPr>
                <w:rFonts w:ascii="Arial" w:hAnsi="Arial" w:cs="Arial"/>
                <w:sz w:val="22"/>
                <w:szCs w:val="22"/>
                <w:lang w:eastAsia="es-MX"/>
              </w:rPr>
            </w:pPr>
            <w:r>
              <w:rPr>
                <w:rFonts w:ascii="Arial" w:hAnsi="Arial" w:cs="Arial"/>
                <w:sz w:val="22"/>
                <w:szCs w:val="22"/>
                <w:lang w:eastAsia="es-MX"/>
              </w:rPr>
              <w:t xml:space="preserve">Construir 1 nueva </w:t>
            </w:r>
            <w:r w:rsidR="00794EB9" w:rsidRPr="00794EB9">
              <w:rPr>
                <w:rFonts w:ascii="Arial" w:hAnsi="Arial" w:cs="Arial"/>
                <w:sz w:val="22"/>
                <w:szCs w:val="22"/>
                <w:lang w:eastAsia="es-MX"/>
              </w:rPr>
              <w:t>terminal del SIT para el año 2023.</w:t>
            </w:r>
          </w:p>
          <w:p w14:paraId="1EDDE3D4" w14:textId="2CAF5858" w:rsidR="00794EB9" w:rsidRPr="00794EB9" w:rsidRDefault="00FB4DF0" w:rsidP="0069081C">
            <w:pPr>
              <w:jc w:val="center"/>
              <w:rPr>
                <w:rFonts w:ascii="Arial" w:hAnsi="Arial" w:cs="Arial"/>
                <w:sz w:val="22"/>
                <w:szCs w:val="22"/>
                <w:lang w:eastAsia="es-MX"/>
              </w:rPr>
            </w:pPr>
            <w:r>
              <w:rPr>
                <w:rFonts w:ascii="Arial" w:hAnsi="Arial" w:cs="Arial"/>
                <w:b/>
                <w:color w:val="002060"/>
                <w:sz w:val="18"/>
                <w:szCs w:val="18"/>
                <w:lang w:eastAsia="es-MX"/>
              </w:rPr>
              <w:t>Meta</w:t>
            </w:r>
            <w:r w:rsidR="00B87FCE">
              <w:rPr>
                <w:rFonts w:ascii="Arial" w:hAnsi="Arial" w:cs="Arial"/>
                <w:b/>
                <w:color w:val="002060"/>
                <w:sz w:val="18"/>
                <w:szCs w:val="18"/>
                <w:lang w:eastAsia="es-MX"/>
              </w:rPr>
              <w:t xml:space="preserve"> y metas anuales </w:t>
            </w:r>
            <w:r w:rsidR="0069081C">
              <w:rPr>
                <w:rFonts w:ascii="Arial" w:hAnsi="Arial" w:cs="Arial"/>
                <w:b/>
                <w:color w:val="002060"/>
                <w:sz w:val="18"/>
                <w:szCs w:val="18"/>
                <w:lang w:eastAsia="es-MX"/>
              </w:rPr>
              <w:t>disminuidas</w:t>
            </w:r>
            <w:r w:rsidR="00B87FCE">
              <w:rPr>
                <w:rFonts w:ascii="Arial" w:hAnsi="Arial" w:cs="Arial"/>
                <w:b/>
                <w:color w:val="002060"/>
                <w:sz w:val="18"/>
                <w:szCs w:val="18"/>
                <w:lang w:eastAsia="es-MX"/>
              </w:rPr>
              <w:t xml:space="preserve"> P.O. 27-</w:t>
            </w:r>
            <w:r w:rsidR="00B87FCE" w:rsidRPr="004522BD">
              <w:rPr>
                <w:rFonts w:ascii="Arial" w:hAnsi="Arial" w:cs="Arial"/>
                <w:b/>
                <w:color w:val="002060"/>
                <w:sz w:val="18"/>
                <w:szCs w:val="18"/>
                <w:lang w:eastAsia="es-MX"/>
              </w:rPr>
              <w:t>1</w:t>
            </w:r>
            <w:r w:rsidR="00B87FCE">
              <w:rPr>
                <w:rFonts w:ascii="Arial" w:hAnsi="Arial" w:cs="Arial"/>
                <w:b/>
                <w:color w:val="002060"/>
                <w:sz w:val="18"/>
                <w:szCs w:val="18"/>
                <w:lang w:eastAsia="es-MX"/>
              </w:rPr>
              <w:t>2</w:t>
            </w:r>
            <w:r w:rsidR="00B87FCE" w:rsidRPr="004522BD">
              <w:rPr>
                <w:rFonts w:ascii="Arial" w:hAnsi="Arial" w:cs="Arial"/>
                <w:b/>
                <w:color w:val="002060"/>
                <w:sz w:val="18"/>
                <w:szCs w:val="18"/>
                <w:lang w:eastAsia="es-MX"/>
              </w:rPr>
              <w:t>-2022</w:t>
            </w:r>
            <w:r w:rsidR="00794EB9" w:rsidRPr="00794EB9">
              <w:rPr>
                <w:rFonts w:ascii="Arial" w:hAnsi="Arial" w:cs="Arial"/>
                <w:sz w:val="22"/>
                <w:szCs w:val="22"/>
                <w:lang w:eastAsia="es-MX"/>
              </w:rPr>
              <w:t xml:space="preserve"> </w:t>
            </w:r>
          </w:p>
        </w:tc>
        <w:tc>
          <w:tcPr>
            <w:tcW w:w="307" w:type="pct"/>
            <w:tcBorders>
              <w:top w:val="nil"/>
              <w:left w:val="nil"/>
              <w:bottom w:val="single" w:sz="4" w:space="0" w:color="auto"/>
              <w:right w:val="single" w:sz="4" w:space="0" w:color="auto"/>
            </w:tcBorders>
            <w:shd w:val="clear" w:color="auto" w:fill="auto"/>
            <w:vAlign w:val="center"/>
            <w:hideMark/>
          </w:tcPr>
          <w:p w14:paraId="417A066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01551EE0" w14:textId="3EE7D182" w:rsidR="00794EB9" w:rsidRPr="00794EB9" w:rsidRDefault="00B87FCE" w:rsidP="00C307FB">
            <w:pPr>
              <w:jc w:val="center"/>
              <w:rPr>
                <w:rFonts w:ascii="Arial" w:hAnsi="Arial" w:cs="Arial"/>
                <w:sz w:val="22"/>
                <w:szCs w:val="22"/>
                <w:lang w:eastAsia="es-MX"/>
              </w:rPr>
            </w:pPr>
            <w:r>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398E2F59" w14:textId="39E1E1AD" w:rsidR="00794EB9" w:rsidRPr="00794EB9" w:rsidRDefault="00B87FCE" w:rsidP="00B87FCE">
            <w:pPr>
              <w:jc w:val="center"/>
              <w:rPr>
                <w:rFonts w:ascii="Arial" w:hAnsi="Arial" w:cs="Arial"/>
                <w:sz w:val="22"/>
                <w:szCs w:val="22"/>
                <w:lang w:eastAsia="es-MX"/>
              </w:rPr>
            </w:pPr>
            <w:r>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1EBB371C" w14:textId="4EF7FE85" w:rsidR="00794EB9" w:rsidRPr="00794EB9" w:rsidRDefault="00B87FCE" w:rsidP="00C307FB">
            <w:pPr>
              <w:jc w:val="center"/>
              <w:rPr>
                <w:rFonts w:ascii="Arial" w:hAnsi="Arial" w:cs="Arial"/>
                <w:sz w:val="22"/>
                <w:szCs w:val="22"/>
                <w:lang w:eastAsia="es-MX"/>
              </w:rPr>
            </w:pPr>
            <w:r>
              <w:rPr>
                <w:rFonts w:ascii="Arial" w:hAnsi="Arial" w:cs="Arial"/>
                <w:sz w:val="22"/>
                <w:szCs w:val="22"/>
                <w:lang w:eastAsia="es-MX"/>
              </w:rPr>
              <w:t>1</w:t>
            </w:r>
          </w:p>
        </w:tc>
      </w:tr>
      <w:tr w:rsidR="00794EB9" w:rsidRPr="00794EB9" w14:paraId="28BFDDB5"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58B6FA3C" w14:textId="02CE2071"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2.3 Evolución del SIT</w:t>
            </w:r>
          </w:p>
        </w:tc>
        <w:tc>
          <w:tcPr>
            <w:tcW w:w="549" w:type="pct"/>
            <w:tcBorders>
              <w:top w:val="nil"/>
              <w:left w:val="nil"/>
              <w:bottom w:val="single" w:sz="4" w:space="0" w:color="auto"/>
              <w:right w:val="single" w:sz="4" w:space="0" w:color="auto"/>
            </w:tcBorders>
            <w:shd w:val="clear" w:color="auto" w:fill="auto"/>
            <w:vAlign w:val="center"/>
            <w:hideMark/>
          </w:tcPr>
          <w:p w14:paraId="7EAAC41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2.3.4</w:t>
            </w:r>
          </w:p>
        </w:tc>
        <w:tc>
          <w:tcPr>
            <w:tcW w:w="808" w:type="pct"/>
            <w:tcBorders>
              <w:top w:val="nil"/>
              <w:left w:val="nil"/>
              <w:bottom w:val="single" w:sz="4" w:space="0" w:color="auto"/>
              <w:right w:val="single" w:sz="4" w:space="0" w:color="auto"/>
            </w:tcBorders>
            <w:shd w:val="clear" w:color="auto" w:fill="auto"/>
            <w:vAlign w:val="center"/>
            <w:hideMark/>
          </w:tcPr>
          <w:p w14:paraId="7831563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2.3.4 Incrementar el esquema de apoyos para el subsidio de transporte a adultos mayores. </w:t>
            </w:r>
          </w:p>
        </w:tc>
        <w:tc>
          <w:tcPr>
            <w:tcW w:w="787" w:type="pct"/>
            <w:tcBorders>
              <w:top w:val="nil"/>
              <w:left w:val="nil"/>
              <w:bottom w:val="single" w:sz="4" w:space="0" w:color="auto"/>
              <w:right w:val="single" w:sz="4" w:space="0" w:color="auto"/>
            </w:tcBorders>
            <w:shd w:val="clear" w:color="auto" w:fill="auto"/>
            <w:vAlign w:val="center"/>
            <w:hideMark/>
          </w:tcPr>
          <w:p w14:paraId="17C6185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incremento en el número de apoyos para el subsidio de transporte a adultos mayores respecto del número de apoyos en 2021 </w:t>
            </w:r>
          </w:p>
        </w:tc>
        <w:tc>
          <w:tcPr>
            <w:tcW w:w="787" w:type="pct"/>
            <w:tcBorders>
              <w:top w:val="nil"/>
              <w:left w:val="nil"/>
              <w:bottom w:val="single" w:sz="4" w:space="0" w:color="auto"/>
              <w:right w:val="single" w:sz="4" w:space="0" w:color="auto"/>
            </w:tcBorders>
            <w:shd w:val="clear" w:color="auto" w:fill="auto"/>
            <w:vAlign w:val="center"/>
            <w:hideMark/>
          </w:tcPr>
          <w:p w14:paraId="25A05B4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Incrementar en un 15%  el número de apoyos para el subsidio de transporte a adultos mayores en 2022 respecto del número de apoyos en 2021 y mantenerlo hasta el 2023.</w:t>
            </w:r>
          </w:p>
        </w:tc>
        <w:tc>
          <w:tcPr>
            <w:tcW w:w="307" w:type="pct"/>
            <w:tcBorders>
              <w:top w:val="nil"/>
              <w:left w:val="nil"/>
              <w:bottom w:val="single" w:sz="4" w:space="0" w:color="auto"/>
              <w:right w:val="single" w:sz="4" w:space="0" w:color="auto"/>
            </w:tcBorders>
            <w:shd w:val="clear" w:color="auto" w:fill="auto"/>
            <w:vAlign w:val="center"/>
            <w:hideMark/>
          </w:tcPr>
          <w:p w14:paraId="13DBA4C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6C4DB0F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87" w:type="pct"/>
            <w:tcBorders>
              <w:top w:val="nil"/>
              <w:left w:val="nil"/>
              <w:bottom w:val="single" w:sz="4" w:space="0" w:color="auto"/>
              <w:right w:val="single" w:sz="4" w:space="0" w:color="auto"/>
            </w:tcBorders>
            <w:shd w:val="clear" w:color="auto" w:fill="auto"/>
            <w:vAlign w:val="center"/>
            <w:hideMark/>
          </w:tcPr>
          <w:p w14:paraId="7B8B274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87" w:type="pct"/>
            <w:tcBorders>
              <w:top w:val="nil"/>
              <w:left w:val="nil"/>
              <w:bottom w:val="single" w:sz="4" w:space="0" w:color="auto"/>
              <w:right w:val="single" w:sz="4" w:space="0" w:color="auto"/>
            </w:tcBorders>
            <w:shd w:val="clear" w:color="auto" w:fill="auto"/>
            <w:vAlign w:val="center"/>
            <w:hideMark/>
          </w:tcPr>
          <w:p w14:paraId="246DF0E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442DDF12"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63A9320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2.3 Evolución del SIT</w:t>
            </w:r>
          </w:p>
        </w:tc>
        <w:tc>
          <w:tcPr>
            <w:tcW w:w="549" w:type="pct"/>
            <w:tcBorders>
              <w:top w:val="nil"/>
              <w:left w:val="nil"/>
              <w:bottom w:val="single" w:sz="4" w:space="0" w:color="auto"/>
              <w:right w:val="single" w:sz="4" w:space="0" w:color="auto"/>
            </w:tcBorders>
            <w:shd w:val="clear" w:color="auto" w:fill="auto"/>
            <w:vAlign w:val="center"/>
            <w:hideMark/>
          </w:tcPr>
          <w:p w14:paraId="6CF14F7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2.3.5</w:t>
            </w:r>
          </w:p>
        </w:tc>
        <w:tc>
          <w:tcPr>
            <w:tcW w:w="808" w:type="pct"/>
            <w:tcBorders>
              <w:top w:val="nil"/>
              <w:left w:val="nil"/>
              <w:bottom w:val="single" w:sz="4" w:space="0" w:color="auto"/>
              <w:right w:val="single" w:sz="4" w:space="0" w:color="auto"/>
            </w:tcBorders>
            <w:shd w:val="clear" w:color="auto" w:fill="auto"/>
            <w:vAlign w:val="center"/>
            <w:hideMark/>
          </w:tcPr>
          <w:p w14:paraId="0082A46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2.3.5 Elaborar</w:t>
            </w:r>
            <w:r w:rsidRPr="00794EB9">
              <w:rPr>
                <w:rFonts w:ascii="Arial" w:hAnsi="Arial" w:cs="Arial"/>
                <w:b/>
                <w:bCs/>
                <w:sz w:val="22"/>
                <w:szCs w:val="22"/>
                <w:lang w:eastAsia="es-MX"/>
              </w:rPr>
              <w:t xml:space="preserve"> </w:t>
            </w:r>
            <w:r w:rsidRPr="00794EB9">
              <w:rPr>
                <w:rFonts w:ascii="Arial" w:hAnsi="Arial" w:cs="Arial"/>
                <w:sz w:val="22"/>
                <w:szCs w:val="22"/>
                <w:lang w:eastAsia="es-MX"/>
              </w:rPr>
              <w:t>el Plan de Reordenamiento de Rutas Suburbanas.</w:t>
            </w:r>
          </w:p>
        </w:tc>
        <w:tc>
          <w:tcPr>
            <w:tcW w:w="787" w:type="pct"/>
            <w:tcBorders>
              <w:top w:val="nil"/>
              <w:left w:val="nil"/>
              <w:bottom w:val="single" w:sz="4" w:space="0" w:color="auto"/>
              <w:right w:val="single" w:sz="4" w:space="0" w:color="auto"/>
            </w:tcBorders>
            <w:shd w:val="clear" w:color="auto" w:fill="auto"/>
            <w:vAlign w:val="center"/>
            <w:hideMark/>
          </w:tcPr>
          <w:p w14:paraId="2EE90BC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avance en la elaboración del Plan de Reordenamiento de Rutas Suburbanas. </w:t>
            </w:r>
          </w:p>
        </w:tc>
        <w:tc>
          <w:tcPr>
            <w:tcW w:w="787" w:type="pct"/>
            <w:tcBorders>
              <w:top w:val="nil"/>
              <w:left w:val="nil"/>
              <w:bottom w:val="single" w:sz="4" w:space="0" w:color="auto"/>
              <w:right w:val="single" w:sz="4" w:space="0" w:color="auto"/>
            </w:tcBorders>
            <w:shd w:val="clear" w:color="auto" w:fill="auto"/>
            <w:vAlign w:val="center"/>
            <w:hideMark/>
          </w:tcPr>
          <w:p w14:paraId="3D74E83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Elaborar el Plan de Reordenamiento de Rutas Suburbanas.</w:t>
            </w:r>
          </w:p>
        </w:tc>
        <w:tc>
          <w:tcPr>
            <w:tcW w:w="307" w:type="pct"/>
            <w:tcBorders>
              <w:top w:val="nil"/>
              <w:left w:val="nil"/>
              <w:bottom w:val="single" w:sz="4" w:space="0" w:color="auto"/>
              <w:right w:val="single" w:sz="4" w:space="0" w:color="auto"/>
            </w:tcBorders>
            <w:shd w:val="clear" w:color="auto" w:fill="auto"/>
            <w:vAlign w:val="center"/>
            <w:hideMark/>
          </w:tcPr>
          <w:p w14:paraId="48FE84E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673D632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87" w:type="pct"/>
            <w:tcBorders>
              <w:top w:val="nil"/>
              <w:left w:val="nil"/>
              <w:bottom w:val="single" w:sz="4" w:space="0" w:color="auto"/>
              <w:right w:val="single" w:sz="4" w:space="0" w:color="auto"/>
            </w:tcBorders>
            <w:shd w:val="clear" w:color="auto" w:fill="auto"/>
            <w:vAlign w:val="center"/>
            <w:hideMark/>
          </w:tcPr>
          <w:p w14:paraId="3911320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87" w:type="pct"/>
            <w:tcBorders>
              <w:top w:val="nil"/>
              <w:left w:val="nil"/>
              <w:bottom w:val="single" w:sz="4" w:space="0" w:color="auto"/>
              <w:right w:val="single" w:sz="4" w:space="0" w:color="auto"/>
            </w:tcBorders>
            <w:shd w:val="clear" w:color="auto" w:fill="auto"/>
            <w:vAlign w:val="center"/>
            <w:hideMark/>
          </w:tcPr>
          <w:p w14:paraId="63B8D0C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0C6A3320"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2ED396A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2.4 Red de Corredores Seguros</w:t>
            </w:r>
          </w:p>
        </w:tc>
        <w:tc>
          <w:tcPr>
            <w:tcW w:w="549" w:type="pct"/>
            <w:tcBorders>
              <w:top w:val="nil"/>
              <w:left w:val="nil"/>
              <w:bottom w:val="single" w:sz="4" w:space="0" w:color="auto"/>
              <w:right w:val="single" w:sz="4" w:space="0" w:color="auto"/>
            </w:tcBorders>
            <w:shd w:val="clear" w:color="auto" w:fill="auto"/>
            <w:vAlign w:val="center"/>
            <w:hideMark/>
          </w:tcPr>
          <w:p w14:paraId="0647215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2.4.1</w:t>
            </w:r>
          </w:p>
        </w:tc>
        <w:tc>
          <w:tcPr>
            <w:tcW w:w="808" w:type="pct"/>
            <w:tcBorders>
              <w:top w:val="nil"/>
              <w:left w:val="nil"/>
              <w:bottom w:val="single" w:sz="4" w:space="0" w:color="auto"/>
              <w:right w:val="single" w:sz="4" w:space="0" w:color="auto"/>
            </w:tcBorders>
            <w:shd w:val="clear" w:color="auto" w:fill="auto"/>
            <w:vAlign w:val="center"/>
            <w:hideMark/>
          </w:tcPr>
          <w:p w14:paraId="71D7DC6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2.4.1 Desarrollar e implementar el modelo de corredores seguros que conecten con las principales vialidades de la ciudad.</w:t>
            </w:r>
          </w:p>
        </w:tc>
        <w:tc>
          <w:tcPr>
            <w:tcW w:w="787" w:type="pct"/>
            <w:tcBorders>
              <w:top w:val="nil"/>
              <w:left w:val="nil"/>
              <w:bottom w:val="single" w:sz="4" w:space="0" w:color="auto"/>
              <w:right w:val="single" w:sz="4" w:space="0" w:color="auto"/>
            </w:tcBorders>
            <w:shd w:val="clear" w:color="auto" w:fill="auto"/>
            <w:vAlign w:val="center"/>
            <w:hideMark/>
          </w:tcPr>
          <w:p w14:paraId="0130342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corredores seguros desarrollados e implementados respecto del total previsto</w:t>
            </w:r>
          </w:p>
        </w:tc>
        <w:tc>
          <w:tcPr>
            <w:tcW w:w="787" w:type="pct"/>
            <w:tcBorders>
              <w:top w:val="nil"/>
              <w:left w:val="nil"/>
              <w:bottom w:val="single" w:sz="4" w:space="0" w:color="auto"/>
              <w:right w:val="single" w:sz="4" w:space="0" w:color="auto"/>
            </w:tcBorders>
            <w:shd w:val="clear" w:color="auto" w:fill="auto"/>
            <w:vAlign w:val="center"/>
            <w:hideMark/>
          </w:tcPr>
          <w:p w14:paraId="314DFEC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Desarrollar e implementar al 100%, 25 corredores seguros para el año 2023. </w:t>
            </w:r>
          </w:p>
        </w:tc>
        <w:tc>
          <w:tcPr>
            <w:tcW w:w="307" w:type="pct"/>
            <w:tcBorders>
              <w:top w:val="nil"/>
              <w:left w:val="nil"/>
              <w:bottom w:val="single" w:sz="4" w:space="0" w:color="auto"/>
              <w:right w:val="single" w:sz="4" w:space="0" w:color="auto"/>
            </w:tcBorders>
            <w:shd w:val="clear" w:color="auto" w:fill="auto"/>
            <w:vAlign w:val="center"/>
            <w:hideMark/>
          </w:tcPr>
          <w:p w14:paraId="1833279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7D831D1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87" w:type="pct"/>
            <w:tcBorders>
              <w:top w:val="nil"/>
              <w:left w:val="nil"/>
              <w:bottom w:val="single" w:sz="4" w:space="0" w:color="auto"/>
              <w:right w:val="single" w:sz="4" w:space="0" w:color="auto"/>
            </w:tcBorders>
            <w:shd w:val="clear" w:color="auto" w:fill="auto"/>
            <w:vAlign w:val="center"/>
            <w:hideMark/>
          </w:tcPr>
          <w:p w14:paraId="29FFF14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60%</w:t>
            </w:r>
          </w:p>
        </w:tc>
        <w:tc>
          <w:tcPr>
            <w:tcW w:w="387" w:type="pct"/>
            <w:tcBorders>
              <w:top w:val="nil"/>
              <w:left w:val="nil"/>
              <w:bottom w:val="single" w:sz="4" w:space="0" w:color="auto"/>
              <w:right w:val="single" w:sz="4" w:space="0" w:color="auto"/>
            </w:tcBorders>
            <w:shd w:val="clear" w:color="auto" w:fill="auto"/>
            <w:vAlign w:val="center"/>
            <w:hideMark/>
          </w:tcPr>
          <w:p w14:paraId="5AD7307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47C41E40"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6137FE7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3C29B24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2.5.1</w:t>
            </w:r>
          </w:p>
        </w:tc>
        <w:tc>
          <w:tcPr>
            <w:tcW w:w="808" w:type="pct"/>
            <w:tcBorders>
              <w:top w:val="nil"/>
              <w:left w:val="nil"/>
              <w:bottom w:val="single" w:sz="4" w:space="0" w:color="auto"/>
              <w:right w:val="single" w:sz="4" w:space="0" w:color="auto"/>
            </w:tcBorders>
            <w:shd w:val="clear" w:color="auto" w:fill="auto"/>
            <w:vAlign w:val="center"/>
            <w:hideMark/>
          </w:tcPr>
          <w:p w14:paraId="26AA587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2.5.1 Rehabilitar los principales puentes y viaductos de la ciudad.</w:t>
            </w:r>
          </w:p>
        </w:tc>
        <w:tc>
          <w:tcPr>
            <w:tcW w:w="787" w:type="pct"/>
            <w:tcBorders>
              <w:top w:val="nil"/>
              <w:left w:val="nil"/>
              <w:bottom w:val="single" w:sz="4" w:space="0" w:color="auto"/>
              <w:right w:val="single" w:sz="4" w:space="0" w:color="auto"/>
            </w:tcBorders>
            <w:shd w:val="clear" w:color="auto" w:fill="auto"/>
            <w:vAlign w:val="center"/>
            <w:hideMark/>
          </w:tcPr>
          <w:p w14:paraId="700FB56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puentes y viaductos rehabilitados respecto del total previsto</w:t>
            </w:r>
          </w:p>
        </w:tc>
        <w:tc>
          <w:tcPr>
            <w:tcW w:w="787" w:type="pct"/>
            <w:tcBorders>
              <w:top w:val="nil"/>
              <w:left w:val="nil"/>
              <w:bottom w:val="single" w:sz="4" w:space="0" w:color="auto"/>
              <w:right w:val="single" w:sz="4" w:space="0" w:color="auto"/>
            </w:tcBorders>
            <w:shd w:val="clear" w:color="auto" w:fill="auto"/>
            <w:vAlign w:val="center"/>
            <w:hideMark/>
          </w:tcPr>
          <w:p w14:paraId="25AFF04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Elaborar 15 diagnósticos de puentes, rehabilitar 4 puentes e intervenir</w:t>
            </w:r>
            <w:r w:rsidRPr="00794EB9">
              <w:rPr>
                <w:rFonts w:ascii="Arial" w:hAnsi="Arial" w:cs="Arial"/>
                <w:sz w:val="22"/>
                <w:szCs w:val="22"/>
                <w:lang w:eastAsia="es-MX"/>
              </w:rPr>
              <w:br/>
              <w:t>4 km de vialidades</w:t>
            </w:r>
          </w:p>
        </w:tc>
        <w:tc>
          <w:tcPr>
            <w:tcW w:w="307" w:type="pct"/>
            <w:tcBorders>
              <w:top w:val="nil"/>
              <w:left w:val="nil"/>
              <w:bottom w:val="single" w:sz="4" w:space="0" w:color="auto"/>
              <w:right w:val="single" w:sz="4" w:space="0" w:color="auto"/>
            </w:tcBorders>
            <w:shd w:val="clear" w:color="auto" w:fill="auto"/>
            <w:vAlign w:val="center"/>
            <w:hideMark/>
          </w:tcPr>
          <w:p w14:paraId="69A20AB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088110E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87" w:type="pct"/>
            <w:tcBorders>
              <w:top w:val="nil"/>
              <w:left w:val="nil"/>
              <w:bottom w:val="single" w:sz="4" w:space="0" w:color="auto"/>
              <w:right w:val="single" w:sz="4" w:space="0" w:color="auto"/>
            </w:tcBorders>
            <w:shd w:val="clear" w:color="auto" w:fill="auto"/>
            <w:vAlign w:val="center"/>
            <w:hideMark/>
          </w:tcPr>
          <w:p w14:paraId="5A72374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87" w:type="pct"/>
            <w:tcBorders>
              <w:top w:val="nil"/>
              <w:left w:val="nil"/>
              <w:bottom w:val="single" w:sz="4" w:space="0" w:color="auto"/>
              <w:right w:val="single" w:sz="4" w:space="0" w:color="auto"/>
            </w:tcBorders>
            <w:shd w:val="clear" w:color="auto" w:fill="auto"/>
            <w:vAlign w:val="center"/>
            <w:hideMark/>
          </w:tcPr>
          <w:p w14:paraId="6ABF4B9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w:t>
            </w:r>
          </w:p>
        </w:tc>
      </w:tr>
      <w:tr w:rsidR="00794EB9" w:rsidRPr="00794EB9" w14:paraId="175D1109"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49C945C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4986DCE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2.5.2</w:t>
            </w:r>
          </w:p>
        </w:tc>
        <w:tc>
          <w:tcPr>
            <w:tcW w:w="808" w:type="pct"/>
            <w:tcBorders>
              <w:top w:val="nil"/>
              <w:left w:val="nil"/>
              <w:bottom w:val="single" w:sz="4" w:space="0" w:color="auto"/>
              <w:right w:val="single" w:sz="4" w:space="0" w:color="auto"/>
            </w:tcBorders>
            <w:shd w:val="clear" w:color="auto" w:fill="auto"/>
            <w:vAlign w:val="center"/>
            <w:hideMark/>
          </w:tcPr>
          <w:p w14:paraId="55D55C3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2.5.2 Rehabilitar vialidades prioritarias mediante un sistema de bacheo y mantenimiento eficiente.</w:t>
            </w:r>
          </w:p>
        </w:tc>
        <w:tc>
          <w:tcPr>
            <w:tcW w:w="787" w:type="pct"/>
            <w:tcBorders>
              <w:top w:val="nil"/>
              <w:left w:val="nil"/>
              <w:bottom w:val="single" w:sz="4" w:space="0" w:color="auto"/>
              <w:right w:val="single" w:sz="4" w:space="0" w:color="auto"/>
            </w:tcBorders>
            <w:shd w:val="clear" w:color="auto" w:fill="auto"/>
            <w:vAlign w:val="center"/>
            <w:hideMark/>
          </w:tcPr>
          <w:p w14:paraId="753E883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metros cuadrados rehabilitados respecto del total previsto</w:t>
            </w:r>
          </w:p>
        </w:tc>
        <w:tc>
          <w:tcPr>
            <w:tcW w:w="787" w:type="pct"/>
            <w:tcBorders>
              <w:top w:val="nil"/>
              <w:left w:val="nil"/>
              <w:bottom w:val="single" w:sz="4" w:space="0" w:color="auto"/>
              <w:right w:val="single" w:sz="4" w:space="0" w:color="auto"/>
            </w:tcBorders>
            <w:shd w:val="clear" w:color="auto" w:fill="auto"/>
            <w:vAlign w:val="center"/>
            <w:hideMark/>
          </w:tcPr>
          <w:p w14:paraId="7AFC533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Rehabilitar  3 millones 400 mil metros cuadrados de vialidades para su rehabilitación</w:t>
            </w:r>
          </w:p>
        </w:tc>
        <w:tc>
          <w:tcPr>
            <w:tcW w:w="307" w:type="pct"/>
            <w:tcBorders>
              <w:top w:val="nil"/>
              <w:left w:val="nil"/>
              <w:bottom w:val="single" w:sz="4" w:space="0" w:color="auto"/>
              <w:right w:val="single" w:sz="4" w:space="0" w:color="auto"/>
            </w:tcBorders>
            <w:shd w:val="clear" w:color="auto" w:fill="auto"/>
            <w:vAlign w:val="center"/>
            <w:hideMark/>
          </w:tcPr>
          <w:p w14:paraId="3D1219E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w:t>
            </w:r>
          </w:p>
        </w:tc>
        <w:tc>
          <w:tcPr>
            <w:tcW w:w="387" w:type="pct"/>
            <w:tcBorders>
              <w:top w:val="nil"/>
              <w:left w:val="nil"/>
              <w:bottom w:val="single" w:sz="4" w:space="0" w:color="auto"/>
              <w:right w:val="single" w:sz="4" w:space="0" w:color="auto"/>
            </w:tcBorders>
            <w:shd w:val="clear" w:color="auto" w:fill="auto"/>
            <w:vAlign w:val="center"/>
            <w:hideMark/>
          </w:tcPr>
          <w:p w14:paraId="7A78D5E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87" w:type="pct"/>
            <w:tcBorders>
              <w:top w:val="nil"/>
              <w:left w:val="nil"/>
              <w:bottom w:val="single" w:sz="4" w:space="0" w:color="auto"/>
              <w:right w:val="single" w:sz="4" w:space="0" w:color="auto"/>
            </w:tcBorders>
            <w:shd w:val="clear" w:color="auto" w:fill="auto"/>
            <w:vAlign w:val="center"/>
            <w:hideMark/>
          </w:tcPr>
          <w:p w14:paraId="08B241E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87" w:type="pct"/>
            <w:tcBorders>
              <w:top w:val="nil"/>
              <w:left w:val="nil"/>
              <w:bottom w:val="single" w:sz="4" w:space="0" w:color="auto"/>
              <w:right w:val="single" w:sz="4" w:space="0" w:color="auto"/>
            </w:tcBorders>
            <w:shd w:val="clear" w:color="auto" w:fill="auto"/>
            <w:vAlign w:val="center"/>
            <w:hideMark/>
          </w:tcPr>
          <w:p w14:paraId="399800A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470FCBE4"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6863330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40A871B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2.5.3</w:t>
            </w:r>
          </w:p>
        </w:tc>
        <w:tc>
          <w:tcPr>
            <w:tcW w:w="808" w:type="pct"/>
            <w:tcBorders>
              <w:top w:val="nil"/>
              <w:left w:val="nil"/>
              <w:bottom w:val="single" w:sz="4" w:space="0" w:color="auto"/>
              <w:right w:val="single" w:sz="4" w:space="0" w:color="auto"/>
            </w:tcBorders>
            <w:shd w:val="clear" w:color="auto" w:fill="auto"/>
            <w:vAlign w:val="center"/>
            <w:hideMark/>
          </w:tcPr>
          <w:p w14:paraId="191EACA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2.5.3  Realizar el  Mantenimiento y Rehabilitación del sistema de alumbrado público</w:t>
            </w:r>
          </w:p>
        </w:tc>
        <w:tc>
          <w:tcPr>
            <w:tcW w:w="787" w:type="pct"/>
            <w:tcBorders>
              <w:top w:val="nil"/>
              <w:left w:val="nil"/>
              <w:bottom w:val="single" w:sz="4" w:space="0" w:color="auto"/>
              <w:right w:val="single" w:sz="4" w:space="0" w:color="auto"/>
            </w:tcBorders>
            <w:shd w:val="clear" w:color="auto" w:fill="auto"/>
            <w:vAlign w:val="center"/>
            <w:hideMark/>
          </w:tcPr>
          <w:p w14:paraId="48D3621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del sistema de alumbrado público rehabilitado </w:t>
            </w:r>
          </w:p>
        </w:tc>
        <w:tc>
          <w:tcPr>
            <w:tcW w:w="787" w:type="pct"/>
            <w:tcBorders>
              <w:top w:val="nil"/>
              <w:left w:val="nil"/>
              <w:bottom w:val="single" w:sz="4" w:space="0" w:color="auto"/>
              <w:right w:val="single" w:sz="4" w:space="0" w:color="auto"/>
            </w:tcBorders>
            <w:shd w:val="clear" w:color="auto" w:fill="auto"/>
            <w:vAlign w:val="center"/>
            <w:hideMark/>
          </w:tcPr>
          <w:p w14:paraId="7066956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Rehabilitar y mantener al menos el 99% del alumbrado público existente durante el trienio.</w:t>
            </w:r>
          </w:p>
        </w:tc>
        <w:tc>
          <w:tcPr>
            <w:tcW w:w="307" w:type="pct"/>
            <w:tcBorders>
              <w:top w:val="nil"/>
              <w:left w:val="nil"/>
              <w:bottom w:val="single" w:sz="4" w:space="0" w:color="auto"/>
              <w:right w:val="single" w:sz="4" w:space="0" w:color="auto"/>
            </w:tcBorders>
            <w:shd w:val="clear" w:color="auto" w:fill="auto"/>
            <w:vAlign w:val="center"/>
            <w:hideMark/>
          </w:tcPr>
          <w:p w14:paraId="2A7F294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6B5E4DF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99%</w:t>
            </w:r>
          </w:p>
        </w:tc>
        <w:tc>
          <w:tcPr>
            <w:tcW w:w="387" w:type="pct"/>
            <w:tcBorders>
              <w:top w:val="nil"/>
              <w:left w:val="nil"/>
              <w:bottom w:val="single" w:sz="4" w:space="0" w:color="auto"/>
              <w:right w:val="single" w:sz="4" w:space="0" w:color="auto"/>
            </w:tcBorders>
            <w:shd w:val="clear" w:color="auto" w:fill="auto"/>
            <w:vAlign w:val="center"/>
            <w:hideMark/>
          </w:tcPr>
          <w:p w14:paraId="1BE30FF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99%</w:t>
            </w:r>
          </w:p>
        </w:tc>
        <w:tc>
          <w:tcPr>
            <w:tcW w:w="387" w:type="pct"/>
            <w:tcBorders>
              <w:top w:val="nil"/>
              <w:left w:val="nil"/>
              <w:bottom w:val="single" w:sz="4" w:space="0" w:color="auto"/>
              <w:right w:val="single" w:sz="4" w:space="0" w:color="auto"/>
            </w:tcBorders>
            <w:shd w:val="clear" w:color="auto" w:fill="auto"/>
            <w:vAlign w:val="center"/>
            <w:hideMark/>
          </w:tcPr>
          <w:p w14:paraId="70E973E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99%</w:t>
            </w:r>
          </w:p>
        </w:tc>
      </w:tr>
      <w:tr w:rsidR="00794EB9" w:rsidRPr="00794EB9" w14:paraId="15F29A1B"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440DD08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6106B28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2.5.4</w:t>
            </w:r>
          </w:p>
        </w:tc>
        <w:tc>
          <w:tcPr>
            <w:tcW w:w="808" w:type="pct"/>
            <w:tcBorders>
              <w:top w:val="nil"/>
              <w:left w:val="nil"/>
              <w:bottom w:val="single" w:sz="4" w:space="0" w:color="auto"/>
              <w:right w:val="single" w:sz="4" w:space="0" w:color="auto"/>
            </w:tcBorders>
            <w:shd w:val="clear" w:color="auto" w:fill="auto"/>
            <w:vAlign w:val="center"/>
            <w:hideMark/>
          </w:tcPr>
          <w:p w14:paraId="58FC925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2.5.4 Optimizar la señalética en las principales vialidades de la ciudad. </w:t>
            </w:r>
          </w:p>
        </w:tc>
        <w:tc>
          <w:tcPr>
            <w:tcW w:w="787" w:type="pct"/>
            <w:tcBorders>
              <w:top w:val="nil"/>
              <w:left w:val="nil"/>
              <w:bottom w:val="single" w:sz="4" w:space="0" w:color="auto"/>
              <w:right w:val="single" w:sz="4" w:space="0" w:color="auto"/>
            </w:tcBorders>
            <w:shd w:val="clear" w:color="auto" w:fill="auto"/>
            <w:vAlign w:val="center"/>
            <w:hideMark/>
          </w:tcPr>
          <w:p w14:paraId="6C8688D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señalética mejorada</w:t>
            </w:r>
          </w:p>
        </w:tc>
        <w:tc>
          <w:tcPr>
            <w:tcW w:w="787" w:type="pct"/>
            <w:tcBorders>
              <w:top w:val="nil"/>
              <w:left w:val="nil"/>
              <w:bottom w:val="single" w:sz="4" w:space="0" w:color="auto"/>
              <w:right w:val="single" w:sz="4" w:space="0" w:color="auto"/>
            </w:tcBorders>
            <w:shd w:val="clear" w:color="auto" w:fill="auto"/>
            <w:vAlign w:val="center"/>
            <w:hideMark/>
          </w:tcPr>
          <w:p w14:paraId="003B8DC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Optimizar 220 cruceros señalizados, 140 km de vialidades señalizadas y 5,000 topes señalizados durante el trienio</w:t>
            </w:r>
          </w:p>
        </w:tc>
        <w:tc>
          <w:tcPr>
            <w:tcW w:w="307" w:type="pct"/>
            <w:tcBorders>
              <w:top w:val="nil"/>
              <w:left w:val="nil"/>
              <w:bottom w:val="single" w:sz="4" w:space="0" w:color="auto"/>
              <w:right w:val="single" w:sz="4" w:space="0" w:color="auto"/>
            </w:tcBorders>
            <w:shd w:val="clear" w:color="auto" w:fill="auto"/>
            <w:vAlign w:val="center"/>
            <w:hideMark/>
          </w:tcPr>
          <w:p w14:paraId="07BAA24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w:t>
            </w:r>
          </w:p>
        </w:tc>
        <w:tc>
          <w:tcPr>
            <w:tcW w:w="387" w:type="pct"/>
            <w:tcBorders>
              <w:top w:val="nil"/>
              <w:left w:val="nil"/>
              <w:bottom w:val="single" w:sz="4" w:space="0" w:color="auto"/>
              <w:right w:val="single" w:sz="4" w:space="0" w:color="auto"/>
            </w:tcBorders>
            <w:shd w:val="clear" w:color="auto" w:fill="auto"/>
            <w:vAlign w:val="center"/>
            <w:hideMark/>
          </w:tcPr>
          <w:p w14:paraId="1DF10E6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37%</w:t>
            </w:r>
          </w:p>
        </w:tc>
        <w:tc>
          <w:tcPr>
            <w:tcW w:w="387" w:type="pct"/>
            <w:tcBorders>
              <w:top w:val="nil"/>
              <w:left w:val="nil"/>
              <w:bottom w:val="single" w:sz="4" w:space="0" w:color="auto"/>
              <w:right w:val="single" w:sz="4" w:space="0" w:color="auto"/>
            </w:tcBorders>
            <w:shd w:val="clear" w:color="auto" w:fill="auto"/>
            <w:vAlign w:val="center"/>
            <w:hideMark/>
          </w:tcPr>
          <w:p w14:paraId="43C1A67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87" w:type="pct"/>
            <w:tcBorders>
              <w:top w:val="nil"/>
              <w:left w:val="nil"/>
              <w:bottom w:val="single" w:sz="4" w:space="0" w:color="auto"/>
              <w:right w:val="single" w:sz="4" w:space="0" w:color="auto"/>
            </w:tcBorders>
            <w:shd w:val="clear" w:color="auto" w:fill="auto"/>
            <w:vAlign w:val="center"/>
            <w:hideMark/>
          </w:tcPr>
          <w:p w14:paraId="771C5B9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20%</w:t>
            </w:r>
          </w:p>
        </w:tc>
      </w:tr>
      <w:tr w:rsidR="00794EB9" w:rsidRPr="00794EB9" w14:paraId="66267823"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170EC72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2CFB696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2.5.5</w:t>
            </w:r>
          </w:p>
        </w:tc>
        <w:tc>
          <w:tcPr>
            <w:tcW w:w="808" w:type="pct"/>
            <w:tcBorders>
              <w:top w:val="nil"/>
              <w:left w:val="nil"/>
              <w:bottom w:val="single" w:sz="4" w:space="0" w:color="auto"/>
              <w:right w:val="single" w:sz="4" w:space="0" w:color="auto"/>
            </w:tcBorders>
            <w:shd w:val="clear" w:color="auto" w:fill="auto"/>
            <w:vAlign w:val="center"/>
            <w:hideMark/>
          </w:tcPr>
          <w:p w14:paraId="44086C4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2.5.5 Actualizar los Estudios y Proyectos en materia de movilidad con base en el Modelo de Delegaciones.</w:t>
            </w:r>
          </w:p>
        </w:tc>
        <w:tc>
          <w:tcPr>
            <w:tcW w:w="787" w:type="pct"/>
            <w:tcBorders>
              <w:top w:val="nil"/>
              <w:left w:val="nil"/>
              <w:bottom w:val="single" w:sz="4" w:space="0" w:color="auto"/>
              <w:right w:val="single" w:sz="4" w:space="0" w:color="auto"/>
            </w:tcBorders>
            <w:shd w:val="clear" w:color="auto" w:fill="auto"/>
            <w:vAlign w:val="center"/>
            <w:hideMark/>
          </w:tcPr>
          <w:p w14:paraId="122E353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Estudios y proyectos actualizados en materia de movilidad por Delegación</w:t>
            </w:r>
          </w:p>
        </w:tc>
        <w:tc>
          <w:tcPr>
            <w:tcW w:w="787" w:type="pct"/>
            <w:tcBorders>
              <w:top w:val="nil"/>
              <w:left w:val="nil"/>
              <w:bottom w:val="single" w:sz="4" w:space="0" w:color="auto"/>
              <w:right w:val="single" w:sz="4" w:space="0" w:color="auto"/>
            </w:tcBorders>
            <w:shd w:val="clear" w:color="auto" w:fill="auto"/>
            <w:vAlign w:val="center"/>
            <w:hideMark/>
          </w:tcPr>
          <w:p w14:paraId="11BD120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Actualizar 7 estudios y proyectos con base en las Delegaciones para el año 2022</w:t>
            </w:r>
          </w:p>
        </w:tc>
        <w:tc>
          <w:tcPr>
            <w:tcW w:w="307" w:type="pct"/>
            <w:tcBorders>
              <w:top w:val="nil"/>
              <w:left w:val="nil"/>
              <w:bottom w:val="single" w:sz="4" w:space="0" w:color="auto"/>
              <w:right w:val="single" w:sz="4" w:space="0" w:color="auto"/>
            </w:tcBorders>
            <w:shd w:val="clear" w:color="auto" w:fill="auto"/>
            <w:vAlign w:val="center"/>
            <w:hideMark/>
          </w:tcPr>
          <w:p w14:paraId="1D6A024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06E5D57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7</w:t>
            </w:r>
          </w:p>
        </w:tc>
        <w:tc>
          <w:tcPr>
            <w:tcW w:w="387" w:type="pct"/>
            <w:tcBorders>
              <w:top w:val="nil"/>
              <w:left w:val="nil"/>
              <w:bottom w:val="single" w:sz="4" w:space="0" w:color="auto"/>
              <w:right w:val="single" w:sz="4" w:space="0" w:color="auto"/>
            </w:tcBorders>
            <w:shd w:val="clear" w:color="auto" w:fill="auto"/>
            <w:vAlign w:val="center"/>
            <w:hideMark/>
          </w:tcPr>
          <w:p w14:paraId="3A3B7CF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1734F84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6AE7C39B"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6CDBD29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482A0E8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2.5.6</w:t>
            </w:r>
          </w:p>
        </w:tc>
        <w:tc>
          <w:tcPr>
            <w:tcW w:w="808" w:type="pct"/>
            <w:tcBorders>
              <w:top w:val="nil"/>
              <w:left w:val="nil"/>
              <w:bottom w:val="single" w:sz="4" w:space="0" w:color="auto"/>
              <w:right w:val="single" w:sz="4" w:space="0" w:color="auto"/>
            </w:tcBorders>
            <w:shd w:val="clear" w:color="auto" w:fill="auto"/>
            <w:vAlign w:val="center"/>
            <w:hideMark/>
          </w:tcPr>
          <w:p w14:paraId="107CCCB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2.5.6 Desarrollar los proyectos ejecutivos y ejecutar las obras viales para pavimentar las vialidades primarias y secundarias de la ciudad así como obras prioritarias para el desarrollo social </w:t>
            </w:r>
          </w:p>
        </w:tc>
        <w:tc>
          <w:tcPr>
            <w:tcW w:w="787" w:type="pct"/>
            <w:tcBorders>
              <w:top w:val="nil"/>
              <w:left w:val="nil"/>
              <w:bottom w:val="single" w:sz="4" w:space="0" w:color="auto"/>
              <w:right w:val="single" w:sz="4" w:space="0" w:color="auto"/>
            </w:tcBorders>
            <w:shd w:val="clear" w:color="auto" w:fill="auto"/>
            <w:vAlign w:val="center"/>
            <w:hideMark/>
          </w:tcPr>
          <w:p w14:paraId="1EC6DA6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vialidades primarias y secundarias pavimentadas</w:t>
            </w:r>
          </w:p>
        </w:tc>
        <w:tc>
          <w:tcPr>
            <w:tcW w:w="787" w:type="pct"/>
            <w:tcBorders>
              <w:top w:val="nil"/>
              <w:left w:val="nil"/>
              <w:bottom w:val="single" w:sz="4" w:space="0" w:color="auto"/>
              <w:right w:val="single" w:sz="4" w:space="0" w:color="auto"/>
            </w:tcBorders>
            <w:shd w:val="clear" w:color="auto" w:fill="auto"/>
            <w:vAlign w:val="center"/>
            <w:hideMark/>
          </w:tcPr>
          <w:p w14:paraId="07458C2B" w14:textId="77777777" w:rsidR="00794EB9" w:rsidRDefault="007F7470" w:rsidP="00C307FB">
            <w:pPr>
              <w:jc w:val="center"/>
              <w:rPr>
                <w:rFonts w:ascii="Arial" w:hAnsi="Arial" w:cs="Arial"/>
                <w:sz w:val="22"/>
                <w:szCs w:val="22"/>
                <w:lang w:eastAsia="es-MX"/>
              </w:rPr>
            </w:pPr>
            <w:r>
              <w:rPr>
                <w:rFonts w:ascii="Arial" w:hAnsi="Arial" w:cs="Arial"/>
                <w:sz w:val="22"/>
                <w:szCs w:val="22"/>
                <w:lang w:eastAsia="es-MX"/>
              </w:rPr>
              <w:t>Pavimentar 140</w:t>
            </w:r>
            <w:r w:rsidR="00794EB9" w:rsidRPr="00794EB9">
              <w:rPr>
                <w:rFonts w:ascii="Arial" w:hAnsi="Arial" w:cs="Arial"/>
                <w:sz w:val="22"/>
                <w:szCs w:val="22"/>
                <w:lang w:eastAsia="es-MX"/>
              </w:rPr>
              <w:t xml:space="preserve"> vialidades durante el trienio</w:t>
            </w:r>
          </w:p>
          <w:p w14:paraId="121F0D63" w14:textId="77777777" w:rsidR="007F7470" w:rsidRDefault="007F7470" w:rsidP="00C307FB">
            <w:pPr>
              <w:jc w:val="center"/>
              <w:rPr>
                <w:rFonts w:ascii="Arial" w:hAnsi="Arial" w:cs="Arial"/>
                <w:sz w:val="22"/>
                <w:szCs w:val="22"/>
                <w:lang w:eastAsia="es-MX"/>
              </w:rPr>
            </w:pPr>
          </w:p>
          <w:p w14:paraId="4DB68627" w14:textId="25A03751" w:rsidR="007F7470" w:rsidRPr="00794EB9" w:rsidRDefault="00900446" w:rsidP="00900446">
            <w:pPr>
              <w:jc w:val="center"/>
              <w:rPr>
                <w:rFonts w:ascii="Arial" w:hAnsi="Arial" w:cs="Arial"/>
                <w:sz w:val="22"/>
                <w:szCs w:val="22"/>
                <w:lang w:eastAsia="es-MX"/>
              </w:rPr>
            </w:pPr>
            <w:r>
              <w:rPr>
                <w:rFonts w:ascii="Arial" w:hAnsi="Arial" w:cs="Arial"/>
                <w:b/>
                <w:color w:val="002060"/>
                <w:sz w:val="16"/>
                <w:szCs w:val="16"/>
                <w:lang w:eastAsia="es-MX"/>
              </w:rPr>
              <w:t xml:space="preserve">Meta </w:t>
            </w:r>
            <w:r w:rsidR="007F7470">
              <w:rPr>
                <w:rFonts w:ascii="Arial" w:hAnsi="Arial" w:cs="Arial"/>
                <w:b/>
                <w:color w:val="002060"/>
                <w:sz w:val="16"/>
                <w:szCs w:val="16"/>
                <w:lang w:eastAsia="es-MX"/>
              </w:rPr>
              <w:t>incrementada P.O. 27-12-2022</w:t>
            </w:r>
          </w:p>
        </w:tc>
        <w:tc>
          <w:tcPr>
            <w:tcW w:w="307" w:type="pct"/>
            <w:tcBorders>
              <w:top w:val="nil"/>
              <w:left w:val="nil"/>
              <w:bottom w:val="single" w:sz="4" w:space="0" w:color="auto"/>
              <w:right w:val="single" w:sz="4" w:space="0" w:color="auto"/>
            </w:tcBorders>
            <w:shd w:val="clear" w:color="auto" w:fill="auto"/>
            <w:vAlign w:val="center"/>
            <w:hideMark/>
          </w:tcPr>
          <w:p w14:paraId="6E4557F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754D6C3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87" w:type="pct"/>
            <w:tcBorders>
              <w:top w:val="nil"/>
              <w:left w:val="nil"/>
              <w:bottom w:val="single" w:sz="4" w:space="0" w:color="auto"/>
              <w:right w:val="single" w:sz="4" w:space="0" w:color="auto"/>
            </w:tcBorders>
            <w:shd w:val="clear" w:color="auto" w:fill="auto"/>
            <w:vAlign w:val="center"/>
            <w:hideMark/>
          </w:tcPr>
          <w:p w14:paraId="363E263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87" w:type="pct"/>
            <w:tcBorders>
              <w:top w:val="nil"/>
              <w:left w:val="nil"/>
              <w:bottom w:val="single" w:sz="4" w:space="0" w:color="auto"/>
              <w:right w:val="single" w:sz="4" w:space="0" w:color="auto"/>
            </w:tcBorders>
            <w:shd w:val="clear" w:color="auto" w:fill="auto"/>
            <w:vAlign w:val="center"/>
            <w:hideMark/>
          </w:tcPr>
          <w:p w14:paraId="094D05E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27%</w:t>
            </w:r>
          </w:p>
        </w:tc>
      </w:tr>
      <w:tr w:rsidR="00794EB9" w:rsidRPr="00794EB9" w14:paraId="1E5B1488"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584811F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5FE5DF8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2.5.7</w:t>
            </w:r>
          </w:p>
        </w:tc>
        <w:tc>
          <w:tcPr>
            <w:tcW w:w="808" w:type="pct"/>
            <w:tcBorders>
              <w:top w:val="nil"/>
              <w:left w:val="nil"/>
              <w:bottom w:val="single" w:sz="4" w:space="0" w:color="auto"/>
              <w:right w:val="single" w:sz="4" w:space="0" w:color="auto"/>
            </w:tcBorders>
            <w:shd w:val="clear" w:color="auto" w:fill="auto"/>
            <w:vAlign w:val="center"/>
            <w:hideMark/>
          </w:tcPr>
          <w:p w14:paraId="10BE5EF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2.5.7 Realizar estudios de movilidad en zonas de conflicto y pares viales.</w:t>
            </w:r>
          </w:p>
        </w:tc>
        <w:tc>
          <w:tcPr>
            <w:tcW w:w="787" w:type="pct"/>
            <w:tcBorders>
              <w:top w:val="nil"/>
              <w:left w:val="nil"/>
              <w:bottom w:val="single" w:sz="4" w:space="0" w:color="auto"/>
              <w:right w:val="single" w:sz="4" w:space="0" w:color="auto"/>
            </w:tcBorders>
            <w:shd w:val="clear" w:color="auto" w:fill="auto"/>
            <w:vAlign w:val="center"/>
            <w:hideMark/>
          </w:tcPr>
          <w:p w14:paraId="724D364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elaboración de estudios</w:t>
            </w:r>
          </w:p>
        </w:tc>
        <w:tc>
          <w:tcPr>
            <w:tcW w:w="787" w:type="pct"/>
            <w:tcBorders>
              <w:top w:val="nil"/>
              <w:left w:val="nil"/>
              <w:bottom w:val="single" w:sz="4" w:space="0" w:color="auto"/>
              <w:right w:val="single" w:sz="4" w:space="0" w:color="auto"/>
            </w:tcBorders>
            <w:shd w:val="clear" w:color="auto" w:fill="auto"/>
            <w:vAlign w:val="center"/>
            <w:hideMark/>
          </w:tcPr>
          <w:p w14:paraId="1727AC1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4 estudios en zonas de conflicto y pares viales</w:t>
            </w:r>
          </w:p>
        </w:tc>
        <w:tc>
          <w:tcPr>
            <w:tcW w:w="307" w:type="pct"/>
            <w:tcBorders>
              <w:top w:val="nil"/>
              <w:left w:val="nil"/>
              <w:bottom w:val="single" w:sz="4" w:space="0" w:color="auto"/>
              <w:right w:val="single" w:sz="4" w:space="0" w:color="auto"/>
            </w:tcBorders>
            <w:shd w:val="clear" w:color="auto" w:fill="auto"/>
            <w:vAlign w:val="center"/>
            <w:hideMark/>
          </w:tcPr>
          <w:p w14:paraId="6800C83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010EB19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75%</w:t>
            </w:r>
          </w:p>
        </w:tc>
        <w:tc>
          <w:tcPr>
            <w:tcW w:w="387" w:type="pct"/>
            <w:tcBorders>
              <w:top w:val="nil"/>
              <w:left w:val="nil"/>
              <w:bottom w:val="single" w:sz="4" w:space="0" w:color="auto"/>
              <w:right w:val="single" w:sz="4" w:space="0" w:color="auto"/>
            </w:tcBorders>
            <w:shd w:val="clear" w:color="auto" w:fill="auto"/>
            <w:vAlign w:val="center"/>
            <w:hideMark/>
          </w:tcPr>
          <w:p w14:paraId="2BC0ABA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25%</w:t>
            </w:r>
          </w:p>
        </w:tc>
        <w:tc>
          <w:tcPr>
            <w:tcW w:w="387" w:type="pct"/>
            <w:tcBorders>
              <w:top w:val="nil"/>
              <w:left w:val="nil"/>
              <w:bottom w:val="single" w:sz="4" w:space="0" w:color="auto"/>
              <w:right w:val="single" w:sz="4" w:space="0" w:color="auto"/>
            </w:tcBorders>
            <w:shd w:val="clear" w:color="auto" w:fill="auto"/>
            <w:vAlign w:val="center"/>
            <w:hideMark/>
          </w:tcPr>
          <w:p w14:paraId="1984FFE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0%</w:t>
            </w:r>
          </w:p>
        </w:tc>
      </w:tr>
      <w:tr w:rsidR="00794EB9" w:rsidRPr="00794EB9" w14:paraId="1DC3884E"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272F770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62F6A3B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2.5.8</w:t>
            </w:r>
          </w:p>
        </w:tc>
        <w:tc>
          <w:tcPr>
            <w:tcW w:w="808" w:type="pct"/>
            <w:tcBorders>
              <w:top w:val="nil"/>
              <w:left w:val="nil"/>
              <w:bottom w:val="single" w:sz="4" w:space="0" w:color="auto"/>
              <w:right w:val="single" w:sz="4" w:space="0" w:color="auto"/>
            </w:tcBorders>
            <w:shd w:val="clear" w:color="auto" w:fill="auto"/>
            <w:vAlign w:val="center"/>
            <w:hideMark/>
          </w:tcPr>
          <w:p w14:paraId="2AF3AD5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2.5.8 Ejecutar las acciones de mejora en zonas prioritarias y pares viales.</w:t>
            </w:r>
          </w:p>
        </w:tc>
        <w:tc>
          <w:tcPr>
            <w:tcW w:w="787" w:type="pct"/>
            <w:tcBorders>
              <w:top w:val="nil"/>
              <w:left w:val="nil"/>
              <w:bottom w:val="single" w:sz="4" w:space="0" w:color="auto"/>
              <w:right w:val="single" w:sz="4" w:space="0" w:color="auto"/>
            </w:tcBorders>
            <w:shd w:val="clear" w:color="auto" w:fill="auto"/>
            <w:vAlign w:val="center"/>
            <w:hideMark/>
          </w:tcPr>
          <w:p w14:paraId="614CA19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cruceros intervenidos</w:t>
            </w:r>
          </w:p>
        </w:tc>
        <w:tc>
          <w:tcPr>
            <w:tcW w:w="787" w:type="pct"/>
            <w:tcBorders>
              <w:top w:val="nil"/>
              <w:left w:val="nil"/>
              <w:bottom w:val="single" w:sz="4" w:space="0" w:color="auto"/>
              <w:right w:val="single" w:sz="4" w:space="0" w:color="auto"/>
            </w:tcBorders>
            <w:shd w:val="clear" w:color="auto" w:fill="auto"/>
            <w:vAlign w:val="center"/>
            <w:hideMark/>
          </w:tcPr>
          <w:p w14:paraId="53DFFB4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Intervenir 25 cruceros durante el trienio</w:t>
            </w:r>
          </w:p>
        </w:tc>
        <w:tc>
          <w:tcPr>
            <w:tcW w:w="307" w:type="pct"/>
            <w:tcBorders>
              <w:top w:val="nil"/>
              <w:left w:val="nil"/>
              <w:bottom w:val="single" w:sz="4" w:space="0" w:color="auto"/>
              <w:right w:val="single" w:sz="4" w:space="0" w:color="auto"/>
            </w:tcBorders>
            <w:shd w:val="clear" w:color="auto" w:fill="auto"/>
            <w:vAlign w:val="center"/>
            <w:hideMark/>
          </w:tcPr>
          <w:p w14:paraId="52B8332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7F8E4C6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87" w:type="pct"/>
            <w:tcBorders>
              <w:top w:val="nil"/>
              <w:left w:val="nil"/>
              <w:bottom w:val="single" w:sz="4" w:space="0" w:color="auto"/>
              <w:right w:val="single" w:sz="4" w:space="0" w:color="auto"/>
            </w:tcBorders>
            <w:shd w:val="clear" w:color="auto" w:fill="auto"/>
            <w:vAlign w:val="center"/>
            <w:hideMark/>
          </w:tcPr>
          <w:p w14:paraId="11152BD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87" w:type="pct"/>
            <w:tcBorders>
              <w:top w:val="nil"/>
              <w:left w:val="nil"/>
              <w:bottom w:val="single" w:sz="4" w:space="0" w:color="auto"/>
              <w:right w:val="single" w:sz="4" w:space="0" w:color="auto"/>
            </w:tcBorders>
            <w:shd w:val="clear" w:color="auto" w:fill="auto"/>
            <w:vAlign w:val="center"/>
            <w:hideMark/>
          </w:tcPr>
          <w:p w14:paraId="743E86B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20%</w:t>
            </w:r>
          </w:p>
        </w:tc>
      </w:tr>
      <w:tr w:rsidR="00794EB9" w:rsidRPr="00794EB9" w14:paraId="192DF466"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7150E03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46B5990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2.5.9</w:t>
            </w:r>
          </w:p>
        </w:tc>
        <w:tc>
          <w:tcPr>
            <w:tcW w:w="808" w:type="pct"/>
            <w:tcBorders>
              <w:top w:val="nil"/>
              <w:left w:val="nil"/>
              <w:bottom w:val="single" w:sz="4" w:space="0" w:color="auto"/>
              <w:right w:val="single" w:sz="4" w:space="0" w:color="auto"/>
            </w:tcBorders>
            <w:shd w:val="clear" w:color="auto" w:fill="auto"/>
            <w:vAlign w:val="center"/>
            <w:hideMark/>
          </w:tcPr>
          <w:p w14:paraId="3FBDA59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2.5.9 Implementar el Modelo de Ordenamiento de Transporte de carga para mejorar la movilidad de la ciudad.                                       </w:t>
            </w:r>
          </w:p>
        </w:tc>
        <w:tc>
          <w:tcPr>
            <w:tcW w:w="787" w:type="pct"/>
            <w:tcBorders>
              <w:top w:val="nil"/>
              <w:left w:val="nil"/>
              <w:bottom w:val="single" w:sz="4" w:space="0" w:color="auto"/>
              <w:right w:val="single" w:sz="4" w:space="0" w:color="auto"/>
            </w:tcBorders>
            <w:shd w:val="clear" w:color="auto" w:fill="auto"/>
            <w:vAlign w:val="center"/>
            <w:hideMark/>
          </w:tcPr>
          <w:p w14:paraId="6986AD8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implementación del modelo de carga</w:t>
            </w:r>
          </w:p>
        </w:tc>
        <w:tc>
          <w:tcPr>
            <w:tcW w:w="787" w:type="pct"/>
            <w:tcBorders>
              <w:top w:val="nil"/>
              <w:left w:val="nil"/>
              <w:bottom w:val="single" w:sz="4" w:space="0" w:color="auto"/>
              <w:right w:val="single" w:sz="4" w:space="0" w:color="auto"/>
            </w:tcBorders>
            <w:shd w:val="clear" w:color="auto" w:fill="auto"/>
            <w:vAlign w:val="center"/>
            <w:hideMark/>
          </w:tcPr>
          <w:p w14:paraId="6EBD0BA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Implementa el Modelo de Ordenamiento de Transporte de carga                                       </w:t>
            </w:r>
          </w:p>
        </w:tc>
        <w:tc>
          <w:tcPr>
            <w:tcW w:w="307" w:type="pct"/>
            <w:tcBorders>
              <w:top w:val="nil"/>
              <w:left w:val="nil"/>
              <w:bottom w:val="single" w:sz="4" w:space="0" w:color="auto"/>
              <w:right w:val="single" w:sz="4" w:space="0" w:color="auto"/>
            </w:tcBorders>
            <w:shd w:val="clear" w:color="auto" w:fill="auto"/>
            <w:vAlign w:val="center"/>
            <w:hideMark/>
          </w:tcPr>
          <w:p w14:paraId="65751B8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58ADC84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87" w:type="pct"/>
            <w:tcBorders>
              <w:top w:val="nil"/>
              <w:left w:val="nil"/>
              <w:bottom w:val="single" w:sz="4" w:space="0" w:color="auto"/>
              <w:right w:val="single" w:sz="4" w:space="0" w:color="auto"/>
            </w:tcBorders>
            <w:shd w:val="clear" w:color="auto" w:fill="auto"/>
            <w:vAlign w:val="center"/>
            <w:hideMark/>
          </w:tcPr>
          <w:p w14:paraId="1DEA565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87" w:type="pct"/>
            <w:tcBorders>
              <w:top w:val="nil"/>
              <w:left w:val="nil"/>
              <w:bottom w:val="single" w:sz="4" w:space="0" w:color="auto"/>
              <w:right w:val="single" w:sz="4" w:space="0" w:color="auto"/>
            </w:tcBorders>
            <w:shd w:val="clear" w:color="auto" w:fill="auto"/>
            <w:vAlign w:val="center"/>
            <w:hideMark/>
          </w:tcPr>
          <w:p w14:paraId="42001B8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1BA46C47"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1305B06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5C4DB7A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2.5.10</w:t>
            </w:r>
          </w:p>
        </w:tc>
        <w:tc>
          <w:tcPr>
            <w:tcW w:w="808" w:type="pct"/>
            <w:tcBorders>
              <w:top w:val="nil"/>
              <w:left w:val="nil"/>
              <w:bottom w:val="single" w:sz="4" w:space="0" w:color="auto"/>
              <w:right w:val="single" w:sz="4" w:space="0" w:color="auto"/>
            </w:tcBorders>
            <w:shd w:val="clear" w:color="auto" w:fill="auto"/>
            <w:vAlign w:val="center"/>
            <w:hideMark/>
          </w:tcPr>
          <w:p w14:paraId="2C8BB07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2.5.10 Intervenir los principales accesos de la ciudad como parte del Modelo de Ordenamiento de Transporte de carga.</w:t>
            </w:r>
          </w:p>
        </w:tc>
        <w:tc>
          <w:tcPr>
            <w:tcW w:w="787" w:type="pct"/>
            <w:tcBorders>
              <w:top w:val="nil"/>
              <w:left w:val="nil"/>
              <w:bottom w:val="single" w:sz="4" w:space="0" w:color="auto"/>
              <w:right w:val="single" w:sz="4" w:space="0" w:color="auto"/>
            </w:tcBorders>
            <w:shd w:val="clear" w:color="auto" w:fill="auto"/>
            <w:vAlign w:val="center"/>
            <w:hideMark/>
          </w:tcPr>
          <w:p w14:paraId="05FE093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kilómetros intervenidos</w:t>
            </w:r>
          </w:p>
        </w:tc>
        <w:tc>
          <w:tcPr>
            <w:tcW w:w="787" w:type="pct"/>
            <w:tcBorders>
              <w:top w:val="nil"/>
              <w:left w:val="nil"/>
              <w:bottom w:val="single" w:sz="4" w:space="0" w:color="auto"/>
              <w:right w:val="single" w:sz="4" w:space="0" w:color="auto"/>
            </w:tcBorders>
            <w:shd w:val="clear" w:color="auto" w:fill="auto"/>
            <w:vAlign w:val="center"/>
            <w:hideMark/>
          </w:tcPr>
          <w:p w14:paraId="7DB56FF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Intervenir 20 kilómetros de vialidades distribuidas en 5 accesos principales para el Modelo de Ordenamiento de Transporte de carga durante el trienio</w:t>
            </w:r>
          </w:p>
        </w:tc>
        <w:tc>
          <w:tcPr>
            <w:tcW w:w="307" w:type="pct"/>
            <w:tcBorders>
              <w:top w:val="nil"/>
              <w:left w:val="nil"/>
              <w:bottom w:val="single" w:sz="4" w:space="0" w:color="auto"/>
              <w:right w:val="single" w:sz="4" w:space="0" w:color="auto"/>
            </w:tcBorders>
            <w:shd w:val="clear" w:color="auto" w:fill="auto"/>
            <w:vAlign w:val="center"/>
            <w:hideMark/>
          </w:tcPr>
          <w:p w14:paraId="3494DB1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4DA5566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45%</w:t>
            </w:r>
          </w:p>
        </w:tc>
        <w:tc>
          <w:tcPr>
            <w:tcW w:w="387" w:type="pct"/>
            <w:tcBorders>
              <w:top w:val="nil"/>
              <w:left w:val="nil"/>
              <w:bottom w:val="single" w:sz="4" w:space="0" w:color="auto"/>
              <w:right w:val="single" w:sz="4" w:space="0" w:color="auto"/>
            </w:tcBorders>
            <w:shd w:val="clear" w:color="auto" w:fill="auto"/>
            <w:vAlign w:val="center"/>
            <w:hideMark/>
          </w:tcPr>
          <w:p w14:paraId="5AF1440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w:t>
            </w:r>
          </w:p>
        </w:tc>
        <w:tc>
          <w:tcPr>
            <w:tcW w:w="387" w:type="pct"/>
            <w:tcBorders>
              <w:top w:val="nil"/>
              <w:left w:val="nil"/>
              <w:bottom w:val="single" w:sz="4" w:space="0" w:color="auto"/>
              <w:right w:val="single" w:sz="4" w:space="0" w:color="auto"/>
            </w:tcBorders>
            <w:shd w:val="clear" w:color="auto" w:fill="auto"/>
            <w:vAlign w:val="center"/>
            <w:hideMark/>
          </w:tcPr>
          <w:p w14:paraId="74CA9AE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45%</w:t>
            </w:r>
          </w:p>
        </w:tc>
      </w:tr>
      <w:tr w:rsidR="00794EB9" w:rsidRPr="00794EB9" w14:paraId="2F227500" w14:textId="77777777" w:rsidTr="00C307FB">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0DDA9EA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17057C1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2.5.11</w:t>
            </w:r>
          </w:p>
        </w:tc>
        <w:tc>
          <w:tcPr>
            <w:tcW w:w="808" w:type="pct"/>
            <w:tcBorders>
              <w:top w:val="nil"/>
              <w:left w:val="nil"/>
              <w:bottom w:val="single" w:sz="4" w:space="0" w:color="auto"/>
              <w:right w:val="single" w:sz="4" w:space="0" w:color="auto"/>
            </w:tcBorders>
            <w:shd w:val="clear" w:color="auto" w:fill="auto"/>
            <w:vAlign w:val="center"/>
            <w:hideMark/>
          </w:tcPr>
          <w:p w14:paraId="4875FE6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2.5.11 Realizar la siguiente etapa de Modernización del Alumbrado Público.</w:t>
            </w:r>
          </w:p>
        </w:tc>
        <w:tc>
          <w:tcPr>
            <w:tcW w:w="787" w:type="pct"/>
            <w:tcBorders>
              <w:top w:val="nil"/>
              <w:left w:val="nil"/>
              <w:bottom w:val="single" w:sz="4" w:space="0" w:color="auto"/>
              <w:right w:val="single" w:sz="4" w:space="0" w:color="auto"/>
            </w:tcBorders>
            <w:shd w:val="clear" w:color="auto" w:fill="auto"/>
            <w:vAlign w:val="center"/>
            <w:hideMark/>
          </w:tcPr>
          <w:p w14:paraId="71AEA2C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modernización de Alumbrado Público respecto del total</w:t>
            </w:r>
          </w:p>
        </w:tc>
        <w:tc>
          <w:tcPr>
            <w:tcW w:w="787" w:type="pct"/>
            <w:tcBorders>
              <w:top w:val="nil"/>
              <w:left w:val="nil"/>
              <w:bottom w:val="single" w:sz="4" w:space="0" w:color="auto"/>
              <w:right w:val="single" w:sz="4" w:space="0" w:color="auto"/>
            </w:tcBorders>
            <w:shd w:val="clear" w:color="auto" w:fill="auto"/>
            <w:vAlign w:val="center"/>
            <w:hideMark/>
          </w:tcPr>
          <w:p w14:paraId="2FBFA5DF" w14:textId="77777777" w:rsid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Modernizar </w:t>
            </w:r>
            <w:r w:rsidR="007F7470">
              <w:rPr>
                <w:rFonts w:ascii="Arial" w:hAnsi="Arial" w:cs="Arial"/>
                <w:sz w:val="22"/>
                <w:szCs w:val="22"/>
                <w:lang w:eastAsia="es-MX"/>
              </w:rPr>
              <w:t xml:space="preserve">y complementar </w:t>
            </w:r>
            <w:r w:rsidRPr="00794EB9">
              <w:rPr>
                <w:rFonts w:ascii="Arial" w:hAnsi="Arial" w:cs="Arial"/>
                <w:sz w:val="22"/>
                <w:szCs w:val="22"/>
                <w:lang w:eastAsia="es-MX"/>
              </w:rPr>
              <w:t xml:space="preserve">el alumbrado público en un conjunto de </w:t>
            </w:r>
            <w:r w:rsidR="007F7470">
              <w:rPr>
                <w:rFonts w:ascii="Arial" w:hAnsi="Arial" w:cs="Arial"/>
                <w:sz w:val="22"/>
                <w:szCs w:val="22"/>
                <w:lang w:eastAsia="es-MX"/>
              </w:rPr>
              <w:t>2</w:t>
            </w:r>
            <w:r w:rsidRPr="00794EB9">
              <w:rPr>
                <w:rFonts w:ascii="Arial" w:hAnsi="Arial" w:cs="Arial"/>
                <w:sz w:val="22"/>
                <w:szCs w:val="22"/>
                <w:lang w:eastAsia="es-MX"/>
              </w:rPr>
              <w:t>60 colonias prioritarias de la ciudad durante el trienio</w:t>
            </w:r>
          </w:p>
          <w:p w14:paraId="664B376C" w14:textId="77777777" w:rsidR="007F7470" w:rsidRDefault="007F7470" w:rsidP="00C307FB">
            <w:pPr>
              <w:jc w:val="center"/>
              <w:rPr>
                <w:rFonts w:ascii="Arial" w:hAnsi="Arial" w:cs="Arial"/>
                <w:sz w:val="22"/>
                <w:szCs w:val="22"/>
                <w:lang w:eastAsia="es-MX"/>
              </w:rPr>
            </w:pPr>
          </w:p>
          <w:p w14:paraId="53A72D1E" w14:textId="2F585C1E" w:rsidR="007F7470" w:rsidRPr="00794EB9" w:rsidRDefault="00FB4DF0" w:rsidP="00F17E23">
            <w:pPr>
              <w:jc w:val="center"/>
              <w:rPr>
                <w:rFonts w:ascii="Arial" w:hAnsi="Arial" w:cs="Arial"/>
                <w:sz w:val="22"/>
                <w:szCs w:val="22"/>
                <w:lang w:eastAsia="es-MX"/>
              </w:rPr>
            </w:pPr>
            <w:r>
              <w:rPr>
                <w:rFonts w:ascii="Arial" w:hAnsi="Arial" w:cs="Arial"/>
                <w:b/>
                <w:color w:val="002060"/>
                <w:sz w:val="16"/>
                <w:szCs w:val="16"/>
                <w:lang w:eastAsia="es-MX"/>
              </w:rPr>
              <w:t>Meta</w:t>
            </w:r>
            <w:r w:rsidR="00F17E23">
              <w:rPr>
                <w:rFonts w:ascii="Arial" w:hAnsi="Arial" w:cs="Arial"/>
                <w:b/>
                <w:color w:val="002060"/>
                <w:sz w:val="16"/>
                <w:szCs w:val="16"/>
                <w:lang w:eastAsia="es-MX"/>
              </w:rPr>
              <w:t xml:space="preserve"> </w:t>
            </w:r>
            <w:r w:rsidR="007F7470">
              <w:rPr>
                <w:rFonts w:ascii="Arial" w:hAnsi="Arial" w:cs="Arial"/>
                <w:b/>
                <w:color w:val="002060"/>
                <w:sz w:val="16"/>
                <w:szCs w:val="16"/>
                <w:lang w:eastAsia="es-MX"/>
              </w:rPr>
              <w:t xml:space="preserve">y metas anuales </w:t>
            </w:r>
            <w:r w:rsidR="00F17E23">
              <w:rPr>
                <w:rFonts w:ascii="Arial" w:hAnsi="Arial" w:cs="Arial"/>
                <w:b/>
                <w:color w:val="002060"/>
                <w:sz w:val="16"/>
                <w:szCs w:val="16"/>
                <w:lang w:eastAsia="es-MX"/>
              </w:rPr>
              <w:t>incrementadas</w:t>
            </w:r>
            <w:r w:rsidR="007F7470">
              <w:rPr>
                <w:rFonts w:ascii="Arial" w:hAnsi="Arial" w:cs="Arial"/>
                <w:b/>
                <w:color w:val="002060"/>
                <w:sz w:val="16"/>
                <w:szCs w:val="16"/>
                <w:lang w:eastAsia="es-MX"/>
              </w:rPr>
              <w:t xml:space="preserve"> </w:t>
            </w:r>
            <w:r w:rsidR="007F7470" w:rsidRPr="00C51006">
              <w:rPr>
                <w:rFonts w:ascii="Arial" w:hAnsi="Arial" w:cs="Arial"/>
                <w:b/>
                <w:color w:val="002060"/>
                <w:sz w:val="16"/>
                <w:szCs w:val="16"/>
                <w:lang w:eastAsia="es-MX"/>
              </w:rPr>
              <w:t>P.O. 27</w:t>
            </w:r>
            <w:r w:rsidR="007F7470">
              <w:rPr>
                <w:rFonts w:ascii="Arial" w:hAnsi="Arial" w:cs="Arial"/>
                <w:b/>
                <w:color w:val="002060"/>
                <w:sz w:val="16"/>
                <w:szCs w:val="16"/>
                <w:lang w:eastAsia="es-MX"/>
              </w:rPr>
              <w:t>-12-2022</w:t>
            </w:r>
            <w:r w:rsidR="007F7470" w:rsidRPr="00C51006">
              <w:rPr>
                <w:rFonts w:ascii="Arial" w:hAnsi="Arial" w:cs="Arial"/>
                <w:b/>
                <w:color w:val="002060"/>
                <w:sz w:val="16"/>
                <w:szCs w:val="16"/>
                <w:lang w:eastAsia="es-MX"/>
              </w:rPr>
              <w:t xml:space="preserve">  </w:t>
            </w:r>
          </w:p>
        </w:tc>
        <w:tc>
          <w:tcPr>
            <w:tcW w:w="307" w:type="pct"/>
            <w:tcBorders>
              <w:top w:val="nil"/>
              <w:left w:val="nil"/>
              <w:bottom w:val="single" w:sz="4" w:space="0" w:color="auto"/>
              <w:right w:val="single" w:sz="4" w:space="0" w:color="auto"/>
            </w:tcBorders>
            <w:shd w:val="clear" w:color="auto" w:fill="auto"/>
            <w:vAlign w:val="center"/>
            <w:hideMark/>
          </w:tcPr>
          <w:p w14:paraId="4F7AB1B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31017155" w14:textId="0DA538CB" w:rsidR="00794EB9" w:rsidRPr="00794EB9" w:rsidRDefault="007F7470" w:rsidP="00C307FB">
            <w:pPr>
              <w:jc w:val="center"/>
              <w:rPr>
                <w:rFonts w:ascii="Arial" w:hAnsi="Arial" w:cs="Arial"/>
                <w:sz w:val="22"/>
                <w:szCs w:val="22"/>
                <w:lang w:eastAsia="es-MX"/>
              </w:rPr>
            </w:pPr>
            <w:r>
              <w:rPr>
                <w:rFonts w:ascii="Arial" w:hAnsi="Arial" w:cs="Arial"/>
                <w:sz w:val="22"/>
                <w:szCs w:val="22"/>
                <w:lang w:eastAsia="es-MX"/>
              </w:rPr>
              <w:t>70</w:t>
            </w:r>
            <w:r w:rsidR="00794EB9" w:rsidRPr="00794EB9">
              <w:rPr>
                <w:rFonts w:ascii="Arial" w:hAnsi="Arial" w:cs="Arial"/>
                <w:sz w:val="22"/>
                <w:szCs w:val="22"/>
                <w:lang w:eastAsia="es-MX"/>
              </w:rPr>
              <w:t>%</w:t>
            </w:r>
          </w:p>
        </w:tc>
        <w:tc>
          <w:tcPr>
            <w:tcW w:w="387" w:type="pct"/>
            <w:tcBorders>
              <w:top w:val="nil"/>
              <w:left w:val="nil"/>
              <w:bottom w:val="single" w:sz="4" w:space="0" w:color="auto"/>
              <w:right w:val="single" w:sz="4" w:space="0" w:color="auto"/>
            </w:tcBorders>
            <w:shd w:val="clear" w:color="auto" w:fill="auto"/>
            <w:vAlign w:val="center"/>
            <w:hideMark/>
          </w:tcPr>
          <w:p w14:paraId="1F65A345" w14:textId="5CD19031" w:rsidR="00794EB9" w:rsidRPr="00794EB9" w:rsidRDefault="007F7470" w:rsidP="00C307FB">
            <w:pPr>
              <w:jc w:val="center"/>
              <w:rPr>
                <w:rFonts w:ascii="Arial" w:hAnsi="Arial" w:cs="Arial"/>
                <w:sz w:val="22"/>
                <w:szCs w:val="22"/>
                <w:lang w:eastAsia="es-MX"/>
              </w:rPr>
            </w:pPr>
            <w:r>
              <w:rPr>
                <w:rFonts w:ascii="Arial" w:hAnsi="Arial" w:cs="Arial"/>
                <w:sz w:val="22"/>
                <w:szCs w:val="22"/>
                <w:lang w:eastAsia="es-MX"/>
              </w:rPr>
              <w:t>1</w:t>
            </w:r>
            <w:r w:rsidR="00794EB9" w:rsidRPr="00794EB9">
              <w:rPr>
                <w:rFonts w:ascii="Arial" w:hAnsi="Arial" w:cs="Arial"/>
                <w:sz w:val="22"/>
                <w:szCs w:val="22"/>
                <w:lang w:eastAsia="es-MX"/>
              </w:rPr>
              <w:t>5%</w:t>
            </w:r>
          </w:p>
        </w:tc>
        <w:tc>
          <w:tcPr>
            <w:tcW w:w="387" w:type="pct"/>
            <w:tcBorders>
              <w:top w:val="nil"/>
              <w:left w:val="nil"/>
              <w:bottom w:val="single" w:sz="4" w:space="0" w:color="auto"/>
              <w:right w:val="single" w:sz="4" w:space="0" w:color="auto"/>
            </w:tcBorders>
            <w:shd w:val="clear" w:color="auto" w:fill="auto"/>
            <w:vAlign w:val="center"/>
            <w:hideMark/>
          </w:tcPr>
          <w:p w14:paraId="19355C4B" w14:textId="7B220526" w:rsidR="00794EB9" w:rsidRPr="00794EB9" w:rsidRDefault="007F7470" w:rsidP="00C307FB">
            <w:pPr>
              <w:jc w:val="center"/>
              <w:rPr>
                <w:rFonts w:ascii="Arial" w:hAnsi="Arial" w:cs="Arial"/>
                <w:sz w:val="22"/>
                <w:szCs w:val="22"/>
                <w:lang w:eastAsia="es-MX"/>
              </w:rPr>
            </w:pPr>
            <w:r>
              <w:rPr>
                <w:rFonts w:ascii="Arial" w:hAnsi="Arial" w:cs="Arial"/>
                <w:sz w:val="22"/>
                <w:szCs w:val="22"/>
                <w:lang w:eastAsia="es-MX"/>
              </w:rPr>
              <w:t>15</w:t>
            </w:r>
            <w:r w:rsidR="00794EB9" w:rsidRPr="00794EB9">
              <w:rPr>
                <w:rFonts w:ascii="Arial" w:hAnsi="Arial" w:cs="Arial"/>
                <w:sz w:val="22"/>
                <w:szCs w:val="22"/>
                <w:lang w:eastAsia="es-MX"/>
              </w:rPr>
              <w:t>%</w:t>
            </w:r>
          </w:p>
        </w:tc>
      </w:tr>
      <w:tr w:rsidR="00794EB9" w:rsidRPr="00794EB9" w14:paraId="399393B5" w14:textId="77777777" w:rsidTr="00C307FB">
        <w:trPr>
          <w:cantSplit/>
          <w:trHeight w:val="57"/>
        </w:trPr>
        <w:tc>
          <w:tcPr>
            <w:tcW w:w="6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EF4CF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2.5 Urbanismo Táctico</w:t>
            </w:r>
          </w:p>
        </w:tc>
        <w:tc>
          <w:tcPr>
            <w:tcW w:w="549" w:type="pct"/>
            <w:tcBorders>
              <w:top w:val="single" w:sz="4" w:space="0" w:color="auto"/>
              <w:left w:val="nil"/>
              <w:bottom w:val="single" w:sz="4" w:space="0" w:color="auto"/>
              <w:right w:val="single" w:sz="4" w:space="0" w:color="auto"/>
            </w:tcBorders>
            <w:shd w:val="clear" w:color="auto" w:fill="auto"/>
            <w:vAlign w:val="center"/>
            <w:hideMark/>
          </w:tcPr>
          <w:p w14:paraId="1268F3B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2.5.12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5F5A14E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2.5.12 Llevar a cabo Servicios Complementarios a la Obra Pública, en materia de liberación de afectaciones, laboratorios, supervisión, estudios y proyectos, ampliaciones presupuestales, obras emergentes y acciones de remediación </w:t>
            </w:r>
          </w:p>
        </w:tc>
        <w:tc>
          <w:tcPr>
            <w:tcW w:w="787" w:type="pct"/>
            <w:tcBorders>
              <w:top w:val="single" w:sz="4" w:space="0" w:color="auto"/>
              <w:left w:val="nil"/>
              <w:bottom w:val="single" w:sz="4" w:space="0" w:color="auto"/>
              <w:right w:val="single" w:sz="4" w:space="0" w:color="auto"/>
            </w:tcBorders>
            <w:shd w:val="clear" w:color="auto" w:fill="auto"/>
            <w:vAlign w:val="center"/>
            <w:hideMark/>
          </w:tcPr>
          <w:p w14:paraId="1DE1044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servicios complementarios ejecutados respecto del total requerido</w:t>
            </w:r>
          </w:p>
        </w:tc>
        <w:tc>
          <w:tcPr>
            <w:tcW w:w="787" w:type="pct"/>
            <w:tcBorders>
              <w:top w:val="single" w:sz="4" w:space="0" w:color="auto"/>
              <w:left w:val="nil"/>
              <w:bottom w:val="single" w:sz="4" w:space="0" w:color="auto"/>
              <w:right w:val="single" w:sz="4" w:space="0" w:color="auto"/>
            </w:tcBorders>
            <w:shd w:val="clear" w:color="auto" w:fill="auto"/>
            <w:vAlign w:val="center"/>
            <w:hideMark/>
          </w:tcPr>
          <w:p w14:paraId="5C6E55F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Llevar a cabo anualmente el 100% de los servicios complementarios requeridos en materia a la Obra Pública durante el trienio</w:t>
            </w:r>
          </w:p>
        </w:tc>
        <w:tc>
          <w:tcPr>
            <w:tcW w:w="307" w:type="pct"/>
            <w:tcBorders>
              <w:top w:val="single" w:sz="4" w:space="0" w:color="auto"/>
              <w:left w:val="nil"/>
              <w:bottom w:val="single" w:sz="4" w:space="0" w:color="auto"/>
              <w:right w:val="single" w:sz="4" w:space="0" w:color="auto"/>
            </w:tcBorders>
            <w:shd w:val="clear" w:color="auto" w:fill="auto"/>
            <w:vAlign w:val="center"/>
            <w:hideMark/>
          </w:tcPr>
          <w:p w14:paraId="0FE4985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single" w:sz="4" w:space="0" w:color="auto"/>
              <w:left w:val="nil"/>
              <w:bottom w:val="single" w:sz="4" w:space="0" w:color="auto"/>
              <w:right w:val="single" w:sz="4" w:space="0" w:color="auto"/>
            </w:tcBorders>
            <w:shd w:val="clear" w:color="auto" w:fill="auto"/>
            <w:vAlign w:val="center"/>
            <w:hideMark/>
          </w:tcPr>
          <w:p w14:paraId="4FB5BAA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87" w:type="pct"/>
            <w:tcBorders>
              <w:top w:val="single" w:sz="4" w:space="0" w:color="auto"/>
              <w:left w:val="nil"/>
              <w:bottom w:val="single" w:sz="4" w:space="0" w:color="auto"/>
              <w:right w:val="single" w:sz="4" w:space="0" w:color="auto"/>
            </w:tcBorders>
            <w:shd w:val="clear" w:color="auto" w:fill="auto"/>
            <w:vAlign w:val="center"/>
            <w:hideMark/>
          </w:tcPr>
          <w:p w14:paraId="09C7034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87" w:type="pct"/>
            <w:tcBorders>
              <w:top w:val="single" w:sz="4" w:space="0" w:color="auto"/>
              <w:left w:val="nil"/>
              <w:bottom w:val="single" w:sz="4" w:space="0" w:color="auto"/>
              <w:right w:val="single" w:sz="4" w:space="0" w:color="auto"/>
            </w:tcBorders>
            <w:shd w:val="clear" w:color="auto" w:fill="auto"/>
            <w:vAlign w:val="center"/>
            <w:hideMark/>
          </w:tcPr>
          <w:p w14:paraId="32D53D0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r>
    </w:tbl>
    <w:p w14:paraId="6D964FE2" w14:textId="77777777" w:rsidR="00794EB9" w:rsidRPr="00794EB9" w:rsidRDefault="00794EB9" w:rsidP="00794EB9">
      <w:pPr>
        <w:ind w:leftChars="-194" w:left="-388" w:firstLine="1"/>
        <w:rPr>
          <w:rFonts w:ascii="Arial" w:hAnsi="Arial" w:cs="Arial"/>
          <w:sz w:val="22"/>
          <w:szCs w:val="22"/>
        </w:rPr>
      </w:pPr>
    </w:p>
    <w:p w14:paraId="3A8375BB"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BANDERA. VIVIR TRANQUILO</w:t>
      </w:r>
    </w:p>
    <w:p w14:paraId="60485EAC"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Estrategia 1.  ESTADO DE DERECHO Y SEGURIDAD PÚBLICA</w:t>
      </w:r>
    </w:p>
    <w:p w14:paraId="5364E139"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PROGRAMA: VT.3 NUEVO MODELO DE SEGURIDAD</w:t>
      </w:r>
    </w:p>
    <w:p w14:paraId="60212165" w14:textId="77777777" w:rsidR="00794EB9" w:rsidRPr="00794EB9" w:rsidRDefault="00794EB9" w:rsidP="00794EB9">
      <w:pPr>
        <w:spacing w:line="259" w:lineRule="auto"/>
        <w:jc w:val="both"/>
        <w:rPr>
          <w:rFonts w:ascii="Arial" w:hAnsi="Arial" w:cs="Arial"/>
          <w:sz w:val="22"/>
          <w:szCs w:val="22"/>
          <w:lang w:eastAsia="es-MX"/>
        </w:rPr>
      </w:pPr>
      <w:r w:rsidRPr="00794EB9">
        <w:rPr>
          <w:rFonts w:ascii="Arial" w:hAnsi="Arial" w:cs="Arial"/>
          <w:i/>
          <w:iCs/>
          <w:sz w:val="22"/>
          <w:szCs w:val="22"/>
          <w:lang w:eastAsia="es-MX"/>
        </w:rPr>
        <w:t xml:space="preserve">Objetivo del programa: </w:t>
      </w:r>
      <w:r w:rsidRPr="00794EB9">
        <w:rPr>
          <w:rFonts w:ascii="Arial" w:hAnsi="Arial" w:cs="Arial"/>
          <w:sz w:val="22"/>
          <w:szCs w:val="22"/>
          <w:lang w:eastAsia="es-MX"/>
        </w:rPr>
        <w:t>Generar mejoras sustantivas en la eficiencia de la policía para atender sus labores de prevención y acción, con mejores condiciones de preparación, elementos tecnológicos, norma ética de la corporación y colaboración con la ciudadanía, abonando a la cercanía y la capacidad de respuesta más efectiva.</w:t>
      </w:r>
    </w:p>
    <w:p w14:paraId="720B09CA" w14:textId="77777777" w:rsidR="00794EB9" w:rsidRPr="00794EB9" w:rsidRDefault="00794EB9" w:rsidP="00794EB9">
      <w:pPr>
        <w:spacing w:line="259" w:lineRule="auto"/>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189"/>
        <w:gridCol w:w="1086"/>
        <w:gridCol w:w="1234"/>
        <w:gridCol w:w="1308"/>
        <w:gridCol w:w="1280"/>
        <w:gridCol w:w="613"/>
        <w:gridCol w:w="706"/>
        <w:gridCol w:w="706"/>
        <w:gridCol w:w="706"/>
      </w:tblGrid>
      <w:tr w:rsidR="00794EB9" w:rsidRPr="00794EB9" w14:paraId="0A0F1666" w14:textId="77777777" w:rsidTr="00C307FB">
        <w:trPr>
          <w:cantSplit/>
          <w:trHeight w:val="57"/>
          <w:tblHeader/>
        </w:trPr>
        <w:tc>
          <w:tcPr>
            <w:tcW w:w="5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836C04"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lastRenderedPageBreak/>
              <w:t xml:space="preserve"> PROYECTOS </w:t>
            </w:r>
          </w:p>
        </w:tc>
        <w:tc>
          <w:tcPr>
            <w:tcW w:w="47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8D3A301"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105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A213720"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85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74CB7B1"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83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52FDEE4"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27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8867F49"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META 2021 </w:t>
            </w:r>
          </w:p>
        </w:tc>
        <w:tc>
          <w:tcPr>
            <w:tcW w:w="31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ACDDEAB"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1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6E44D71"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5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F7BC3B0"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1461620C" w14:textId="77777777" w:rsidTr="00C307FB">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7FDB0A4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 Calidad Máxima</w:t>
            </w:r>
          </w:p>
        </w:tc>
        <w:tc>
          <w:tcPr>
            <w:tcW w:w="475" w:type="pct"/>
            <w:tcBorders>
              <w:top w:val="nil"/>
              <w:left w:val="nil"/>
              <w:bottom w:val="single" w:sz="4" w:space="0" w:color="auto"/>
              <w:right w:val="single" w:sz="4" w:space="0" w:color="auto"/>
            </w:tcBorders>
            <w:shd w:val="clear" w:color="auto" w:fill="auto"/>
            <w:vAlign w:val="center"/>
            <w:hideMark/>
          </w:tcPr>
          <w:p w14:paraId="1125A9E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3.1.1</w:t>
            </w:r>
          </w:p>
        </w:tc>
        <w:tc>
          <w:tcPr>
            <w:tcW w:w="1055" w:type="pct"/>
            <w:tcBorders>
              <w:top w:val="nil"/>
              <w:left w:val="nil"/>
              <w:bottom w:val="single" w:sz="4" w:space="0" w:color="auto"/>
              <w:right w:val="single" w:sz="4" w:space="0" w:color="auto"/>
            </w:tcBorders>
            <w:shd w:val="clear" w:color="auto" w:fill="auto"/>
            <w:vAlign w:val="center"/>
            <w:hideMark/>
          </w:tcPr>
          <w:p w14:paraId="6CF486B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3.1.1 Convertir a la Academia Metropolitana de Seguridad Pública en Universidad de Seguridad Pública, modificando la currícula actual y elevando el perfil de los formadores de la Academia. </w:t>
            </w:r>
          </w:p>
        </w:tc>
        <w:tc>
          <w:tcPr>
            <w:tcW w:w="858" w:type="pct"/>
            <w:tcBorders>
              <w:top w:val="nil"/>
              <w:left w:val="nil"/>
              <w:bottom w:val="single" w:sz="4" w:space="0" w:color="auto"/>
              <w:right w:val="single" w:sz="4" w:space="0" w:color="auto"/>
            </w:tcBorders>
            <w:shd w:val="clear" w:color="auto" w:fill="auto"/>
            <w:vAlign w:val="center"/>
            <w:hideMark/>
          </w:tcPr>
          <w:p w14:paraId="7BE02AD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avance de conversión respecto del total previsto </w:t>
            </w:r>
          </w:p>
        </w:tc>
        <w:tc>
          <w:tcPr>
            <w:tcW w:w="839" w:type="pct"/>
            <w:tcBorders>
              <w:top w:val="nil"/>
              <w:left w:val="nil"/>
              <w:bottom w:val="single" w:sz="4" w:space="0" w:color="auto"/>
              <w:right w:val="single" w:sz="4" w:space="0" w:color="auto"/>
            </w:tcBorders>
            <w:shd w:val="clear" w:color="auto" w:fill="auto"/>
            <w:vAlign w:val="center"/>
            <w:hideMark/>
          </w:tcPr>
          <w:p w14:paraId="61D83B5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Convertir al 100% la Academia a una Universidad de Seguridad Pública con nueva currícula y perfil de formadores</w:t>
            </w:r>
          </w:p>
        </w:tc>
        <w:tc>
          <w:tcPr>
            <w:tcW w:w="275" w:type="pct"/>
            <w:tcBorders>
              <w:top w:val="nil"/>
              <w:left w:val="nil"/>
              <w:bottom w:val="single" w:sz="4" w:space="0" w:color="auto"/>
              <w:right w:val="single" w:sz="4" w:space="0" w:color="auto"/>
            </w:tcBorders>
            <w:shd w:val="clear" w:color="auto" w:fill="auto"/>
            <w:vAlign w:val="center"/>
            <w:hideMark/>
          </w:tcPr>
          <w:p w14:paraId="3F6A671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7001539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14" w:type="pct"/>
            <w:tcBorders>
              <w:top w:val="nil"/>
              <w:left w:val="nil"/>
              <w:bottom w:val="single" w:sz="4" w:space="0" w:color="auto"/>
              <w:right w:val="single" w:sz="4" w:space="0" w:color="auto"/>
            </w:tcBorders>
            <w:shd w:val="clear" w:color="auto" w:fill="auto"/>
            <w:vAlign w:val="center"/>
            <w:hideMark/>
          </w:tcPr>
          <w:p w14:paraId="7DF196B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50" w:type="pct"/>
            <w:tcBorders>
              <w:top w:val="nil"/>
              <w:left w:val="nil"/>
              <w:bottom w:val="single" w:sz="4" w:space="0" w:color="auto"/>
              <w:right w:val="single" w:sz="4" w:space="0" w:color="auto"/>
            </w:tcBorders>
            <w:shd w:val="clear" w:color="auto" w:fill="auto"/>
            <w:vAlign w:val="center"/>
            <w:hideMark/>
          </w:tcPr>
          <w:p w14:paraId="382F948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4B0C70C1" w14:textId="77777777" w:rsidTr="00C307FB">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76FB34E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 Calidad Máxima</w:t>
            </w:r>
          </w:p>
        </w:tc>
        <w:tc>
          <w:tcPr>
            <w:tcW w:w="475" w:type="pct"/>
            <w:tcBorders>
              <w:top w:val="nil"/>
              <w:left w:val="nil"/>
              <w:bottom w:val="single" w:sz="4" w:space="0" w:color="auto"/>
              <w:right w:val="single" w:sz="4" w:space="0" w:color="auto"/>
            </w:tcBorders>
            <w:shd w:val="clear" w:color="auto" w:fill="auto"/>
            <w:vAlign w:val="center"/>
            <w:hideMark/>
          </w:tcPr>
          <w:p w14:paraId="1E28A9B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3.1.2</w:t>
            </w:r>
          </w:p>
        </w:tc>
        <w:tc>
          <w:tcPr>
            <w:tcW w:w="1055" w:type="pct"/>
            <w:tcBorders>
              <w:top w:val="nil"/>
              <w:left w:val="nil"/>
              <w:bottom w:val="single" w:sz="4" w:space="0" w:color="auto"/>
              <w:right w:val="single" w:sz="4" w:space="0" w:color="auto"/>
            </w:tcBorders>
            <w:shd w:val="clear" w:color="auto" w:fill="auto"/>
            <w:vAlign w:val="center"/>
            <w:hideMark/>
          </w:tcPr>
          <w:p w14:paraId="1904268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3.1.2 Realizar un estudio de factibilidad de las nuevas instalaciones de la Secretaría de Seguridad, Prevención y Protección Ciudadana y de los Juzgados Cívicos.</w:t>
            </w:r>
          </w:p>
        </w:tc>
        <w:tc>
          <w:tcPr>
            <w:tcW w:w="858" w:type="pct"/>
            <w:tcBorders>
              <w:top w:val="nil"/>
              <w:left w:val="nil"/>
              <w:bottom w:val="single" w:sz="4" w:space="0" w:color="auto"/>
              <w:right w:val="single" w:sz="4" w:space="0" w:color="auto"/>
            </w:tcBorders>
            <w:shd w:val="clear" w:color="auto" w:fill="auto"/>
            <w:vAlign w:val="center"/>
            <w:hideMark/>
          </w:tcPr>
          <w:p w14:paraId="4F45E5D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de 2 proyectos ejecutivos</w:t>
            </w:r>
          </w:p>
        </w:tc>
        <w:tc>
          <w:tcPr>
            <w:tcW w:w="839" w:type="pct"/>
            <w:tcBorders>
              <w:top w:val="nil"/>
              <w:left w:val="nil"/>
              <w:bottom w:val="single" w:sz="4" w:space="0" w:color="auto"/>
              <w:right w:val="single" w:sz="4" w:space="0" w:color="auto"/>
            </w:tcBorders>
            <w:shd w:val="clear" w:color="auto" w:fill="auto"/>
            <w:vAlign w:val="center"/>
            <w:hideMark/>
          </w:tcPr>
          <w:p w14:paraId="478F9E8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dos proyectos ejecutivos de las obras prioritarias de la Secretaría de Seguridad, Prevención y Protección Ciudadana para 2023</w:t>
            </w:r>
          </w:p>
        </w:tc>
        <w:tc>
          <w:tcPr>
            <w:tcW w:w="275" w:type="pct"/>
            <w:tcBorders>
              <w:top w:val="nil"/>
              <w:left w:val="nil"/>
              <w:bottom w:val="single" w:sz="4" w:space="0" w:color="auto"/>
              <w:right w:val="single" w:sz="4" w:space="0" w:color="auto"/>
            </w:tcBorders>
            <w:shd w:val="clear" w:color="auto" w:fill="auto"/>
            <w:vAlign w:val="center"/>
            <w:hideMark/>
          </w:tcPr>
          <w:p w14:paraId="6BC0B18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5A683D4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14" w:type="pct"/>
            <w:tcBorders>
              <w:top w:val="nil"/>
              <w:left w:val="nil"/>
              <w:bottom w:val="single" w:sz="4" w:space="0" w:color="auto"/>
              <w:right w:val="single" w:sz="4" w:space="0" w:color="auto"/>
            </w:tcBorders>
            <w:shd w:val="clear" w:color="auto" w:fill="auto"/>
            <w:vAlign w:val="center"/>
            <w:hideMark/>
          </w:tcPr>
          <w:p w14:paraId="6C03722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50" w:type="pct"/>
            <w:tcBorders>
              <w:top w:val="nil"/>
              <w:left w:val="nil"/>
              <w:bottom w:val="single" w:sz="4" w:space="0" w:color="auto"/>
              <w:right w:val="single" w:sz="4" w:space="0" w:color="auto"/>
            </w:tcBorders>
            <w:shd w:val="clear" w:color="auto" w:fill="auto"/>
            <w:vAlign w:val="center"/>
            <w:hideMark/>
          </w:tcPr>
          <w:p w14:paraId="5B40410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0CAE8ACE" w14:textId="77777777" w:rsidTr="00C307FB">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374E7E9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3.1 Calidad Máxima</w:t>
            </w:r>
          </w:p>
        </w:tc>
        <w:tc>
          <w:tcPr>
            <w:tcW w:w="475" w:type="pct"/>
            <w:tcBorders>
              <w:top w:val="nil"/>
              <w:left w:val="nil"/>
              <w:bottom w:val="single" w:sz="4" w:space="0" w:color="auto"/>
              <w:right w:val="single" w:sz="4" w:space="0" w:color="auto"/>
            </w:tcBorders>
            <w:shd w:val="clear" w:color="auto" w:fill="auto"/>
            <w:vAlign w:val="center"/>
            <w:hideMark/>
          </w:tcPr>
          <w:p w14:paraId="595A747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3.1.3</w:t>
            </w:r>
          </w:p>
        </w:tc>
        <w:tc>
          <w:tcPr>
            <w:tcW w:w="1055" w:type="pct"/>
            <w:tcBorders>
              <w:top w:val="nil"/>
              <w:left w:val="nil"/>
              <w:bottom w:val="single" w:sz="4" w:space="0" w:color="auto"/>
              <w:right w:val="single" w:sz="4" w:space="0" w:color="auto"/>
            </w:tcBorders>
            <w:shd w:val="clear" w:color="auto" w:fill="auto"/>
            <w:vAlign w:val="center"/>
            <w:hideMark/>
          </w:tcPr>
          <w:p w14:paraId="7E31DEE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3.1.3 Realizar las adecuaciones necesarias para mejorar la infraestructura física de la Secretaría de Seguridad, Prevención y Protección Ciudadana.</w:t>
            </w:r>
          </w:p>
        </w:tc>
        <w:tc>
          <w:tcPr>
            <w:tcW w:w="858" w:type="pct"/>
            <w:tcBorders>
              <w:top w:val="nil"/>
              <w:left w:val="nil"/>
              <w:bottom w:val="single" w:sz="4" w:space="0" w:color="auto"/>
              <w:right w:val="single" w:sz="4" w:space="0" w:color="auto"/>
            </w:tcBorders>
            <w:shd w:val="clear" w:color="auto" w:fill="auto"/>
            <w:vAlign w:val="center"/>
            <w:hideMark/>
          </w:tcPr>
          <w:p w14:paraId="5A4030A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adecuaciones respecto del total previsto </w:t>
            </w:r>
          </w:p>
        </w:tc>
        <w:tc>
          <w:tcPr>
            <w:tcW w:w="839" w:type="pct"/>
            <w:tcBorders>
              <w:top w:val="nil"/>
              <w:left w:val="nil"/>
              <w:bottom w:val="single" w:sz="4" w:space="0" w:color="auto"/>
              <w:right w:val="single" w:sz="4" w:space="0" w:color="auto"/>
            </w:tcBorders>
            <w:shd w:val="clear" w:color="auto" w:fill="auto"/>
            <w:vAlign w:val="center"/>
            <w:hideMark/>
          </w:tcPr>
          <w:p w14:paraId="6B98866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el 100% de las adecuaciones de las instalaciones de la SSPPC durante el trienio</w:t>
            </w:r>
          </w:p>
        </w:tc>
        <w:tc>
          <w:tcPr>
            <w:tcW w:w="275" w:type="pct"/>
            <w:tcBorders>
              <w:top w:val="nil"/>
              <w:left w:val="nil"/>
              <w:bottom w:val="single" w:sz="4" w:space="0" w:color="auto"/>
              <w:right w:val="single" w:sz="4" w:space="0" w:color="auto"/>
            </w:tcBorders>
            <w:shd w:val="clear" w:color="auto" w:fill="auto"/>
            <w:vAlign w:val="center"/>
            <w:hideMark/>
          </w:tcPr>
          <w:p w14:paraId="5569460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42AF88E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14" w:type="pct"/>
            <w:tcBorders>
              <w:top w:val="nil"/>
              <w:left w:val="nil"/>
              <w:bottom w:val="single" w:sz="4" w:space="0" w:color="auto"/>
              <w:right w:val="single" w:sz="4" w:space="0" w:color="auto"/>
            </w:tcBorders>
            <w:shd w:val="clear" w:color="auto" w:fill="auto"/>
            <w:vAlign w:val="center"/>
            <w:hideMark/>
          </w:tcPr>
          <w:p w14:paraId="6322E48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50" w:type="pct"/>
            <w:tcBorders>
              <w:top w:val="nil"/>
              <w:left w:val="nil"/>
              <w:bottom w:val="single" w:sz="4" w:space="0" w:color="auto"/>
              <w:right w:val="single" w:sz="4" w:space="0" w:color="auto"/>
            </w:tcBorders>
            <w:shd w:val="clear" w:color="auto" w:fill="auto"/>
            <w:vAlign w:val="center"/>
            <w:hideMark/>
          </w:tcPr>
          <w:p w14:paraId="4CA5B8C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1AADB455" w14:textId="77777777" w:rsidTr="00C307FB">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1F0FB28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 Calidad Máxima</w:t>
            </w:r>
          </w:p>
        </w:tc>
        <w:tc>
          <w:tcPr>
            <w:tcW w:w="475" w:type="pct"/>
            <w:tcBorders>
              <w:top w:val="nil"/>
              <w:left w:val="nil"/>
              <w:bottom w:val="single" w:sz="4" w:space="0" w:color="auto"/>
              <w:right w:val="single" w:sz="4" w:space="0" w:color="auto"/>
            </w:tcBorders>
            <w:shd w:val="clear" w:color="auto" w:fill="auto"/>
            <w:vAlign w:val="center"/>
            <w:hideMark/>
          </w:tcPr>
          <w:p w14:paraId="384035D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3.1.4</w:t>
            </w:r>
          </w:p>
        </w:tc>
        <w:tc>
          <w:tcPr>
            <w:tcW w:w="1055" w:type="pct"/>
            <w:tcBorders>
              <w:top w:val="nil"/>
              <w:left w:val="nil"/>
              <w:bottom w:val="single" w:sz="4" w:space="0" w:color="auto"/>
              <w:right w:val="single" w:sz="4" w:space="0" w:color="auto"/>
            </w:tcBorders>
            <w:shd w:val="clear" w:color="auto" w:fill="auto"/>
            <w:vAlign w:val="center"/>
            <w:hideMark/>
          </w:tcPr>
          <w:p w14:paraId="125E425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3.1.4. Dotar de equipamiento a los cuerpos de seguridad para que ejerzan con efectividad y seguridad sus labores</w:t>
            </w:r>
          </w:p>
        </w:tc>
        <w:tc>
          <w:tcPr>
            <w:tcW w:w="858" w:type="pct"/>
            <w:tcBorders>
              <w:top w:val="nil"/>
              <w:left w:val="nil"/>
              <w:bottom w:val="single" w:sz="4" w:space="0" w:color="auto"/>
              <w:right w:val="single" w:sz="4" w:space="0" w:color="auto"/>
            </w:tcBorders>
            <w:shd w:val="clear" w:color="auto" w:fill="auto"/>
            <w:vAlign w:val="center"/>
            <w:hideMark/>
          </w:tcPr>
          <w:p w14:paraId="4522BC4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cuerpos de seguridad que cuenta con equipamiento respecto del total de elementos de cuerpos de seguridad</w:t>
            </w:r>
          </w:p>
        </w:tc>
        <w:tc>
          <w:tcPr>
            <w:tcW w:w="839" w:type="pct"/>
            <w:tcBorders>
              <w:top w:val="nil"/>
              <w:left w:val="nil"/>
              <w:bottom w:val="single" w:sz="4" w:space="0" w:color="auto"/>
              <w:right w:val="single" w:sz="4" w:space="0" w:color="auto"/>
            </w:tcBorders>
            <w:shd w:val="clear" w:color="auto" w:fill="auto"/>
            <w:vAlign w:val="center"/>
            <w:hideMark/>
          </w:tcPr>
          <w:p w14:paraId="609E832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Dotar de equipamiento al 100% de los elementos del cuerpo de seguridad</w:t>
            </w:r>
          </w:p>
        </w:tc>
        <w:tc>
          <w:tcPr>
            <w:tcW w:w="275" w:type="pct"/>
            <w:tcBorders>
              <w:top w:val="nil"/>
              <w:left w:val="nil"/>
              <w:bottom w:val="single" w:sz="4" w:space="0" w:color="auto"/>
              <w:right w:val="single" w:sz="4" w:space="0" w:color="auto"/>
            </w:tcBorders>
            <w:shd w:val="clear" w:color="auto" w:fill="auto"/>
            <w:vAlign w:val="center"/>
            <w:hideMark/>
          </w:tcPr>
          <w:p w14:paraId="3C1A5D5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5A7AA05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38%</w:t>
            </w:r>
          </w:p>
        </w:tc>
        <w:tc>
          <w:tcPr>
            <w:tcW w:w="314" w:type="pct"/>
            <w:tcBorders>
              <w:top w:val="nil"/>
              <w:left w:val="nil"/>
              <w:bottom w:val="single" w:sz="4" w:space="0" w:color="auto"/>
              <w:right w:val="single" w:sz="4" w:space="0" w:color="auto"/>
            </w:tcBorders>
            <w:shd w:val="clear" w:color="auto" w:fill="auto"/>
            <w:vAlign w:val="center"/>
            <w:hideMark/>
          </w:tcPr>
          <w:p w14:paraId="2D6671D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31%</w:t>
            </w:r>
          </w:p>
        </w:tc>
        <w:tc>
          <w:tcPr>
            <w:tcW w:w="350" w:type="pct"/>
            <w:tcBorders>
              <w:top w:val="nil"/>
              <w:left w:val="nil"/>
              <w:bottom w:val="single" w:sz="4" w:space="0" w:color="auto"/>
              <w:right w:val="single" w:sz="4" w:space="0" w:color="auto"/>
            </w:tcBorders>
            <w:shd w:val="clear" w:color="auto" w:fill="auto"/>
            <w:vAlign w:val="center"/>
            <w:hideMark/>
          </w:tcPr>
          <w:p w14:paraId="4E291F9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31%</w:t>
            </w:r>
          </w:p>
        </w:tc>
      </w:tr>
      <w:tr w:rsidR="00794EB9" w:rsidRPr="00794EB9" w14:paraId="74939913" w14:textId="77777777" w:rsidTr="00C307FB">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14EBD78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 Calidad Máxima</w:t>
            </w:r>
          </w:p>
        </w:tc>
        <w:tc>
          <w:tcPr>
            <w:tcW w:w="475" w:type="pct"/>
            <w:tcBorders>
              <w:top w:val="nil"/>
              <w:left w:val="nil"/>
              <w:bottom w:val="single" w:sz="4" w:space="0" w:color="auto"/>
              <w:right w:val="single" w:sz="4" w:space="0" w:color="auto"/>
            </w:tcBorders>
            <w:shd w:val="clear" w:color="auto" w:fill="auto"/>
            <w:vAlign w:val="center"/>
            <w:hideMark/>
          </w:tcPr>
          <w:p w14:paraId="36B7334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3.1.5</w:t>
            </w:r>
          </w:p>
        </w:tc>
        <w:tc>
          <w:tcPr>
            <w:tcW w:w="1055" w:type="pct"/>
            <w:tcBorders>
              <w:top w:val="nil"/>
              <w:left w:val="nil"/>
              <w:bottom w:val="single" w:sz="4" w:space="0" w:color="auto"/>
              <w:right w:val="single" w:sz="4" w:space="0" w:color="auto"/>
            </w:tcBorders>
            <w:shd w:val="clear" w:color="auto" w:fill="auto"/>
            <w:vAlign w:val="center"/>
            <w:hideMark/>
          </w:tcPr>
          <w:p w14:paraId="2D37D6B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3.1.5 Mejorar las condiciones salariales de los elementos de policía y policía vial municipal.</w:t>
            </w:r>
          </w:p>
        </w:tc>
        <w:tc>
          <w:tcPr>
            <w:tcW w:w="858" w:type="pct"/>
            <w:tcBorders>
              <w:top w:val="nil"/>
              <w:left w:val="nil"/>
              <w:bottom w:val="single" w:sz="4" w:space="0" w:color="auto"/>
              <w:right w:val="single" w:sz="4" w:space="0" w:color="auto"/>
            </w:tcBorders>
            <w:shd w:val="clear" w:color="auto" w:fill="auto"/>
            <w:vAlign w:val="center"/>
            <w:hideMark/>
          </w:tcPr>
          <w:p w14:paraId="5235A1E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plazas con incremento salarial con respecto del total</w:t>
            </w:r>
          </w:p>
        </w:tc>
        <w:tc>
          <w:tcPr>
            <w:tcW w:w="839" w:type="pct"/>
            <w:tcBorders>
              <w:top w:val="nil"/>
              <w:left w:val="nil"/>
              <w:bottom w:val="single" w:sz="4" w:space="0" w:color="auto"/>
              <w:right w:val="single" w:sz="4" w:space="0" w:color="auto"/>
            </w:tcBorders>
            <w:shd w:val="clear" w:color="auto" w:fill="auto"/>
            <w:vAlign w:val="center"/>
            <w:hideMark/>
          </w:tcPr>
          <w:p w14:paraId="6E909F7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Incrementar las condiciones salariales a 2780 plazas de la policía y policía vial municipal de menor ingreso para 2023.</w:t>
            </w:r>
          </w:p>
        </w:tc>
        <w:tc>
          <w:tcPr>
            <w:tcW w:w="275" w:type="pct"/>
            <w:tcBorders>
              <w:top w:val="nil"/>
              <w:left w:val="nil"/>
              <w:bottom w:val="single" w:sz="4" w:space="0" w:color="auto"/>
              <w:right w:val="single" w:sz="4" w:space="0" w:color="auto"/>
            </w:tcBorders>
            <w:shd w:val="clear" w:color="auto" w:fill="auto"/>
            <w:vAlign w:val="center"/>
            <w:hideMark/>
          </w:tcPr>
          <w:p w14:paraId="3D435B5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5C133B9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14" w:type="pct"/>
            <w:tcBorders>
              <w:top w:val="nil"/>
              <w:left w:val="nil"/>
              <w:bottom w:val="single" w:sz="4" w:space="0" w:color="auto"/>
              <w:right w:val="single" w:sz="4" w:space="0" w:color="auto"/>
            </w:tcBorders>
            <w:shd w:val="clear" w:color="auto" w:fill="auto"/>
            <w:vAlign w:val="center"/>
            <w:hideMark/>
          </w:tcPr>
          <w:p w14:paraId="68E30CA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50" w:type="pct"/>
            <w:tcBorders>
              <w:top w:val="nil"/>
              <w:left w:val="nil"/>
              <w:bottom w:val="single" w:sz="4" w:space="0" w:color="auto"/>
              <w:right w:val="single" w:sz="4" w:space="0" w:color="auto"/>
            </w:tcBorders>
            <w:shd w:val="clear" w:color="auto" w:fill="auto"/>
            <w:vAlign w:val="center"/>
            <w:hideMark/>
          </w:tcPr>
          <w:p w14:paraId="6968CD2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562EF8EF" w14:textId="77777777" w:rsidTr="00C307FB">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5D645F6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3.1 Calidad Máxima</w:t>
            </w:r>
          </w:p>
        </w:tc>
        <w:tc>
          <w:tcPr>
            <w:tcW w:w="475" w:type="pct"/>
            <w:tcBorders>
              <w:top w:val="nil"/>
              <w:left w:val="nil"/>
              <w:bottom w:val="single" w:sz="4" w:space="0" w:color="auto"/>
              <w:right w:val="single" w:sz="4" w:space="0" w:color="auto"/>
            </w:tcBorders>
            <w:shd w:val="clear" w:color="auto" w:fill="auto"/>
            <w:vAlign w:val="center"/>
            <w:hideMark/>
          </w:tcPr>
          <w:p w14:paraId="6EAD6CE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3.1.6</w:t>
            </w:r>
          </w:p>
        </w:tc>
        <w:tc>
          <w:tcPr>
            <w:tcW w:w="1055" w:type="pct"/>
            <w:tcBorders>
              <w:top w:val="nil"/>
              <w:left w:val="nil"/>
              <w:bottom w:val="single" w:sz="4" w:space="0" w:color="auto"/>
              <w:right w:val="single" w:sz="4" w:space="0" w:color="auto"/>
            </w:tcBorders>
            <w:shd w:val="clear" w:color="auto" w:fill="auto"/>
            <w:vAlign w:val="center"/>
            <w:hideMark/>
          </w:tcPr>
          <w:p w14:paraId="0E37BC6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3.1.6 Actualizar e implementar la Sectorización para establecer el Modelo de Cuadrantes.</w:t>
            </w:r>
          </w:p>
        </w:tc>
        <w:tc>
          <w:tcPr>
            <w:tcW w:w="858" w:type="pct"/>
            <w:tcBorders>
              <w:top w:val="nil"/>
              <w:left w:val="nil"/>
              <w:bottom w:val="single" w:sz="4" w:space="0" w:color="auto"/>
              <w:right w:val="single" w:sz="4" w:space="0" w:color="auto"/>
            </w:tcBorders>
            <w:shd w:val="clear" w:color="auto" w:fill="auto"/>
            <w:vAlign w:val="center"/>
            <w:hideMark/>
          </w:tcPr>
          <w:p w14:paraId="0B427C6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avance en la implementación </w:t>
            </w:r>
          </w:p>
        </w:tc>
        <w:tc>
          <w:tcPr>
            <w:tcW w:w="839" w:type="pct"/>
            <w:tcBorders>
              <w:top w:val="nil"/>
              <w:left w:val="nil"/>
              <w:bottom w:val="single" w:sz="4" w:space="0" w:color="auto"/>
              <w:right w:val="single" w:sz="4" w:space="0" w:color="auto"/>
            </w:tcBorders>
            <w:shd w:val="clear" w:color="auto" w:fill="auto"/>
            <w:vAlign w:val="center"/>
            <w:hideMark/>
          </w:tcPr>
          <w:p w14:paraId="10AC3B5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Implementar al 100% la Sectorización en el Modelo de Cuadrantes para 2022.</w:t>
            </w:r>
          </w:p>
        </w:tc>
        <w:tc>
          <w:tcPr>
            <w:tcW w:w="275" w:type="pct"/>
            <w:tcBorders>
              <w:top w:val="nil"/>
              <w:left w:val="nil"/>
              <w:bottom w:val="single" w:sz="4" w:space="0" w:color="auto"/>
              <w:right w:val="single" w:sz="4" w:space="0" w:color="auto"/>
            </w:tcBorders>
            <w:shd w:val="clear" w:color="auto" w:fill="auto"/>
            <w:vAlign w:val="center"/>
            <w:hideMark/>
          </w:tcPr>
          <w:p w14:paraId="3A6E297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2F3A7DE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14" w:type="pct"/>
            <w:tcBorders>
              <w:top w:val="nil"/>
              <w:left w:val="nil"/>
              <w:bottom w:val="single" w:sz="4" w:space="0" w:color="auto"/>
              <w:right w:val="single" w:sz="4" w:space="0" w:color="auto"/>
            </w:tcBorders>
            <w:shd w:val="clear" w:color="auto" w:fill="auto"/>
            <w:vAlign w:val="center"/>
            <w:hideMark/>
          </w:tcPr>
          <w:p w14:paraId="71FD949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283A0DC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6133B901" w14:textId="77777777" w:rsidTr="00C307FB">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6310D5C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 Calidad Máxima</w:t>
            </w:r>
          </w:p>
        </w:tc>
        <w:tc>
          <w:tcPr>
            <w:tcW w:w="475" w:type="pct"/>
            <w:tcBorders>
              <w:top w:val="nil"/>
              <w:left w:val="nil"/>
              <w:bottom w:val="single" w:sz="4" w:space="0" w:color="auto"/>
              <w:right w:val="single" w:sz="4" w:space="0" w:color="auto"/>
            </w:tcBorders>
            <w:shd w:val="clear" w:color="auto" w:fill="auto"/>
            <w:vAlign w:val="center"/>
            <w:hideMark/>
          </w:tcPr>
          <w:p w14:paraId="17E5C47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3.1.7</w:t>
            </w:r>
          </w:p>
        </w:tc>
        <w:tc>
          <w:tcPr>
            <w:tcW w:w="1055" w:type="pct"/>
            <w:tcBorders>
              <w:top w:val="nil"/>
              <w:left w:val="nil"/>
              <w:bottom w:val="single" w:sz="4" w:space="0" w:color="auto"/>
              <w:right w:val="single" w:sz="4" w:space="0" w:color="auto"/>
            </w:tcBorders>
            <w:shd w:val="clear" w:color="auto" w:fill="auto"/>
            <w:vAlign w:val="center"/>
            <w:hideMark/>
          </w:tcPr>
          <w:p w14:paraId="64AE607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3.1.7 Instalar Puntos de Monitoreo Inteligente para aumentar la conexión de cámaras de particulares sumadas al proyecto León Vigilante.</w:t>
            </w:r>
          </w:p>
        </w:tc>
        <w:tc>
          <w:tcPr>
            <w:tcW w:w="858" w:type="pct"/>
            <w:tcBorders>
              <w:top w:val="nil"/>
              <w:left w:val="nil"/>
              <w:bottom w:val="single" w:sz="4" w:space="0" w:color="auto"/>
              <w:right w:val="single" w:sz="4" w:space="0" w:color="auto"/>
            </w:tcBorders>
            <w:shd w:val="clear" w:color="auto" w:fill="auto"/>
            <w:vAlign w:val="center"/>
            <w:hideMark/>
          </w:tcPr>
          <w:p w14:paraId="10B7BCA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incremento en la cobertura de instalación de puntos de monitoreo inteligente</w:t>
            </w:r>
          </w:p>
        </w:tc>
        <w:tc>
          <w:tcPr>
            <w:tcW w:w="839" w:type="pct"/>
            <w:tcBorders>
              <w:top w:val="nil"/>
              <w:left w:val="nil"/>
              <w:bottom w:val="single" w:sz="4" w:space="0" w:color="auto"/>
              <w:right w:val="single" w:sz="4" w:space="0" w:color="auto"/>
            </w:tcBorders>
            <w:shd w:val="clear" w:color="auto" w:fill="auto"/>
            <w:vAlign w:val="center"/>
            <w:hideMark/>
          </w:tcPr>
          <w:p w14:paraId="73CC289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Duplicar el porcentaje de cobertura de los puntos de monitoreo inteligente pasando del 28% al 56% de cobertura en el trienio.</w:t>
            </w:r>
          </w:p>
        </w:tc>
        <w:tc>
          <w:tcPr>
            <w:tcW w:w="275" w:type="pct"/>
            <w:tcBorders>
              <w:top w:val="nil"/>
              <w:left w:val="nil"/>
              <w:bottom w:val="single" w:sz="4" w:space="0" w:color="auto"/>
              <w:right w:val="single" w:sz="4" w:space="0" w:color="auto"/>
            </w:tcBorders>
            <w:shd w:val="clear" w:color="auto" w:fill="auto"/>
            <w:vAlign w:val="center"/>
            <w:hideMark/>
          </w:tcPr>
          <w:p w14:paraId="7A3DA98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2A9D924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47.5%</w:t>
            </w:r>
          </w:p>
        </w:tc>
        <w:tc>
          <w:tcPr>
            <w:tcW w:w="314" w:type="pct"/>
            <w:tcBorders>
              <w:top w:val="nil"/>
              <w:left w:val="nil"/>
              <w:bottom w:val="single" w:sz="4" w:space="0" w:color="auto"/>
              <w:right w:val="single" w:sz="4" w:space="0" w:color="auto"/>
            </w:tcBorders>
            <w:shd w:val="clear" w:color="auto" w:fill="auto"/>
            <w:vAlign w:val="center"/>
            <w:hideMark/>
          </w:tcPr>
          <w:p w14:paraId="7A02BAA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47.5%</w:t>
            </w:r>
          </w:p>
        </w:tc>
        <w:tc>
          <w:tcPr>
            <w:tcW w:w="350" w:type="pct"/>
            <w:tcBorders>
              <w:top w:val="nil"/>
              <w:left w:val="nil"/>
              <w:bottom w:val="single" w:sz="4" w:space="0" w:color="auto"/>
              <w:right w:val="single" w:sz="4" w:space="0" w:color="auto"/>
            </w:tcBorders>
            <w:shd w:val="clear" w:color="auto" w:fill="auto"/>
            <w:vAlign w:val="center"/>
            <w:hideMark/>
          </w:tcPr>
          <w:p w14:paraId="55C0D18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w:t>
            </w:r>
          </w:p>
        </w:tc>
      </w:tr>
      <w:tr w:rsidR="00794EB9" w:rsidRPr="00794EB9" w14:paraId="0FBE518C" w14:textId="77777777" w:rsidTr="00C307FB">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184D50B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 Calidad Máxima</w:t>
            </w:r>
          </w:p>
        </w:tc>
        <w:tc>
          <w:tcPr>
            <w:tcW w:w="475" w:type="pct"/>
            <w:tcBorders>
              <w:top w:val="nil"/>
              <w:left w:val="nil"/>
              <w:bottom w:val="single" w:sz="4" w:space="0" w:color="auto"/>
              <w:right w:val="single" w:sz="4" w:space="0" w:color="auto"/>
            </w:tcBorders>
            <w:shd w:val="clear" w:color="auto" w:fill="auto"/>
            <w:vAlign w:val="center"/>
            <w:hideMark/>
          </w:tcPr>
          <w:p w14:paraId="691DCE1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3.1.8</w:t>
            </w:r>
          </w:p>
        </w:tc>
        <w:tc>
          <w:tcPr>
            <w:tcW w:w="1055" w:type="pct"/>
            <w:tcBorders>
              <w:top w:val="nil"/>
              <w:left w:val="nil"/>
              <w:bottom w:val="single" w:sz="4" w:space="0" w:color="auto"/>
              <w:right w:val="single" w:sz="4" w:space="0" w:color="auto"/>
            </w:tcBorders>
            <w:shd w:val="clear" w:color="auto" w:fill="auto"/>
            <w:vAlign w:val="center"/>
            <w:hideMark/>
          </w:tcPr>
          <w:p w14:paraId="3778849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3.1.8 Incrementar el número de cámaras de particulares sumadas al proyecto León Vigilante.</w:t>
            </w:r>
          </w:p>
        </w:tc>
        <w:tc>
          <w:tcPr>
            <w:tcW w:w="858" w:type="pct"/>
            <w:tcBorders>
              <w:top w:val="nil"/>
              <w:left w:val="nil"/>
              <w:bottom w:val="single" w:sz="4" w:space="0" w:color="auto"/>
              <w:right w:val="single" w:sz="4" w:space="0" w:color="auto"/>
            </w:tcBorders>
            <w:shd w:val="clear" w:color="auto" w:fill="auto"/>
            <w:vAlign w:val="center"/>
            <w:hideMark/>
          </w:tcPr>
          <w:p w14:paraId="2582E00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cámaras particulares conectadas respecto del total solicitado y viable</w:t>
            </w:r>
          </w:p>
        </w:tc>
        <w:tc>
          <w:tcPr>
            <w:tcW w:w="839" w:type="pct"/>
            <w:tcBorders>
              <w:top w:val="nil"/>
              <w:left w:val="nil"/>
              <w:bottom w:val="single" w:sz="4" w:space="0" w:color="auto"/>
              <w:right w:val="single" w:sz="4" w:space="0" w:color="auto"/>
            </w:tcBorders>
            <w:shd w:val="clear" w:color="auto" w:fill="auto"/>
            <w:vAlign w:val="center"/>
            <w:hideMark/>
          </w:tcPr>
          <w:p w14:paraId="28D96A9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Conectar el 100% de cámaras que los particulares soliciten y que sean viables para el proyecto León Vigilante</w:t>
            </w:r>
          </w:p>
        </w:tc>
        <w:tc>
          <w:tcPr>
            <w:tcW w:w="275" w:type="pct"/>
            <w:tcBorders>
              <w:top w:val="nil"/>
              <w:left w:val="nil"/>
              <w:bottom w:val="single" w:sz="4" w:space="0" w:color="auto"/>
              <w:right w:val="single" w:sz="4" w:space="0" w:color="auto"/>
            </w:tcBorders>
            <w:shd w:val="clear" w:color="auto" w:fill="auto"/>
            <w:vAlign w:val="center"/>
            <w:hideMark/>
          </w:tcPr>
          <w:p w14:paraId="37DA50C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4D5AF30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35297D7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50" w:type="pct"/>
            <w:tcBorders>
              <w:top w:val="nil"/>
              <w:left w:val="nil"/>
              <w:bottom w:val="single" w:sz="4" w:space="0" w:color="auto"/>
              <w:right w:val="single" w:sz="4" w:space="0" w:color="auto"/>
            </w:tcBorders>
            <w:shd w:val="clear" w:color="auto" w:fill="auto"/>
            <w:vAlign w:val="center"/>
            <w:hideMark/>
          </w:tcPr>
          <w:p w14:paraId="13BE89E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5A0BB118" w14:textId="77777777" w:rsidTr="00C307FB">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134B126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3.1 Calidad Máxima</w:t>
            </w:r>
          </w:p>
        </w:tc>
        <w:tc>
          <w:tcPr>
            <w:tcW w:w="475" w:type="pct"/>
            <w:tcBorders>
              <w:top w:val="nil"/>
              <w:left w:val="nil"/>
              <w:bottom w:val="single" w:sz="4" w:space="0" w:color="auto"/>
              <w:right w:val="single" w:sz="4" w:space="0" w:color="auto"/>
            </w:tcBorders>
            <w:shd w:val="clear" w:color="auto" w:fill="auto"/>
            <w:vAlign w:val="center"/>
            <w:hideMark/>
          </w:tcPr>
          <w:p w14:paraId="420E734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3.1.9</w:t>
            </w:r>
          </w:p>
        </w:tc>
        <w:tc>
          <w:tcPr>
            <w:tcW w:w="1055" w:type="pct"/>
            <w:tcBorders>
              <w:top w:val="nil"/>
              <w:left w:val="nil"/>
              <w:bottom w:val="single" w:sz="4" w:space="0" w:color="auto"/>
              <w:right w:val="single" w:sz="4" w:space="0" w:color="auto"/>
            </w:tcBorders>
            <w:shd w:val="clear" w:color="auto" w:fill="auto"/>
            <w:vAlign w:val="center"/>
            <w:hideMark/>
          </w:tcPr>
          <w:p w14:paraId="3F6A486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3.1.9 Reacreditar las Certificaciones de los tres programas del Triple Arco de CALEA.</w:t>
            </w:r>
          </w:p>
        </w:tc>
        <w:tc>
          <w:tcPr>
            <w:tcW w:w="858" w:type="pct"/>
            <w:tcBorders>
              <w:top w:val="nil"/>
              <w:left w:val="nil"/>
              <w:bottom w:val="single" w:sz="4" w:space="0" w:color="auto"/>
              <w:right w:val="single" w:sz="4" w:space="0" w:color="auto"/>
            </w:tcBorders>
            <w:shd w:val="clear" w:color="auto" w:fill="auto"/>
            <w:vAlign w:val="center"/>
            <w:hideMark/>
          </w:tcPr>
          <w:p w14:paraId="6B68AC2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cumplimiento de las certificaciones planeadas </w:t>
            </w:r>
          </w:p>
        </w:tc>
        <w:tc>
          <w:tcPr>
            <w:tcW w:w="839" w:type="pct"/>
            <w:tcBorders>
              <w:top w:val="nil"/>
              <w:left w:val="nil"/>
              <w:bottom w:val="single" w:sz="4" w:space="0" w:color="auto"/>
              <w:right w:val="single" w:sz="4" w:space="0" w:color="auto"/>
            </w:tcBorders>
            <w:shd w:val="clear" w:color="auto" w:fill="auto"/>
            <w:vAlign w:val="center"/>
            <w:hideMark/>
          </w:tcPr>
          <w:p w14:paraId="29A11D0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Recibir y mantener anualmente el 100% de  las certificaciones CALEA durante el trienio</w:t>
            </w:r>
          </w:p>
        </w:tc>
        <w:tc>
          <w:tcPr>
            <w:tcW w:w="275" w:type="pct"/>
            <w:tcBorders>
              <w:top w:val="nil"/>
              <w:left w:val="nil"/>
              <w:bottom w:val="single" w:sz="4" w:space="0" w:color="auto"/>
              <w:right w:val="single" w:sz="4" w:space="0" w:color="auto"/>
            </w:tcBorders>
            <w:shd w:val="clear" w:color="auto" w:fill="auto"/>
            <w:vAlign w:val="center"/>
            <w:hideMark/>
          </w:tcPr>
          <w:p w14:paraId="24E251C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1967414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14" w:type="pct"/>
            <w:tcBorders>
              <w:top w:val="nil"/>
              <w:left w:val="nil"/>
              <w:bottom w:val="single" w:sz="4" w:space="0" w:color="auto"/>
              <w:right w:val="single" w:sz="4" w:space="0" w:color="auto"/>
            </w:tcBorders>
            <w:shd w:val="clear" w:color="auto" w:fill="auto"/>
            <w:vAlign w:val="center"/>
            <w:hideMark/>
          </w:tcPr>
          <w:p w14:paraId="293F939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50" w:type="pct"/>
            <w:tcBorders>
              <w:top w:val="nil"/>
              <w:left w:val="nil"/>
              <w:bottom w:val="single" w:sz="4" w:space="0" w:color="auto"/>
              <w:right w:val="single" w:sz="4" w:space="0" w:color="auto"/>
            </w:tcBorders>
            <w:shd w:val="clear" w:color="auto" w:fill="auto"/>
            <w:vAlign w:val="center"/>
            <w:hideMark/>
          </w:tcPr>
          <w:p w14:paraId="070EB39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r>
      <w:tr w:rsidR="00794EB9" w:rsidRPr="00794EB9" w14:paraId="1F74D1F3" w14:textId="77777777" w:rsidTr="00C307FB">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0D95C36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3.2 Prevención Activa </w:t>
            </w:r>
          </w:p>
        </w:tc>
        <w:tc>
          <w:tcPr>
            <w:tcW w:w="475" w:type="pct"/>
            <w:tcBorders>
              <w:top w:val="nil"/>
              <w:left w:val="nil"/>
              <w:bottom w:val="single" w:sz="4" w:space="0" w:color="auto"/>
              <w:right w:val="single" w:sz="4" w:space="0" w:color="auto"/>
            </w:tcBorders>
            <w:shd w:val="clear" w:color="auto" w:fill="auto"/>
            <w:vAlign w:val="center"/>
            <w:hideMark/>
          </w:tcPr>
          <w:p w14:paraId="45753C0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3.2.1</w:t>
            </w:r>
          </w:p>
        </w:tc>
        <w:tc>
          <w:tcPr>
            <w:tcW w:w="1055" w:type="pct"/>
            <w:tcBorders>
              <w:top w:val="nil"/>
              <w:left w:val="nil"/>
              <w:bottom w:val="single" w:sz="4" w:space="0" w:color="auto"/>
              <w:right w:val="single" w:sz="4" w:space="0" w:color="auto"/>
            </w:tcBorders>
            <w:shd w:val="clear" w:color="auto" w:fill="auto"/>
            <w:vAlign w:val="center"/>
            <w:hideMark/>
          </w:tcPr>
          <w:p w14:paraId="3D8C9F9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3.2.1 Desarrollar y publicar el Programa para la Prevención Social de la Violencia y la Delincuencia del Municipio de León.</w:t>
            </w:r>
          </w:p>
        </w:tc>
        <w:tc>
          <w:tcPr>
            <w:tcW w:w="858" w:type="pct"/>
            <w:tcBorders>
              <w:top w:val="nil"/>
              <w:left w:val="nil"/>
              <w:bottom w:val="single" w:sz="4" w:space="0" w:color="auto"/>
              <w:right w:val="single" w:sz="4" w:space="0" w:color="auto"/>
            </w:tcBorders>
            <w:shd w:val="clear" w:color="auto" w:fill="auto"/>
            <w:vAlign w:val="center"/>
            <w:hideMark/>
          </w:tcPr>
          <w:p w14:paraId="56D2ABB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del Programa para la Prevención Social de la Violencia y la Delincuencia del Municipio de León</w:t>
            </w:r>
          </w:p>
        </w:tc>
        <w:tc>
          <w:tcPr>
            <w:tcW w:w="839" w:type="pct"/>
            <w:tcBorders>
              <w:top w:val="nil"/>
              <w:left w:val="nil"/>
              <w:bottom w:val="single" w:sz="4" w:space="0" w:color="auto"/>
              <w:right w:val="single" w:sz="4" w:space="0" w:color="auto"/>
            </w:tcBorders>
            <w:shd w:val="clear" w:color="auto" w:fill="auto"/>
            <w:vAlign w:val="center"/>
            <w:hideMark/>
          </w:tcPr>
          <w:p w14:paraId="6B13234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Elaborar y publicar el Programa</w:t>
            </w:r>
          </w:p>
        </w:tc>
        <w:tc>
          <w:tcPr>
            <w:tcW w:w="275" w:type="pct"/>
            <w:tcBorders>
              <w:top w:val="nil"/>
              <w:left w:val="nil"/>
              <w:bottom w:val="single" w:sz="4" w:space="0" w:color="auto"/>
              <w:right w:val="single" w:sz="4" w:space="0" w:color="auto"/>
            </w:tcBorders>
            <w:shd w:val="clear" w:color="auto" w:fill="auto"/>
            <w:vAlign w:val="center"/>
            <w:hideMark/>
          </w:tcPr>
          <w:p w14:paraId="583CA49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2984352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14" w:type="pct"/>
            <w:tcBorders>
              <w:top w:val="nil"/>
              <w:left w:val="nil"/>
              <w:bottom w:val="single" w:sz="4" w:space="0" w:color="auto"/>
              <w:right w:val="single" w:sz="4" w:space="0" w:color="auto"/>
            </w:tcBorders>
            <w:shd w:val="clear" w:color="auto" w:fill="auto"/>
            <w:vAlign w:val="center"/>
            <w:hideMark/>
          </w:tcPr>
          <w:p w14:paraId="4FF8581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055816F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0A0A68F3" w14:textId="77777777" w:rsidTr="00C307FB">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5FA72C2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VT. 3.2 Prevención Activa </w:t>
            </w:r>
          </w:p>
        </w:tc>
        <w:tc>
          <w:tcPr>
            <w:tcW w:w="475" w:type="pct"/>
            <w:tcBorders>
              <w:top w:val="nil"/>
              <w:left w:val="nil"/>
              <w:bottom w:val="single" w:sz="4" w:space="0" w:color="auto"/>
              <w:right w:val="single" w:sz="4" w:space="0" w:color="auto"/>
            </w:tcBorders>
            <w:shd w:val="clear" w:color="auto" w:fill="auto"/>
            <w:vAlign w:val="center"/>
            <w:hideMark/>
          </w:tcPr>
          <w:p w14:paraId="2B56661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3.2.2</w:t>
            </w:r>
          </w:p>
        </w:tc>
        <w:tc>
          <w:tcPr>
            <w:tcW w:w="1055" w:type="pct"/>
            <w:tcBorders>
              <w:top w:val="nil"/>
              <w:left w:val="nil"/>
              <w:bottom w:val="single" w:sz="4" w:space="0" w:color="auto"/>
              <w:right w:val="single" w:sz="4" w:space="0" w:color="auto"/>
            </w:tcBorders>
            <w:shd w:val="clear" w:color="auto" w:fill="auto"/>
            <w:vAlign w:val="center"/>
            <w:hideMark/>
          </w:tcPr>
          <w:p w14:paraId="2C97F6A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3.2.2 Cumplir con los 4 ejes del Programa de Prevención de la SSPPC que permitan el conocimiento permanente de la problemática delictiva, la participación de la comunidad y el trabajo con la sociedad civil organizada.</w:t>
            </w:r>
          </w:p>
        </w:tc>
        <w:tc>
          <w:tcPr>
            <w:tcW w:w="858" w:type="pct"/>
            <w:tcBorders>
              <w:top w:val="nil"/>
              <w:left w:val="nil"/>
              <w:bottom w:val="single" w:sz="4" w:space="0" w:color="auto"/>
              <w:right w:val="single" w:sz="4" w:space="0" w:color="auto"/>
            </w:tcBorders>
            <w:shd w:val="clear" w:color="auto" w:fill="auto"/>
            <w:vAlign w:val="center"/>
            <w:hideMark/>
          </w:tcPr>
          <w:p w14:paraId="5CDDF3C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cumplimiento de los ejes del programa</w:t>
            </w:r>
          </w:p>
        </w:tc>
        <w:tc>
          <w:tcPr>
            <w:tcW w:w="839" w:type="pct"/>
            <w:tcBorders>
              <w:top w:val="nil"/>
              <w:left w:val="nil"/>
              <w:bottom w:val="single" w:sz="4" w:space="0" w:color="auto"/>
              <w:right w:val="single" w:sz="4" w:space="0" w:color="auto"/>
            </w:tcBorders>
            <w:shd w:val="clear" w:color="auto" w:fill="auto"/>
            <w:vAlign w:val="center"/>
            <w:hideMark/>
          </w:tcPr>
          <w:p w14:paraId="49DEF3D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br/>
              <w:t xml:space="preserve">Cumplir al 100% los 4 ejes del Programa de Prevención de la SSPPC durante el trienio. </w:t>
            </w:r>
          </w:p>
        </w:tc>
        <w:tc>
          <w:tcPr>
            <w:tcW w:w="275" w:type="pct"/>
            <w:tcBorders>
              <w:top w:val="nil"/>
              <w:left w:val="nil"/>
              <w:bottom w:val="single" w:sz="4" w:space="0" w:color="auto"/>
              <w:right w:val="single" w:sz="4" w:space="0" w:color="auto"/>
            </w:tcBorders>
            <w:shd w:val="clear" w:color="auto" w:fill="auto"/>
            <w:vAlign w:val="center"/>
            <w:hideMark/>
          </w:tcPr>
          <w:p w14:paraId="093D35F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0C4BA9F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14" w:type="pct"/>
            <w:tcBorders>
              <w:top w:val="nil"/>
              <w:left w:val="nil"/>
              <w:bottom w:val="single" w:sz="4" w:space="0" w:color="auto"/>
              <w:right w:val="single" w:sz="4" w:space="0" w:color="auto"/>
            </w:tcBorders>
            <w:shd w:val="clear" w:color="auto" w:fill="auto"/>
            <w:vAlign w:val="center"/>
            <w:hideMark/>
          </w:tcPr>
          <w:p w14:paraId="4DC4E1F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50" w:type="pct"/>
            <w:tcBorders>
              <w:top w:val="nil"/>
              <w:left w:val="nil"/>
              <w:bottom w:val="single" w:sz="4" w:space="0" w:color="auto"/>
              <w:right w:val="single" w:sz="4" w:space="0" w:color="auto"/>
            </w:tcBorders>
            <w:shd w:val="clear" w:color="auto" w:fill="auto"/>
            <w:vAlign w:val="center"/>
            <w:hideMark/>
          </w:tcPr>
          <w:p w14:paraId="151CB9A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07F36E0B" w14:textId="77777777" w:rsidTr="00C307FB">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4C68F7B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3.2 Prevención Activa </w:t>
            </w:r>
          </w:p>
        </w:tc>
        <w:tc>
          <w:tcPr>
            <w:tcW w:w="475" w:type="pct"/>
            <w:tcBorders>
              <w:top w:val="nil"/>
              <w:left w:val="nil"/>
              <w:bottom w:val="single" w:sz="4" w:space="0" w:color="auto"/>
              <w:right w:val="single" w:sz="4" w:space="0" w:color="auto"/>
            </w:tcBorders>
            <w:shd w:val="clear" w:color="auto" w:fill="auto"/>
            <w:vAlign w:val="center"/>
            <w:hideMark/>
          </w:tcPr>
          <w:p w14:paraId="71F4CFB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3.2.3</w:t>
            </w:r>
          </w:p>
        </w:tc>
        <w:tc>
          <w:tcPr>
            <w:tcW w:w="1055" w:type="pct"/>
            <w:tcBorders>
              <w:top w:val="nil"/>
              <w:left w:val="nil"/>
              <w:bottom w:val="single" w:sz="4" w:space="0" w:color="auto"/>
              <w:right w:val="single" w:sz="4" w:space="0" w:color="auto"/>
            </w:tcBorders>
            <w:shd w:val="clear" w:color="auto" w:fill="auto"/>
            <w:vAlign w:val="center"/>
            <w:hideMark/>
          </w:tcPr>
          <w:p w14:paraId="57D2B42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3.2.3 Cubrir los accesos principales de la ciudad con arcos carreteros a través de un esquema de Seguridad Perimetral Urbana.</w:t>
            </w:r>
          </w:p>
        </w:tc>
        <w:tc>
          <w:tcPr>
            <w:tcW w:w="858" w:type="pct"/>
            <w:tcBorders>
              <w:top w:val="nil"/>
              <w:left w:val="nil"/>
              <w:bottom w:val="single" w:sz="4" w:space="0" w:color="auto"/>
              <w:right w:val="single" w:sz="4" w:space="0" w:color="auto"/>
            </w:tcBorders>
            <w:shd w:val="clear" w:color="auto" w:fill="auto"/>
            <w:vAlign w:val="center"/>
            <w:hideMark/>
          </w:tcPr>
          <w:p w14:paraId="4956B11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puntos implementados respecto del total previsto </w:t>
            </w:r>
          </w:p>
        </w:tc>
        <w:tc>
          <w:tcPr>
            <w:tcW w:w="839" w:type="pct"/>
            <w:tcBorders>
              <w:top w:val="nil"/>
              <w:left w:val="nil"/>
              <w:bottom w:val="single" w:sz="4" w:space="0" w:color="auto"/>
              <w:right w:val="single" w:sz="4" w:space="0" w:color="auto"/>
            </w:tcBorders>
            <w:shd w:val="clear" w:color="auto" w:fill="auto"/>
            <w:vAlign w:val="center"/>
            <w:hideMark/>
          </w:tcPr>
          <w:p w14:paraId="1DD550B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Implementar al 100%, 11 puntos estratégicos de la seguridad perimetral urbana durante el trienio.</w:t>
            </w:r>
          </w:p>
        </w:tc>
        <w:tc>
          <w:tcPr>
            <w:tcW w:w="275" w:type="pct"/>
            <w:tcBorders>
              <w:top w:val="nil"/>
              <w:left w:val="nil"/>
              <w:bottom w:val="single" w:sz="4" w:space="0" w:color="auto"/>
              <w:right w:val="single" w:sz="4" w:space="0" w:color="auto"/>
            </w:tcBorders>
            <w:shd w:val="clear" w:color="auto" w:fill="auto"/>
            <w:vAlign w:val="center"/>
            <w:hideMark/>
          </w:tcPr>
          <w:p w14:paraId="1B85881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6CC3BD5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27%</w:t>
            </w:r>
          </w:p>
        </w:tc>
        <w:tc>
          <w:tcPr>
            <w:tcW w:w="314" w:type="pct"/>
            <w:tcBorders>
              <w:top w:val="nil"/>
              <w:left w:val="nil"/>
              <w:bottom w:val="single" w:sz="4" w:space="0" w:color="auto"/>
              <w:right w:val="single" w:sz="4" w:space="0" w:color="auto"/>
            </w:tcBorders>
            <w:shd w:val="clear" w:color="auto" w:fill="auto"/>
            <w:vAlign w:val="center"/>
            <w:hideMark/>
          </w:tcPr>
          <w:p w14:paraId="2C448A2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55%</w:t>
            </w:r>
          </w:p>
        </w:tc>
        <w:tc>
          <w:tcPr>
            <w:tcW w:w="350" w:type="pct"/>
            <w:tcBorders>
              <w:top w:val="nil"/>
              <w:left w:val="nil"/>
              <w:bottom w:val="single" w:sz="4" w:space="0" w:color="auto"/>
              <w:right w:val="single" w:sz="4" w:space="0" w:color="auto"/>
            </w:tcBorders>
            <w:shd w:val="clear" w:color="auto" w:fill="auto"/>
            <w:vAlign w:val="center"/>
            <w:hideMark/>
          </w:tcPr>
          <w:p w14:paraId="5C74CD4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18%</w:t>
            </w:r>
          </w:p>
        </w:tc>
      </w:tr>
      <w:tr w:rsidR="00794EB9" w:rsidRPr="00794EB9" w14:paraId="389ED0FA" w14:textId="77777777" w:rsidTr="00C307FB">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20D1424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VT. 3.2 Prevención Activa </w:t>
            </w:r>
          </w:p>
        </w:tc>
        <w:tc>
          <w:tcPr>
            <w:tcW w:w="475" w:type="pct"/>
            <w:tcBorders>
              <w:top w:val="nil"/>
              <w:left w:val="nil"/>
              <w:bottom w:val="single" w:sz="4" w:space="0" w:color="auto"/>
              <w:right w:val="single" w:sz="4" w:space="0" w:color="auto"/>
            </w:tcBorders>
            <w:shd w:val="clear" w:color="auto" w:fill="auto"/>
            <w:vAlign w:val="center"/>
            <w:hideMark/>
          </w:tcPr>
          <w:p w14:paraId="16E8BD6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3.2.4</w:t>
            </w:r>
          </w:p>
        </w:tc>
        <w:tc>
          <w:tcPr>
            <w:tcW w:w="1055" w:type="pct"/>
            <w:tcBorders>
              <w:top w:val="nil"/>
              <w:left w:val="nil"/>
              <w:bottom w:val="single" w:sz="4" w:space="0" w:color="auto"/>
              <w:right w:val="single" w:sz="4" w:space="0" w:color="auto"/>
            </w:tcBorders>
            <w:shd w:val="clear" w:color="auto" w:fill="auto"/>
            <w:vAlign w:val="center"/>
            <w:hideMark/>
          </w:tcPr>
          <w:p w14:paraId="79B67B1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3.2.4 Reactivar los Comités de Seguridad Urbana para el trabajo permanente en materia de prevención del delito en el municipio.</w:t>
            </w:r>
          </w:p>
        </w:tc>
        <w:tc>
          <w:tcPr>
            <w:tcW w:w="858" w:type="pct"/>
            <w:tcBorders>
              <w:top w:val="nil"/>
              <w:left w:val="nil"/>
              <w:bottom w:val="single" w:sz="4" w:space="0" w:color="auto"/>
              <w:right w:val="single" w:sz="4" w:space="0" w:color="auto"/>
            </w:tcBorders>
            <w:shd w:val="clear" w:color="auto" w:fill="auto"/>
            <w:vAlign w:val="center"/>
            <w:hideMark/>
          </w:tcPr>
          <w:p w14:paraId="689E2D4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comités de seguridad urbana reactivados respecto del total previsto </w:t>
            </w:r>
          </w:p>
        </w:tc>
        <w:tc>
          <w:tcPr>
            <w:tcW w:w="839" w:type="pct"/>
            <w:tcBorders>
              <w:top w:val="nil"/>
              <w:left w:val="nil"/>
              <w:bottom w:val="single" w:sz="4" w:space="0" w:color="auto"/>
              <w:right w:val="single" w:sz="4" w:space="0" w:color="auto"/>
            </w:tcBorders>
            <w:shd w:val="clear" w:color="auto" w:fill="auto"/>
            <w:vAlign w:val="center"/>
            <w:hideMark/>
          </w:tcPr>
          <w:p w14:paraId="173BCE8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Reactivar al 100%, 500 comités de seguridad urbana, durante el trienio</w:t>
            </w:r>
          </w:p>
        </w:tc>
        <w:tc>
          <w:tcPr>
            <w:tcW w:w="275" w:type="pct"/>
            <w:tcBorders>
              <w:top w:val="nil"/>
              <w:left w:val="nil"/>
              <w:bottom w:val="single" w:sz="4" w:space="0" w:color="auto"/>
              <w:right w:val="single" w:sz="4" w:space="0" w:color="auto"/>
            </w:tcBorders>
            <w:shd w:val="clear" w:color="auto" w:fill="auto"/>
            <w:vAlign w:val="center"/>
            <w:hideMark/>
          </w:tcPr>
          <w:p w14:paraId="6C6F647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086EFFE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20%</w:t>
            </w:r>
          </w:p>
        </w:tc>
        <w:tc>
          <w:tcPr>
            <w:tcW w:w="314" w:type="pct"/>
            <w:tcBorders>
              <w:top w:val="nil"/>
              <w:left w:val="nil"/>
              <w:bottom w:val="single" w:sz="4" w:space="0" w:color="auto"/>
              <w:right w:val="single" w:sz="4" w:space="0" w:color="auto"/>
            </w:tcBorders>
            <w:shd w:val="clear" w:color="auto" w:fill="auto"/>
            <w:vAlign w:val="center"/>
            <w:hideMark/>
          </w:tcPr>
          <w:p w14:paraId="255B26F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50" w:type="pct"/>
            <w:tcBorders>
              <w:top w:val="nil"/>
              <w:left w:val="nil"/>
              <w:bottom w:val="single" w:sz="4" w:space="0" w:color="auto"/>
              <w:right w:val="single" w:sz="4" w:space="0" w:color="auto"/>
            </w:tcBorders>
            <w:shd w:val="clear" w:color="auto" w:fill="auto"/>
            <w:vAlign w:val="center"/>
            <w:hideMark/>
          </w:tcPr>
          <w:p w14:paraId="34F1BAF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r>
      <w:tr w:rsidR="00794EB9" w:rsidRPr="00794EB9" w14:paraId="26F69FB5" w14:textId="77777777" w:rsidTr="00C307FB">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3FC3DD9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3.2 Prevención Activa </w:t>
            </w:r>
          </w:p>
        </w:tc>
        <w:tc>
          <w:tcPr>
            <w:tcW w:w="475" w:type="pct"/>
            <w:tcBorders>
              <w:top w:val="nil"/>
              <w:left w:val="nil"/>
              <w:bottom w:val="single" w:sz="4" w:space="0" w:color="auto"/>
              <w:right w:val="single" w:sz="4" w:space="0" w:color="auto"/>
            </w:tcBorders>
            <w:shd w:val="clear" w:color="auto" w:fill="auto"/>
            <w:vAlign w:val="center"/>
            <w:hideMark/>
          </w:tcPr>
          <w:p w14:paraId="5818AA5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VT.3.2.5</w:t>
            </w:r>
          </w:p>
        </w:tc>
        <w:tc>
          <w:tcPr>
            <w:tcW w:w="1055" w:type="pct"/>
            <w:tcBorders>
              <w:top w:val="nil"/>
              <w:left w:val="nil"/>
              <w:bottom w:val="single" w:sz="4" w:space="0" w:color="auto"/>
              <w:right w:val="single" w:sz="4" w:space="0" w:color="auto"/>
            </w:tcBorders>
            <w:shd w:val="clear" w:color="auto" w:fill="auto"/>
            <w:vAlign w:val="center"/>
            <w:hideMark/>
          </w:tcPr>
          <w:p w14:paraId="454CC10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3.2.5 Construir y mantener entornos seguros en escuelas en zonas de alta incidencia delictiva</w:t>
            </w:r>
          </w:p>
        </w:tc>
        <w:tc>
          <w:tcPr>
            <w:tcW w:w="858" w:type="pct"/>
            <w:tcBorders>
              <w:top w:val="nil"/>
              <w:left w:val="nil"/>
              <w:bottom w:val="single" w:sz="4" w:space="0" w:color="auto"/>
              <w:right w:val="single" w:sz="4" w:space="0" w:color="auto"/>
            </w:tcBorders>
            <w:shd w:val="clear" w:color="auto" w:fill="auto"/>
            <w:vAlign w:val="center"/>
            <w:hideMark/>
          </w:tcPr>
          <w:p w14:paraId="2C96CE9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construcción y mantenimiento de entornos seguros respecto de lo previsto.</w:t>
            </w:r>
          </w:p>
        </w:tc>
        <w:tc>
          <w:tcPr>
            <w:tcW w:w="839" w:type="pct"/>
            <w:tcBorders>
              <w:top w:val="nil"/>
              <w:left w:val="nil"/>
              <w:bottom w:val="single" w:sz="4" w:space="0" w:color="auto"/>
              <w:right w:val="single" w:sz="4" w:space="0" w:color="auto"/>
            </w:tcBorders>
            <w:shd w:val="clear" w:color="auto" w:fill="auto"/>
            <w:vAlign w:val="center"/>
            <w:hideMark/>
          </w:tcPr>
          <w:p w14:paraId="3080398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Instalar al 100% alarmas, luminarias y acciones de mantenimiento en 30 escuelas anualmente durante el trienio.</w:t>
            </w:r>
          </w:p>
        </w:tc>
        <w:tc>
          <w:tcPr>
            <w:tcW w:w="275" w:type="pct"/>
            <w:tcBorders>
              <w:top w:val="nil"/>
              <w:left w:val="nil"/>
              <w:bottom w:val="single" w:sz="4" w:space="0" w:color="auto"/>
              <w:right w:val="single" w:sz="4" w:space="0" w:color="auto"/>
            </w:tcBorders>
            <w:shd w:val="clear" w:color="auto" w:fill="auto"/>
            <w:vAlign w:val="center"/>
            <w:hideMark/>
          </w:tcPr>
          <w:p w14:paraId="422C564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39F7826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14" w:type="pct"/>
            <w:tcBorders>
              <w:top w:val="nil"/>
              <w:left w:val="nil"/>
              <w:bottom w:val="single" w:sz="4" w:space="0" w:color="auto"/>
              <w:right w:val="single" w:sz="4" w:space="0" w:color="auto"/>
            </w:tcBorders>
            <w:shd w:val="clear" w:color="auto" w:fill="auto"/>
            <w:vAlign w:val="center"/>
            <w:hideMark/>
          </w:tcPr>
          <w:p w14:paraId="6753106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78A9D8F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35C6A755" w14:textId="77777777" w:rsidTr="00C307FB">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5E5999F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3.3 Tolerancia Cero</w:t>
            </w:r>
          </w:p>
        </w:tc>
        <w:tc>
          <w:tcPr>
            <w:tcW w:w="475" w:type="pct"/>
            <w:tcBorders>
              <w:top w:val="nil"/>
              <w:left w:val="nil"/>
              <w:bottom w:val="single" w:sz="4" w:space="0" w:color="auto"/>
              <w:right w:val="single" w:sz="4" w:space="0" w:color="auto"/>
            </w:tcBorders>
            <w:shd w:val="clear" w:color="auto" w:fill="auto"/>
            <w:vAlign w:val="center"/>
            <w:hideMark/>
          </w:tcPr>
          <w:p w14:paraId="2E74E0A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3.3.1</w:t>
            </w:r>
          </w:p>
        </w:tc>
        <w:tc>
          <w:tcPr>
            <w:tcW w:w="1055" w:type="pct"/>
            <w:tcBorders>
              <w:top w:val="nil"/>
              <w:left w:val="nil"/>
              <w:bottom w:val="single" w:sz="4" w:space="0" w:color="auto"/>
              <w:right w:val="single" w:sz="4" w:space="0" w:color="auto"/>
            </w:tcBorders>
            <w:shd w:val="clear" w:color="auto" w:fill="auto"/>
            <w:vAlign w:val="center"/>
            <w:hideMark/>
          </w:tcPr>
          <w:p w14:paraId="54DABEB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3.3.1 Cubrir las vialidades primarias de la ciudad con equipamiento tecnológico para disminuir la accidentalidad y detectar posibles delitos y faltas al reglamento de policía y vialidad. </w:t>
            </w:r>
          </w:p>
        </w:tc>
        <w:tc>
          <w:tcPr>
            <w:tcW w:w="858" w:type="pct"/>
            <w:tcBorders>
              <w:top w:val="nil"/>
              <w:left w:val="nil"/>
              <w:bottom w:val="single" w:sz="4" w:space="0" w:color="auto"/>
              <w:right w:val="single" w:sz="4" w:space="0" w:color="auto"/>
            </w:tcBorders>
            <w:shd w:val="clear" w:color="auto" w:fill="auto"/>
            <w:vAlign w:val="center"/>
            <w:hideMark/>
          </w:tcPr>
          <w:p w14:paraId="66D3ECE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vialidades primarias de la ciudad cubiertas con equipamiento respecto del total  </w:t>
            </w:r>
          </w:p>
        </w:tc>
        <w:tc>
          <w:tcPr>
            <w:tcW w:w="839" w:type="pct"/>
            <w:tcBorders>
              <w:top w:val="nil"/>
              <w:left w:val="nil"/>
              <w:bottom w:val="single" w:sz="4" w:space="0" w:color="auto"/>
              <w:right w:val="single" w:sz="4" w:space="0" w:color="auto"/>
            </w:tcBorders>
            <w:shd w:val="clear" w:color="auto" w:fill="auto"/>
            <w:vAlign w:val="center"/>
            <w:hideMark/>
          </w:tcPr>
          <w:p w14:paraId="6B33C25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Cobertura del 100% de las vialidades primarias de la ciudad con equipamiento tecnológico para 2024.</w:t>
            </w:r>
          </w:p>
        </w:tc>
        <w:tc>
          <w:tcPr>
            <w:tcW w:w="275" w:type="pct"/>
            <w:tcBorders>
              <w:top w:val="nil"/>
              <w:left w:val="nil"/>
              <w:bottom w:val="single" w:sz="4" w:space="0" w:color="auto"/>
              <w:right w:val="single" w:sz="4" w:space="0" w:color="auto"/>
            </w:tcBorders>
            <w:shd w:val="clear" w:color="auto" w:fill="auto"/>
            <w:vAlign w:val="center"/>
            <w:hideMark/>
          </w:tcPr>
          <w:p w14:paraId="3BB26EF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47572BB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20%</w:t>
            </w:r>
          </w:p>
        </w:tc>
        <w:tc>
          <w:tcPr>
            <w:tcW w:w="314" w:type="pct"/>
            <w:tcBorders>
              <w:top w:val="nil"/>
              <w:left w:val="nil"/>
              <w:bottom w:val="single" w:sz="4" w:space="0" w:color="auto"/>
              <w:right w:val="single" w:sz="4" w:space="0" w:color="auto"/>
            </w:tcBorders>
            <w:shd w:val="clear" w:color="auto" w:fill="auto"/>
            <w:vAlign w:val="center"/>
            <w:hideMark/>
          </w:tcPr>
          <w:p w14:paraId="76357B6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50" w:type="pct"/>
            <w:tcBorders>
              <w:top w:val="nil"/>
              <w:left w:val="nil"/>
              <w:bottom w:val="single" w:sz="4" w:space="0" w:color="auto"/>
              <w:right w:val="single" w:sz="4" w:space="0" w:color="auto"/>
            </w:tcBorders>
            <w:shd w:val="clear" w:color="auto" w:fill="auto"/>
            <w:vAlign w:val="center"/>
            <w:hideMark/>
          </w:tcPr>
          <w:p w14:paraId="7CCBE96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r>
      <w:tr w:rsidR="00794EB9" w:rsidRPr="00794EB9" w14:paraId="3CB9A598" w14:textId="77777777" w:rsidTr="00C307FB">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210E2C4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3.3 Tolerancia Cero</w:t>
            </w:r>
          </w:p>
        </w:tc>
        <w:tc>
          <w:tcPr>
            <w:tcW w:w="475" w:type="pct"/>
            <w:tcBorders>
              <w:top w:val="nil"/>
              <w:left w:val="nil"/>
              <w:bottom w:val="single" w:sz="4" w:space="0" w:color="auto"/>
              <w:right w:val="single" w:sz="4" w:space="0" w:color="auto"/>
            </w:tcBorders>
            <w:shd w:val="clear" w:color="auto" w:fill="auto"/>
            <w:vAlign w:val="center"/>
            <w:hideMark/>
          </w:tcPr>
          <w:p w14:paraId="37C5E68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3.3.2</w:t>
            </w:r>
          </w:p>
        </w:tc>
        <w:tc>
          <w:tcPr>
            <w:tcW w:w="1055" w:type="pct"/>
            <w:tcBorders>
              <w:top w:val="nil"/>
              <w:left w:val="nil"/>
              <w:bottom w:val="single" w:sz="4" w:space="0" w:color="auto"/>
              <w:right w:val="single" w:sz="4" w:space="0" w:color="auto"/>
            </w:tcBorders>
            <w:shd w:val="clear" w:color="auto" w:fill="auto"/>
            <w:vAlign w:val="center"/>
            <w:hideMark/>
          </w:tcPr>
          <w:p w14:paraId="3E28B19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3.3.2 Desarrollar un software y sistematizar el proceso del cumplimiento de la prerrogativa de actividades comunitarias.</w:t>
            </w:r>
          </w:p>
        </w:tc>
        <w:tc>
          <w:tcPr>
            <w:tcW w:w="858" w:type="pct"/>
            <w:tcBorders>
              <w:top w:val="nil"/>
              <w:left w:val="nil"/>
              <w:bottom w:val="single" w:sz="4" w:space="0" w:color="auto"/>
              <w:right w:val="single" w:sz="4" w:space="0" w:color="auto"/>
            </w:tcBorders>
            <w:shd w:val="clear" w:color="auto" w:fill="auto"/>
            <w:vAlign w:val="center"/>
            <w:hideMark/>
          </w:tcPr>
          <w:p w14:paraId="3A32AA3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el desarrollo del software y del sistema del proceso del cumplimiento de la prerrogativa de actividades comunitarias.</w:t>
            </w:r>
          </w:p>
        </w:tc>
        <w:tc>
          <w:tcPr>
            <w:tcW w:w="839" w:type="pct"/>
            <w:tcBorders>
              <w:top w:val="nil"/>
              <w:left w:val="nil"/>
              <w:bottom w:val="single" w:sz="4" w:space="0" w:color="auto"/>
              <w:right w:val="single" w:sz="4" w:space="0" w:color="auto"/>
            </w:tcBorders>
            <w:shd w:val="clear" w:color="auto" w:fill="auto"/>
            <w:vAlign w:val="center"/>
            <w:hideMark/>
          </w:tcPr>
          <w:p w14:paraId="44B8626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Implementar al 100% el software y sistematización del proceso del cumplimiento de la prerrogativa de actividades comunitarias para 2022</w:t>
            </w:r>
          </w:p>
        </w:tc>
        <w:tc>
          <w:tcPr>
            <w:tcW w:w="275" w:type="pct"/>
            <w:tcBorders>
              <w:top w:val="nil"/>
              <w:left w:val="nil"/>
              <w:bottom w:val="single" w:sz="4" w:space="0" w:color="auto"/>
              <w:right w:val="single" w:sz="4" w:space="0" w:color="auto"/>
            </w:tcBorders>
            <w:shd w:val="clear" w:color="auto" w:fill="auto"/>
            <w:vAlign w:val="center"/>
            <w:hideMark/>
          </w:tcPr>
          <w:p w14:paraId="70A32D1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3F06470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14" w:type="pct"/>
            <w:tcBorders>
              <w:top w:val="nil"/>
              <w:left w:val="nil"/>
              <w:bottom w:val="single" w:sz="4" w:space="0" w:color="auto"/>
              <w:right w:val="single" w:sz="4" w:space="0" w:color="auto"/>
            </w:tcBorders>
            <w:shd w:val="clear" w:color="auto" w:fill="auto"/>
            <w:vAlign w:val="center"/>
            <w:hideMark/>
          </w:tcPr>
          <w:p w14:paraId="6EE0299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28A77ED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7BBDEEF7" w14:textId="77777777" w:rsidTr="00C307FB">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3912877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3.3 Tolerancia Cero</w:t>
            </w:r>
          </w:p>
        </w:tc>
        <w:tc>
          <w:tcPr>
            <w:tcW w:w="475" w:type="pct"/>
            <w:tcBorders>
              <w:top w:val="nil"/>
              <w:left w:val="nil"/>
              <w:bottom w:val="single" w:sz="4" w:space="0" w:color="auto"/>
              <w:right w:val="single" w:sz="4" w:space="0" w:color="auto"/>
            </w:tcBorders>
            <w:shd w:val="clear" w:color="auto" w:fill="auto"/>
            <w:vAlign w:val="center"/>
            <w:hideMark/>
          </w:tcPr>
          <w:p w14:paraId="16E4CD5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3.3.3</w:t>
            </w:r>
          </w:p>
        </w:tc>
        <w:tc>
          <w:tcPr>
            <w:tcW w:w="1055" w:type="pct"/>
            <w:tcBorders>
              <w:top w:val="nil"/>
              <w:left w:val="nil"/>
              <w:bottom w:val="single" w:sz="4" w:space="0" w:color="auto"/>
              <w:right w:val="single" w:sz="4" w:space="0" w:color="auto"/>
            </w:tcBorders>
            <w:shd w:val="clear" w:color="auto" w:fill="auto"/>
            <w:vAlign w:val="center"/>
            <w:hideMark/>
          </w:tcPr>
          <w:p w14:paraId="62A6FB1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3.3.3 Realizar una campaña de difusión de cultura de la legalidad y justicia cívica (reglamentos).</w:t>
            </w:r>
          </w:p>
        </w:tc>
        <w:tc>
          <w:tcPr>
            <w:tcW w:w="858" w:type="pct"/>
            <w:tcBorders>
              <w:top w:val="nil"/>
              <w:left w:val="nil"/>
              <w:bottom w:val="single" w:sz="4" w:space="0" w:color="auto"/>
              <w:right w:val="single" w:sz="4" w:space="0" w:color="auto"/>
            </w:tcBorders>
            <w:shd w:val="clear" w:color="auto" w:fill="auto"/>
            <w:vAlign w:val="center"/>
            <w:hideMark/>
          </w:tcPr>
          <w:p w14:paraId="3AFAA14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implementación de la campaña realizada respecto del total </w:t>
            </w:r>
          </w:p>
        </w:tc>
        <w:tc>
          <w:tcPr>
            <w:tcW w:w="839" w:type="pct"/>
            <w:tcBorders>
              <w:top w:val="nil"/>
              <w:left w:val="nil"/>
              <w:bottom w:val="single" w:sz="4" w:space="0" w:color="auto"/>
              <w:right w:val="single" w:sz="4" w:space="0" w:color="auto"/>
            </w:tcBorders>
            <w:shd w:val="clear" w:color="auto" w:fill="auto"/>
            <w:vAlign w:val="center"/>
            <w:hideMark/>
          </w:tcPr>
          <w:p w14:paraId="3C0AF6E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Implementar la campaña integral de difusión del cumplimiento de las leyes y reglamentos para el 2022</w:t>
            </w:r>
          </w:p>
        </w:tc>
        <w:tc>
          <w:tcPr>
            <w:tcW w:w="275" w:type="pct"/>
            <w:tcBorders>
              <w:top w:val="nil"/>
              <w:left w:val="nil"/>
              <w:bottom w:val="single" w:sz="4" w:space="0" w:color="auto"/>
              <w:right w:val="single" w:sz="4" w:space="0" w:color="auto"/>
            </w:tcBorders>
            <w:shd w:val="clear" w:color="auto" w:fill="auto"/>
            <w:vAlign w:val="center"/>
            <w:hideMark/>
          </w:tcPr>
          <w:p w14:paraId="0BAF571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60ACA5E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33.33%</w:t>
            </w:r>
          </w:p>
        </w:tc>
        <w:tc>
          <w:tcPr>
            <w:tcW w:w="314" w:type="pct"/>
            <w:tcBorders>
              <w:top w:val="nil"/>
              <w:left w:val="nil"/>
              <w:bottom w:val="single" w:sz="4" w:space="0" w:color="auto"/>
              <w:right w:val="single" w:sz="4" w:space="0" w:color="auto"/>
            </w:tcBorders>
            <w:shd w:val="clear" w:color="auto" w:fill="auto"/>
            <w:vAlign w:val="center"/>
            <w:hideMark/>
          </w:tcPr>
          <w:p w14:paraId="5A668B7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33.33%</w:t>
            </w:r>
          </w:p>
        </w:tc>
        <w:tc>
          <w:tcPr>
            <w:tcW w:w="350" w:type="pct"/>
            <w:tcBorders>
              <w:top w:val="nil"/>
              <w:left w:val="nil"/>
              <w:bottom w:val="single" w:sz="4" w:space="0" w:color="auto"/>
              <w:right w:val="single" w:sz="4" w:space="0" w:color="auto"/>
            </w:tcBorders>
            <w:shd w:val="clear" w:color="auto" w:fill="auto"/>
            <w:vAlign w:val="center"/>
            <w:hideMark/>
          </w:tcPr>
          <w:p w14:paraId="2B01B65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33.33%</w:t>
            </w:r>
          </w:p>
        </w:tc>
      </w:tr>
    </w:tbl>
    <w:p w14:paraId="40856A20" w14:textId="77777777" w:rsidR="00794EB9" w:rsidRPr="00794EB9" w:rsidRDefault="00794EB9" w:rsidP="00794EB9">
      <w:pPr>
        <w:ind w:leftChars="-194" w:left="-388" w:firstLine="1"/>
        <w:rPr>
          <w:rFonts w:ascii="Arial" w:hAnsi="Arial" w:cs="Arial"/>
          <w:sz w:val="22"/>
          <w:szCs w:val="22"/>
        </w:rPr>
      </w:pPr>
    </w:p>
    <w:p w14:paraId="594512C8"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BANDERA. VIVIR TRANQUILO</w:t>
      </w:r>
    </w:p>
    <w:p w14:paraId="49EE7599"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Estrategia 2.  CULTURA E IDENTIDAD</w:t>
      </w:r>
    </w:p>
    <w:p w14:paraId="5C223A7C"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PROGRAMA: VT4. LEÓN CIUDAD EMOCIÓN</w:t>
      </w:r>
    </w:p>
    <w:p w14:paraId="282A80F6" w14:textId="77777777" w:rsidR="00794EB9" w:rsidRPr="00794EB9" w:rsidRDefault="00794EB9" w:rsidP="00794EB9">
      <w:pPr>
        <w:spacing w:line="259" w:lineRule="auto"/>
        <w:jc w:val="both"/>
        <w:rPr>
          <w:rFonts w:ascii="Arial" w:hAnsi="Arial" w:cs="Arial"/>
          <w:sz w:val="22"/>
          <w:szCs w:val="22"/>
          <w:lang w:eastAsia="es-MX"/>
        </w:rPr>
      </w:pPr>
      <w:r w:rsidRPr="00794EB9">
        <w:rPr>
          <w:rFonts w:ascii="Arial" w:hAnsi="Arial" w:cs="Arial"/>
          <w:i/>
          <w:iCs/>
          <w:sz w:val="22"/>
          <w:szCs w:val="22"/>
          <w:lang w:eastAsia="es-MX"/>
        </w:rPr>
        <w:t xml:space="preserve">Objetivo del programa: </w:t>
      </w:r>
      <w:r w:rsidRPr="00794EB9">
        <w:rPr>
          <w:rFonts w:ascii="Arial" w:hAnsi="Arial" w:cs="Arial"/>
          <w:sz w:val="22"/>
          <w:szCs w:val="22"/>
          <w:lang w:eastAsia="es-MX"/>
        </w:rPr>
        <w:t>Desarrollar una intensa promoción de actividades artísticas, culturales y científicas en colaboración con la iniciativa privada y organizaciones sociales, que ayuden a mejorar las condiciones de convivencia social, la conservación del patrimonio cultural y el fortalecimiento de la identidad local.</w:t>
      </w:r>
    </w:p>
    <w:p w14:paraId="01A23603" w14:textId="77777777" w:rsidR="00794EB9" w:rsidRPr="00794EB9" w:rsidRDefault="00794EB9" w:rsidP="00794EB9">
      <w:pPr>
        <w:spacing w:line="259" w:lineRule="auto"/>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154"/>
        <w:gridCol w:w="1055"/>
        <w:gridCol w:w="1253"/>
        <w:gridCol w:w="1352"/>
        <w:gridCol w:w="1352"/>
        <w:gridCol w:w="598"/>
        <w:gridCol w:w="688"/>
        <w:gridCol w:w="688"/>
        <w:gridCol w:w="688"/>
      </w:tblGrid>
      <w:tr w:rsidR="00794EB9" w:rsidRPr="00794EB9" w14:paraId="163407B7" w14:textId="77777777" w:rsidTr="00C307FB">
        <w:trPr>
          <w:cantSplit/>
          <w:trHeight w:val="57"/>
          <w:tblHeader/>
        </w:trPr>
        <w:tc>
          <w:tcPr>
            <w:tcW w:w="5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FEBFFF"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PROYECTOS </w:t>
            </w:r>
          </w:p>
        </w:tc>
        <w:tc>
          <w:tcPr>
            <w:tcW w:w="60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618683D"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72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163BFDA"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78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AC40A47"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78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DCB17D7"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9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35E68F9"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39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7EDF870"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9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F60D4AE"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9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0CBD195"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59642821" w14:textId="77777777" w:rsidTr="00C307FB">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6518AF0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4.1 Patrimonio Cultural e Identidad Leonesa </w:t>
            </w:r>
          </w:p>
        </w:tc>
        <w:tc>
          <w:tcPr>
            <w:tcW w:w="608" w:type="pct"/>
            <w:tcBorders>
              <w:top w:val="nil"/>
              <w:left w:val="nil"/>
              <w:bottom w:val="single" w:sz="4" w:space="0" w:color="auto"/>
              <w:right w:val="single" w:sz="4" w:space="0" w:color="auto"/>
            </w:tcBorders>
            <w:shd w:val="clear" w:color="auto" w:fill="auto"/>
            <w:vAlign w:val="center"/>
            <w:hideMark/>
          </w:tcPr>
          <w:p w14:paraId="7EFE83B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4.1.1</w:t>
            </w:r>
          </w:p>
        </w:tc>
        <w:tc>
          <w:tcPr>
            <w:tcW w:w="724" w:type="pct"/>
            <w:tcBorders>
              <w:top w:val="nil"/>
              <w:left w:val="nil"/>
              <w:bottom w:val="single" w:sz="4" w:space="0" w:color="auto"/>
              <w:right w:val="single" w:sz="4" w:space="0" w:color="auto"/>
            </w:tcBorders>
            <w:shd w:val="clear" w:color="auto" w:fill="auto"/>
            <w:vAlign w:val="center"/>
            <w:hideMark/>
          </w:tcPr>
          <w:p w14:paraId="050EFE5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4.1.1 Desarrollar el Plan de Manejo de la Ciudad Histórica.</w:t>
            </w:r>
          </w:p>
        </w:tc>
        <w:tc>
          <w:tcPr>
            <w:tcW w:w="783" w:type="pct"/>
            <w:tcBorders>
              <w:top w:val="nil"/>
              <w:left w:val="nil"/>
              <w:bottom w:val="single" w:sz="4" w:space="0" w:color="auto"/>
              <w:right w:val="single" w:sz="4" w:space="0" w:color="auto"/>
            </w:tcBorders>
            <w:shd w:val="clear" w:color="auto" w:fill="auto"/>
            <w:vAlign w:val="center"/>
            <w:hideMark/>
          </w:tcPr>
          <w:p w14:paraId="2B3FE56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del Plan de Manejo</w:t>
            </w:r>
          </w:p>
        </w:tc>
        <w:tc>
          <w:tcPr>
            <w:tcW w:w="783" w:type="pct"/>
            <w:tcBorders>
              <w:top w:val="nil"/>
              <w:left w:val="nil"/>
              <w:bottom w:val="single" w:sz="4" w:space="0" w:color="auto"/>
              <w:right w:val="single" w:sz="4" w:space="0" w:color="auto"/>
            </w:tcBorders>
            <w:shd w:val="clear" w:color="auto" w:fill="auto"/>
            <w:vAlign w:val="center"/>
            <w:hideMark/>
          </w:tcPr>
          <w:p w14:paraId="4D50C18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Elaborar el Plan de Manejo de la Ciudad Histórica para 2022.</w:t>
            </w:r>
          </w:p>
        </w:tc>
        <w:tc>
          <w:tcPr>
            <w:tcW w:w="391" w:type="pct"/>
            <w:tcBorders>
              <w:top w:val="nil"/>
              <w:left w:val="nil"/>
              <w:bottom w:val="single" w:sz="4" w:space="0" w:color="auto"/>
              <w:right w:val="single" w:sz="4" w:space="0" w:color="auto"/>
            </w:tcBorders>
            <w:shd w:val="clear" w:color="auto" w:fill="auto"/>
            <w:vAlign w:val="center"/>
            <w:hideMark/>
          </w:tcPr>
          <w:p w14:paraId="2E1CACA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1D18A2B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91" w:type="pct"/>
            <w:tcBorders>
              <w:top w:val="nil"/>
              <w:left w:val="nil"/>
              <w:bottom w:val="single" w:sz="4" w:space="0" w:color="auto"/>
              <w:right w:val="single" w:sz="4" w:space="0" w:color="auto"/>
            </w:tcBorders>
            <w:shd w:val="clear" w:color="auto" w:fill="auto"/>
            <w:vAlign w:val="center"/>
            <w:hideMark/>
          </w:tcPr>
          <w:p w14:paraId="55271FB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58F8BC7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0B0588A3" w14:textId="77777777" w:rsidTr="00C307FB">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72646B9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4.1 Patrimonio Cultural e Identidad Leonesa </w:t>
            </w:r>
          </w:p>
        </w:tc>
        <w:tc>
          <w:tcPr>
            <w:tcW w:w="608" w:type="pct"/>
            <w:tcBorders>
              <w:top w:val="nil"/>
              <w:left w:val="nil"/>
              <w:bottom w:val="single" w:sz="4" w:space="0" w:color="auto"/>
              <w:right w:val="single" w:sz="4" w:space="0" w:color="auto"/>
            </w:tcBorders>
            <w:shd w:val="clear" w:color="auto" w:fill="auto"/>
            <w:vAlign w:val="center"/>
            <w:hideMark/>
          </w:tcPr>
          <w:p w14:paraId="117FF4B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4.1.2</w:t>
            </w:r>
          </w:p>
        </w:tc>
        <w:tc>
          <w:tcPr>
            <w:tcW w:w="724" w:type="pct"/>
            <w:tcBorders>
              <w:top w:val="nil"/>
              <w:left w:val="nil"/>
              <w:bottom w:val="single" w:sz="4" w:space="0" w:color="auto"/>
              <w:right w:val="single" w:sz="4" w:space="0" w:color="auto"/>
            </w:tcBorders>
            <w:shd w:val="clear" w:color="auto" w:fill="auto"/>
            <w:vAlign w:val="center"/>
            <w:hideMark/>
          </w:tcPr>
          <w:p w14:paraId="74DB01B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4.1.2 Realizar estudios y proyectos de regeneración urbana en Barrios Históricos.</w:t>
            </w:r>
          </w:p>
        </w:tc>
        <w:tc>
          <w:tcPr>
            <w:tcW w:w="783" w:type="pct"/>
            <w:tcBorders>
              <w:top w:val="nil"/>
              <w:left w:val="nil"/>
              <w:bottom w:val="single" w:sz="4" w:space="0" w:color="auto"/>
              <w:right w:val="single" w:sz="4" w:space="0" w:color="auto"/>
            </w:tcBorders>
            <w:shd w:val="clear" w:color="auto" w:fill="auto"/>
            <w:vAlign w:val="center"/>
            <w:hideMark/>
          </w:tcPr>
          <w:p w14:paraId="10DEAEE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de estudios</w:t>
            </w:r>
          </w:p>
        </w:tc>
        <w:tc>
          <w:tcPr>
            <w:tcW w:w="783" w:type="pct"/>
            <w:tcBorders>
              <w:top w:val="nil"/>
              <w:left w:val="nil"/>
              <w:bottom w:val="single" w:sz="4" w:space="0" w:color="auto"/>
              <w:right w:val="single" w:sz="4" w:space="0" w:color="auto"/>
            </w:tcBorders>
            <w:shd w:val="clear" w:color="auto" w:fill="auto"/>
            <w:vAlign w:val="center"/>
            <w:hideMark/>
          </w:tcPr>
          <w:p w14:paraId="49E824C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al 100% los estudios y proyectos de regeneración urbana en Barrios Históricos para 2023.</w:t>
            </w:r>
          </w:p>
        </w:tc>
        <w:tc>
          <w:tcPr>
            <w:tcW w:w="391" w:type="pct"/>
            <w:tcBorders>
              <w:top w:val="nil"/>
              <w:left w:val="nil"/>
              <w:bottom w:val="single" w:sz="4" w:space="0" w:color="auto"/>
              <w:right w:val="single" w:sz="4" w:space="0" w:color="auto"/>
            </w:tcBorders>
            <w:shd w:val="clear" w:color="auto" w:fill="auto"/>
            <w:vAlign w:val="center"/>
            <w:hideMark/>
          </w:tcPr>
          <w:p w14:paraId="69D8298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24BF141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91" w:type="pct"/>
            <w:tcBorders>
              <w:top w:val="nil"/>
              <w:left w:val="nil"/>
              <w:bottom w:val="single" w:sz="4" w:space="0" w:color="auto"/>
              <w:right w:val="single" w:sz="4" w:space="0" w:color="auto"/>
            </w:tcBorders>
            <w:shd w:val="clear" w:color="auto" w:fill="auto"/>
            <w:vAlign w:val="center"/>
            <w:hideMark/>
          </w:tcPr>
          <w:p w14:paraId="51717DB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91" w:type="pct"/>
            <w:tcBorders>
              <w:top w:val="nil"/>
              <w:left w:val="nil"/>
              <w:bottom w:val="single" w:sz="4" w:space="0" w:color="auto"/>
              <w:right w:val="single" w:sz="4" w:space="0" w:color="auto"/>
            </w:tcBorders>
            <w:shd w:val="clear" w:color="auto" w:fill="auto"/>
            <w:vAlign w:val="center"/>
            <w:hideMark/>
          </w:tcPr>
          <w:p w14:paraId="09F1598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02BFD11D" w14:textId="77777777" w:rsidTr="00C307FB">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6E5785D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VT. 4.1 Patrimonio Cultural e Identidad Leonesa </w:t>
            </w:r>
          </w:p>
        </w:tc>
        <w:tc>
          <w:tcPr>
            <w:tcW w:w="608" w:type="pct"/>
            <w:tcBorders>
              <w:top w:val="nil"/>
              <w:left w:val="nil"/>
              <w:bottom w:val="single" w:sz="4" w:space="0" w:color="auto"/>
              <w:right w:val="single" w:sz="4" w:space="0" w:color="auto"/>
            </w:tcBorders>
            <w:shd w:val="clear" w:color="auto" w:fill="auto"/>
            <w:vAlign w:val="center"/>
            <w:hideMark/>
          </w:tcPr>
          <w:p w14:paraId="2EB684E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4.1.3</w:t>
            </w:r>
          </w:p>
        </w:tc>
        <w:tc>
          <w:tcPr>
            <w:tcW w:w="724" w:type="pct"/>
            <w:tcBorders>
              <w:top w:val="nil"/>
              <w:left w:val="nil"/>
              <w:bottom w:val="single" w:sz="4" w:space="0" w:color="auto"/>
              <w:right w:val="single" w:sz="4" w:space="0" w:color="auto"/>
            </w:tcBorders>
            <w:shd w:val="clear" w:color="auto" w:fill="auto"/>
            <w:vAlign w:val="center"/>
            <w:hideMark/>
          </w:tcPr>
          <w:p w14:paraId="2B14D50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4.1.3 Otorgar apoyos a equipos deportivos representativos de León, de acuerdo a la normativa del Reglamento de Apoyos Deportivos.</w:t>
            </w:r>
          </w:p>
        </w:tc>
        <w:tc>
          <w:tcPr>
            <w:tcW w:w="783" w:type="pct"/>
            <w:tcBorders>
              <w:top w:val="nil"/>
              <w:left w:val="nil"/>
              <w:bottom w:val="single" w:sz="4" w:space="0" w:color="auto"/>
              <w:right w:val="single" w:sz="4" w:space="0" w:color="auto"/>
            </w:tcBorders>
            <w:shd w:val="clear" w:color="auto" w:fill="auto"/>
            <w:vAlign w:val="center"/>
            <w:hideMark/>
          </w:tcPr>
          <w:p w14:paraId="593C475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apoyos otorgados respecto del total requerido y viable</w:t>
            </w:r>
          </w:p>
        </w:tc>
        <w:tc>
          <w:tcPr>
            <w:tcW w:w="783" w:type="pct"/>
            <w:tcBorders>
              <w:top w:val="nil"/>
              <w:left w:val="nil"/>
              <w:bottom w:val="single" w:sz="4" w:space="0" w:color="auto"/>
              <w:right w:val="single" w:sz="4" w:space="0" w:color="auto"/>
            </w:tcBorders>
            <w:shd w:val="clear" w:color="auto" w:fill="auto"/>
            <w:vAlign w:val="center"/>
            <w:hideMark/>
          </w:tcPr>
          <w:p w14:paraId="788A262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Otorgar el 100% de apoyos requeridos y viables anualmente. </w:t>
            </w:r>
          </w:p>
        </w:tc>
        <w:tc>
          <w:tcPr>
            <w:tcW w:w="391" w:type="pct"/>
            <w:tcBorders>
              <w:top w:val="nil"/>
              <w:left w:val="nil"/>
              <w:bottom w:val="single" w:sz="4" w:space="0" w:color="auto"/>
              <w:right w:val="single" w:sz="4" w:space="0" w:color="auto"/>
            </w:tcBorders>
            <w:shd w:val="clear" w:color="auto" w:fill="auto"/>
            <w:vAlign w:val="center"/>
            <w:hideMark/>
          </w:tcPr>
          <w:p w14:paraId="66E78E6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5C4FABA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91" w:type="pct"/>
            <w:tcBorders>
              <w:top w:val="nil"/>
              <w:left w:val="nil"/>
              <w:bottom w:val="single" w:sz="4" w:space="0" w:color="auto"/>
              <w:right w:val="single" w:sz="4" w:space="0" w:color="auto"/>
            </w:tcBorders>
            <w:shd w:val="clear" w:color="auto" w:fill="auto"/>
            <w:vAlign w:val="center"/>
            <w:hideMark/>
          </w:tcPr>
          <w:p w14:paraId="777957D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91" w:type="pct"/>
            <w:tcBorders>
              <w:top w:val="nil"/>
              <w:left w:val="nil"/>
              <w:bottom w:val="single" w:sz="4" w:space="0" w:color="auto"/>
              <w:right w:val="single" w:sz="4" w:space="0" w:color="auto"/>
            </w:tcBorders>
            <w:shd w:val="clear" w:color="auto" w:fill="auto"/>
            <w:vAlign w:val="center"/>
            <w:hideMark/>
          </w:tcPr>
          <w:p w14:paraId="052BF76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2D639E18" w14:textId="77777777" w:rsidTr="00C307FB">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13C6081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VT. 4.1 Patrimonio Cultural e Identidad Leonesa </w:t>
            </w:r>
          </w:p>
        </w:tc>
        <w:tc>
          <w:tcPr>
            <w:tcW w:w="608" w:type="pct"/>
            <w:tcBorders>
              <w:top w:val="nil"/>
              <w:left w:val="nil"/>
              <w:bottom w:val="single" w:sz="4" w:space="0" w:color="auto"/>
              <w:right w:val="single" w:sz="4" w:space="0" w:color="auto"/>
            </w:tcBorders>
            <w:shd w:val="clear" w:color="auto" w:fill="auto"/>
            <w:vAlign w:val="center"/>
            <w:hideMark/>
          </w:tcPr>
          <w:p w14:paraId="2F307FC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4.1.4</w:t>
            </w:r>
          </w:p>
        </w:tc>
        <w:tc>
          <w:tcPr>
            <w:tcW w:w="724" w:type="pct"/>
            <w:tcBorders>
              <w:top w:val="nil"/>
              <w:left w:val="nil"/>
              <w:bottom w:val="single" w:sz="4" w:space="0" w:color="auto"/>
              <w:right w:val="single" w:sz="4" w:space="0" w:color="auto"/>
            </w:tcBorders>
            <w:shd w:val="clear" w:color="auto" w:fill="auto"/>
            <w:vAlign w:val="center"/>
            <w:hideMark/>
          </w:tcPr>
          <w:p w14:paraId="72A2824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4.1.4 Realizar un Programa anual de conferencias, proyectos académicos, exposiciones y activaciones artísticas en los diferentes recintos ubicados en zonas con valor histórico para la ciudadanía.</w:t>
            </w:r>
          </w:p>
        </w:tc>
        <w:tc>
          <w:tcPr>
            <w:tcW w:w="783" w:type="pct"/>
            <w:tcBorders>
              <w:top w:val="nil"/>
              <w:left w:val="nil"/>
              <w:bottom w:val="single" w:sz="4" w:space="0" w:color="auto"/>
              <w:right w:val="single" w:sz="4" w:space="0" w:color="auto"/>
            </w:tcBorders>
            <w:shd w:val="clear" w:color="auto" w:fill="auto"/>
            <w:vAlign w:val="center"/>
            <w:hideMark/>
          </w:tcPr>
          <w:p w14:paraId="5F6BE1B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actividades realizadas respecto de lo programado en el año</w:t>
            </w:r>
          </w:p>
        </w:tc>
        <w:tc>
          <w:tcPr>
            <w:tcW w:w="783" w:type="pct"/>
            <w:tcBorders>
              <w:top w:val="nil"/>
              <w:left w:val="nil"/>
              <w:bottom w:val="single" w:sz="4" w:space="0" w:color="auto"/>
              <w:right w:val="single" w:sz="4" w:space="0" w:color="auto"/>
            </w:tcBorders>
            <w:shd w:val="clear" w:color="auto" w:fill="auto"/>
            <w:vAlign w:val="center"/>
            <w:hideMark/>
          </w:tcPr>
          <w:p w14:paraId="48BEE4C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Realizar al 100% las siguientes actividades dentro del Programa: Congreso de Educación Artística para el Desarrollo Humano, Procesos de innovación pedagógica, 4 ciclos de exposiciones en galerías de la Coordinación de Artes Visuales, Bienal de Artes Visuales, Festival literario, Vinculación con Orquestas y Coros Infantiles Comunitarios, Catálogo de Arquitectura Leonesa del siglo XX,  Proyecciones de cine, actividades escénicas en recintos históricos, Festival de la Muerte, actividades en barrios, </w:t>
            </w:r>
            <w:r w:rsidRPr="00794EB9">
              <w:rPr>
                <w:rFonts w:ascii="Arial" w:hAnsi="Arial" w:cs="Arial"/>
                <w:sz w:val="22"/>
                <w:szCs w:val="22"/>
                <w:lang w:eastAsia="es-MX"/>
              </w:rPr>
              <w:lastRenderedPageBreak/>
              <w:t xml:space="preserve">campañas de difusión, impresión de la revista cultural Alternativas y </w:t>
            </w:r>
            <w:r w:rsidRPr="00794EB9">
              <w:rPr>
                <w:rFonts w:ascii="Arial" w:hAnsi="Arial" w:cs="Arial"/>
                <w:b/>
                <w:bCs/>
                <w:sz w:val="22"/>
                <w:szCs w:val="22"/>
                <w:lang w:eastAsia="es-MX"/>
              </w:rPr>
              <w:t>primera etapa del Centro Cultural Altamirano.</w:t>
            </w:r>
          </w:p>
        </w:tc>
        <w:tc>
          <w:tcPr>
            <w:tcW w:w="391" w:type="pct"/>
            <w:tcBorders>
              <w:top w:val="nil"/>
              <w:left w:val="nil"/>
              <w:bottom w:val="single" w:sz="4" w:space="0" w:color="auto"/>
              <w:right w:val="single" w:sz="4" w:space="0" w:color="auto"/>
            </w:tcBorders>
            <w:shd w:val="clear" w:color="auto" w:fill="auto"/>
            <w:vAlign w:val="center"/>
            <w:hideMark/>
          </w:tcPr>
          <w:p w14:paraId="5E5A673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lastRenderedPageBreak/>
              <w:t>0%</w:t>
            </w:r>
          </w:p>
        </w:tc>
        <w:tc>
          <w:tcPr>
            <w:tcW w:w="391" w:type="pct"/>
            <w:tcBorders>
              <w:top w:val="nil"/>
              <w:left w:val="nil"/>
              <w:bottom w:val="single" w:sz="4" w:space="0" w:color="auto"/>
              <w:right w:val="single" w:sz="4" w:space="0" w:color="auto"/>
            </w:tcBorders>
            <w:shd w:val="clear" w:color="auto" w:fill="auto"/>
            <w:vAlign w:val="center"/>
            <w:hideMark/>
          </w:tcPr>
          <w:p w14:paraId="4D36EED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33.30%</w:t>
            </w:r>
          </w:p>
        </w:tc>
        <w:tc>
          <w:tcPr>
            <w:tcW w:w="391" w:type="pct"/>
            <w:tcBorders>
              <w:top w:val="nil"/>
              <w:left w:val="nil"/>
              <w:bottom w:val="single" w:sz="4" w:space="0" w:color="auto"/>
              <w:right w:val="single" w:sz="4" w:space="0" w:color="auto"/>
            </w:tcBorders>
            <w:shd w:val="clear" w:color="auto" w:fill="auto"/>
            <w:vAlign w:val="center"/>
            <w:hideMark/>
          </w:tcPr>
          <w:p w14:paraId="4F76897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33.30%</w:t>
            </w:r>
          </w:p>
        </w:tc>
        <w:tc>
          <w:tcPr>
            <w:tcW w:w="391" w:type="pct"/>
            <w:tcBorders>
              <w:top w:val="nil"/>
              <w:left w:val="nil"/>
              <w:bottom w:val="single" w:sz="4" w:space="0" w:color="auto"/>
              <w:right w:val="single" w:sz="4" w:space="0" w:color="auto"/>
            </w:tcBorders>
            <w:shd w:val="clear" w:color="auto" w:fill="auto"/>
            <w:vAlign w:val="center"/>
            <w:hideMark/>
          </w:tcPr>
          <w:p w14:paraId="1184C41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33.30%</w:t>
            </w:r>
          </w:p>
        </w:tc>
      </w:tr>
      <w:tr w:rsidR="00794EB9" w:rsidRPr="00794EB9" w14:paraId="5CEECEF3" w14:textId="77777777" w:rsidTr="00C307FB">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61B4BC3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4.1 Patrimonio Cultural e Identidad Leonesa </w:t>
            </w:r>
          </w:p>
        </w:tc>
        <w:tc>
          <w:tcPr>
            <w:tcW w:w="608" w:type="pct"/>
            <w:tcBorders>
              <w:top w:val="nil"/>
              <w:left w:val="nil"/>
              <w:bottom w:val="single" w:sz="4" w:space="0" w:color="auto"/>
              <w:right w:val="single" w:sz="4" w:space="0" w:color="auto"/>
            </w:tcBorders>
            <w:shd w:val="clear" w:color="auto" w:fill="auto"/>
            <w:vAlign w:val="center"/>
            <w:hideMark/>
          </w:tcPr>
          <w:p w14:paraId="6DA6288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4.1.5 </w:t>
            </w:r>
          </w:p>
        </w:tc>
        <w:tc>
          <w:tcPr>
            <w:tcW w:w="724" w:type="pct"/>
            <w:tcBorders>
              <w:top w:val="nil"/>
              <w:left w:val="nil"/>
              <w:bottom w:val="single" w:sz="4" w:space="0" w:color="auto"/>
              <w:right w:val="single" w:sz="4" w:space="0" w:color="auto"/>
            </w:tcBorders>
            <w:shd w:val="clear" w:color="auto" w:fill="auto"/>
            <w:vAlign w:val="center"/>
            <w:hideMark/>
          </w:tcPr>
          <w:p w14:paraId="1A6CCD7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4.1.5 Realizar exposiciones en las diferentes salas del MIL (Museo de las Identidades Leonesas) con temáticas de identidad, orígenes e historia de León, arte y objetos culturales.</w:t>
            </w:r>
          </w:p>
        </w:tc>
        <w:tc>
          <w:tcPr>
            <w:tcW w:w="783" w:type="pct"/>
            <w:tcBorders>
              <w:top w:val="nil"/>
              <w:left w:val="nil"/>
              <w:bottom w:val="single" w:sz="4" w:space="0" w:color="auto"/>
              <w:right w:val="single" w:sz="4" w:space="0" w:color="auto"/>
            </w:tcBorders>
            <w:shd w:val="clear" w:color="auto" w:fill="auto"/>
            <w:vAlign w:val="center"/>
            <w:hideMark/>
          </w:tcPr>
          <w:p w14:paraId="5B13C1D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personas beneficiadas con las exposiciones realizadas y las publicaciones editadas en el MIL</w:t>
            </w:r>
          </w:p>
        </w:tc>
        <w:tc>
          <w:tcPr>
            <w:tcW w:w="783" w:type="pct"/>
            <w:tcBorders>
              <w:top w:val="nil"/>
              <w:left w:val="nil"/>
              <w:bottom w:val="single" w:sz="4" w:space="0" w:color="auto"/>
              <w:right w:val="single" w:sz="4" w:space="0" w:color="auto"/>
            </w:tcBorders>
            <w:shd w:val="clear" w:color="auto" w:fill="auto"/>
            <w:vAlign w:val="center"/>
            <w:hideMark/>
          </w:tcPr>
          <w:p w14:paraId="1FFF82D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Beneficiar a 13 mil de manera anual  personas de manera directa con las exposiciones realizadas y las publicaciones que se editen en el MIL</w:t>
            </w:r>
          </w:p>
        </w:tc>
        <w:tc>
          <w:tcPr>
            <w:tcW w:w="391" w:type="pct"/>
            <w:tcBorders>
              <w:top w:val="nil"/>
              <w:left w:val="nil"/>
              <w:bottom w:val="single" w:sz="4" w:space="0" w:color="auto"/>
              <w:right w:val="single" w:sz="4" w:space="0" w:color="auto"/>
            </w:tcBorders>
            <w:shd w:val="clear" w:color="auto" w:fill="auto"/>
            <w:vAlign w:val="center"/>
            <w:hideMark/>
          </w:tcPr>
          <w:p w14:paraId="284B14A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6363F40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33.30%</w:t>
            </w:r>
          </w:p>
        </w:tc>
        <w:tc>
          <w:tcPr>
            <w:tcW w:w="391" w:type="pct"/>
            <w:tcBorders>
              <w:top w:val="nil"/>
              <w:left w:val="nil"/>
              <w:bottom w:val="single" w:sz="4" w:space="0" w:color="auto"/>
              <w:right w:val="single" w:sz="4" w:space="0" w:color="auto"/>
            </w:tcBorders>
            <w:shd w:val="clear" w:color="auto" w:fill="auto"/>
            <w:vAlign w:val="center"/>
            <w:hideMark/>
          </w:tcPr>
          <w:p w14:paraId="0C95949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33.30%</w:t>
            </w:r>
          </w:p>
        </w:tc>
        <w:tc>
          <w:tcPr>
            <w:tcW w:w="391" w:type="pct"/>
            <w:tcBorders>
              <w:top w:val="nil"/>
              <w:left w:val="nil"/>
              <w:bottom w:val="single" w:sz="4" w:space="0" w:color="auto"/>
              <w:right w:val="single" w:sz="4" w:space="0" w:color="auto"/>
            </w:tcBorders>
            <w:shd w:val="clear" w:color="auto" w:fill="auto"/>
            <w:vAlign w:val="center"/>
            <w:hideMark/>
          </w:tcPr>
          <w:p w14:paraId="617191A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33.30%</w:t>
            </w:r>
          </w:p>
        </w:tc>
      </w:tr>
      <w:tr w:rsidR="00794EB9" w:rsidRPr="00794EB9" w14:paraId="319B1B4A" w14:textId="77777777" w:rsidTr="00C307FB">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50861B1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4.2. Marca Ciudad</w:t>
            </w:r>
          </w:p>
        </w:tc>
        <w:tc>
          <w:tcPr>
            <w:tcW w:w="608" w:type="pct"/>
            <w:tcBorders>
              <w:top w:val="nil"/>
              <w:left w:val="nil"/>
              <w:bottom w:val="single" w:sz="4" w:space="0" w:color="auto"/>
              <w:right w:val="single" w:sz="4" w:space="0" w:color="auto"/>
            </w:tcBorders>
            <w:shd w:val="clear" w:color="auto" w:fill="auto"/>
            <w:vAlign w:val="center"/>
            <w:hideMark/>
          </w:tcPr>
          <w:p w14:paraId="43CA20E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4.2.1</w:t>
            </w:r>
          </w:p>
        </w:tc>
        <w:tc>
          <w:tcPr>
            <w:tcW w:w="724" w:type="pct"/>
            <w:tcBorders>
              <w:top w:val="nil"/>
              <w:left w:val="nil"/>
              <w:bottom w:val="single" w:sz="4" w:space="0" w:color="auto"/>
              <w:right w:val="single" w:sz="4" w:space="0" w:color="auto"/>
            </w:tcBorders>
            <w:shd w:val="clear" w:color="auto" w:fill="auto"/>
            <w:vAlign w:val="center"/>
            <w:hideMark/>
          </w:tcPr>
          <w:p w14:paraId="3C5C950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4.2.1 Instalar decoración emblemática acorde a cuatro temporadas en los principales puntos y avenidas de la ciudad como parte de los esfuerzos para fortalecer la identidad local. </w:t>
            </w:r>
          </w:p>
        </w:tc>
        <w:tc>
          <w:tcPr>
            <w:tcW w:w="783" w:type="pct"/>
            <w:tcBorders>
              <w:top w:val="nil"/>
              <w:left w:val="nil"/>
              <w:bottom w:val="single" w:sz="4" w:space="0" w:color="auto"/>
              <w:right w:val="single" w:sz="4" w:space="0" w:color="auto"/>
            </w:tcBorders>
            <w:shd w:val="clear" w:color="auto" w:fill="auto"/>
            <w:vAlign w:val="center"/>
            <w:hideMark/>
          </w:tcPr>
          <w:p w14:paraId="46CD40D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Número de temporadas de decoración emblemáticas en el año instaladas</w:t>
            </w:r>
          </w:p>
        </w:tc>
        <w:tc>
          <w:tcPr>
            <w:tcW w:w="783" w:type="pct"/>
            <w:tcBorders>
              <w:top w:val="nil"/>
              <w:left w:val="nil"/>
              <w:bottom w:val="single" w:sz="4" w:space="0" w:color="auto"/>
              <w:right w:val="single" w:sz="4" w:space="0" w:color="auto"/>
            </w:tcBorders>
            <w:shd w:val="clear" w:color="auto" w:fill="auto"/>
            <w:vAlign w:val="center"/>
            <w:hideMark/>
          </w:tcPr>
          <w:p w14:paraId="4B3CA2F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Instalar al 100% la decoración emblemática durante 4 temporadas anuales durante el trienio</w:t>
            </w:r>
          </w:p>
        </w:tc>
        <w:tc>
          <w:tcPr>
            <w:tcW w:w="391" w:type="pct"/>
            <w:tcBorders>
              <w:top w:val="nil"/>
              <w:left w:val="nil"/>
              <w:bottom w:val="single" w:sz="4" w:space="0" w:color="auto"/>
              <w:right w:val="single" w:sz="4" w:space="0" w:color="auto"/>
            </w:tcBorders>
            <w:shd w:val="clear" w:color="auto" w:fill="auto"/>
            <w:vAlign w:val="center"/>
            <w:hideMark/>
          </w:tcPr>
          <w:p w14:paraId="7045908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37C7B72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33.30%</w:t>
            </w:r>
          </w:p>
        </w:tc>
        <w:tc>
          <w:tcPr>
            <w:tcW w:w="391" w:type="pct"/>
            <w:tcBorders>
              <w:top w:val="nil"/>
              <w:left w:val="nil"/>
              <w:bottom w:val="single" w:sz="4" w:space="0" w:color="auto"/>
              <w:right w:val="single" w:sz="4" w:space="0" w:color="auto"/>
            </w:tcBorders>
            <w:shd w:val="clear" w:color="auto" w:fill="auto"/>
            <w:vAlign w:val="center"/>
            <w:hideMark/>
          </w:tcPr>
          <w:p w14:paraId="03CB5C0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33.30%</w:t>
            </w:r>
          </w:p>
        </w:tc>
        <w:tc>
          <w:tcPr>
            <w:tcW w:w="391" w:type="pct"/>
            <w:tcBorders>
              <w:top w:val="nil"/>
              <w:left w:val="nil"/>
              <w:bottom w:val="single" w:sz="4" w:space="0" w:color="auto"/>
              <w:right w:val="single" w:sz="4" w:space="0" w:color="auto"/>
            </w:tcBorders>
            <w:shd w:val="clear" w:color="auto" w:fill="auto"/>
            <w:vAlign w:val="center"/>
            <w:hideMark/>
          </w:tcPr>
          <w:p w14:paraId="2B95EC6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33.30%</w:t>
            </w:r>
          </w:p>
        </w:tc>
      </w:tr>
      <w:tr w:rsidR="00794EB9" w:rsidRPr="00794EB9" w14:paraId="2D5E50B7" w14:textId="77777777" w:rsidTr="00C307FB">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2672A0A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4.2. Marca Ciudad</w:t>
            </w:r>
          </w:p>
        </w:tc>
        <w:tc>
          <w:tcPr>
            <w:tcW w:w="608" w:type="pct"/>
            <w:tcBorders>
              <w:top w:val="nil"/>
              <w:left w:val="nil"/>
              <w:bottom w:val="single" w:sz="4" w:space="0" w:color="auto"/>
              <w:right w:val="single" w:sz="4" w:space="0" w:color="auto"/>
            </w:tcBorders>
            <w:shd w:val="clear" w:color="auto" w:fill="auto"/>
            <w:vAlign w:val="center"/>
            <w:hideMark/>
          </w:tcPr>
          <w:p w14:paraId="1689038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4.2.2</w:t>
            </w:r>
          </w:p>
        </w:tc>
        <w:tc>
          <w:tcPr>
            <w:tcW w:w="724" w:type="pct"/>
            <w:tcBorders>
              <w:top w:val="nil"/>
              <w:left w:val="nil"/>
              <w:bottom w:val="single" w:sz="4" w:space="0" w:color="auto"/>
              <w:right w:val="single" w:sz="4" w:space="0" w:color="auto"/>
            </w:tcBorders>
            <w:shd w:val="clear" w:color="auto" w:fill="auto"/>
            <w:vAlign w:val="center"/>
            <w:hideMark/>
          </w:tcPr>
          <w:p w14:paraId="215A018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4.2.2 Intervenir zonas emblemáticas con iluminación escénica en la ciudad.</w:t>
            </w:r>
          </w:p>
        </w:tc>
        <w:tc>
          <w:tcPr>
            <w:tcW w:w="783" w:type="pct"/>
            <w:tcBorders>
              <w:top w:val="nil"/>
              <w:left w:val="nil"/>
              <w:bottom w:val="single" w:sz="4" w:space="0" w:color="auto"/>
              <w:right w:val="single" w:sz="4" w:space="0" w:color="auto"/>
            </w:tcBorders>
            <w:shd w:val="clear" w:color="auto" w:fill="auto"/>
            <w:vAlign w:val="center"/>
            <w:hideMark/>
          </w:tcPr>
          <w:p w14:paraId="14F87E1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zonas escénicas iluminadas en la ciudad respecto del total previsto </w:t>
            </w:r>
          </w:p>
        </w:tc>
        <w:tc>
          <w:tcPr>
            <w:tcW w:w="783" w:type="pct"/>
            <w:tcBorders>
              <w:top w:val="nil"/>
              <w:left w:val="nil"/>
              <w:bottom w:val="single" w:sz="4" w:space="0" w:color="auto"/>
              <w:right w:val="single" w:sz="4" w:space="0" w:color="auto"/>
            </w:tcBorders>
            <w:shd w:val="clear" w:color="auto" w:fill="auto"/>
            <w:vAlign w:val="center"/>
            <w:hideMark/>
          </w:tcPr>
          <w:p w14:paraId="1C09219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Instalar al 100% en 9 zonas con iluminación escénica anualmente durante el trienio</w:t>
            </w:r>
          </w:p>
        </w:tc>
        <w:tc>
          <w:tcPr>
            <w:tcW w:w="391" w:type="pct"/>
            <w:tcBorders>
              <w:top w:val="nil"/>
              <w:left w:val="nil"/>
              <w:bottom w:val="single" w:sz="4" w:space="0" w:color="auto"/>
              <w:right w:val="single" w:sz="4" w:space="0" w:color="auto"/>
            </w:tcBorders>
            <w:shd w:val="clear" w:color="auto" w:fill="auto"/>
            <w:vAlign w:val="center"/>
            <w:hideMark/>
          </w:tcPr>
          <w:p w14:paraId="255AD91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w:t>
            </w:r>
          </w:p>
        </w:tc>
        <w:tc>
          <w:tcPr>
            <w:tcW w:w="391" w:type="pct"/>
            <w:tcBorders>
              <w:top w:val="nil"/>
              <w:left w:val="nil"/>
              <w:bottom w:val="single" w:sz="4" w:space="0" w:color="auto"/>
              <w:right w:val="single" w:sz="4" w:space="0" w:color="auto"/>
            </w:tcBorders>
            <w:shd w:val="clear" w:color="auto" w:fill="auto"/>
            <w:vAlign w:val="center"/>
            <w:hideMark/>
          </w:tcPr>
          <w:p w14:paraId="2947913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45%</w:t>
            </w:r>
          </w:p>
        </w:tc>
        <w:tc>
          <w:tcPr>
            <w:tcW w:w="391" w:type="pct"/>
            <w:tcBorders>
              <w:top w:val="nil"/>
              <w:left w:val="nil"/>
              <w:bottom w:val="single" w:sz="4" w:space="0" w:color="auto"/>
              <w:right w:val="single" w:sz="4" w:space="0" w:color="auto"/>
            </w:tcBorders>
            <w:shd w:val="clear" w:color="auto" w:fill="auto"/>
            <w:vAlign w:val="center"/>
            <w:hideMark/>
          </w:tcPr>
          <w:p w14:paraId="399AAB7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45%</w:t>
            </w:r>
          </w:p>
        </w:tc>
        <w:tc>
          <w:tcPr>
            <w:tcW w:w="391" w:type="pct"/>
            <w:tcBorders>
              <w:top w:val="nil"/>
              <w:left w:val="nil"/>
              <w:bottom w:val="single" w:sz="4" w:space="0" w:color="auto"/>
              <w:right w:val="single" w:sz="4" w:space="0" w:color="auto"/>
            </w:tcBorders>
            <w:shd w:val="clear" w:color="auto" w:fill="auto"/>
            <w:vAlign w:val="center"/>
            <w:hideMark/>
          </w:tcPr>
          <w:p w14:paraId="7DB1E9A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5CBC2849" w14:textId="77777777" w:rsidTr="00C307FB">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164B3F3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4.2. Marca Ciudad</w:t>
            </w:r>
          </w:p>
        </w:tc>
        <w:tc>
          <w:tcPr>
            <w:tcW w:w="608" w:type="pct"/>
            <w:tcBorders>
              <w:top w:val="nil"/>
              <w:left w:val="nil"/>
              <w:bottom w:val="single" w:sz="4" w:space="0" w:color="auto"/>
              <w:right w:val="single" w:sz="4" w:space="0" w:color="auto"/>
            </w:tcBorders>
            <w:shd w:val="clear" w:color="auto" w:fill="auto"/>
            <w:vAlign w:val="center"/>
            <w:hideMark/>
          </w:tcPr>
          <w:p w14:paraId="5FC6014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4.2.3</w:t>
            </w:r>
          </w:p>
        </w:tc>
        <w:tc>
          <w:tcPr>
            <w:tcW w:w="724" w:type="pct"/>
            <w:tcBorders>
              <w:top w:val="nil"/>
              <w:left w:val="nil"/>
              <w:bottom w:val="single" w:sz="4" w:space="0" w:color="auto"/>
              <w:right w:val="single" w:sz="4" w:space="0" w:color="auto"/>
            </w:tcBorders>
            <w:shd w:val="clear" w:color="auto" w:fill="auto"/>
            <w:vAlign w:val="center"/>
            <w:hideMark/>
          </w:tcPr>
          <w:p w14:paraId="4A2C76E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4.2.3 Reconocer a jóvenes leoneses destacados en las artes, la cultura, la ciencia y el desarrollo social.</w:t>
            </w:r>
          </w:p>
        </w:tc>
        <w:tc>
          <w:tcPr>
            <w:tcW w:w="783" w:type="pct"/>
            <w:tcBorders>
              <w:top w:val="nil"/>
              <w:left w:val="nil"/>
              <w:bottom w:val="single" w:sz="4" w:space="0" w:color="auto"/>
              <w:right w:val="single" w:sz="4" w:space="0" w:color="auto"/>
            </w:tcBorders>
            <w:shd w:val="clear" w:color="auto" w:fill="auto"/>
            <w:vAlign w:val="center"/>
            <w:hideMark/>
          </w:tcPr>
          <w:p w14:paraId="26DB7CC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personas beneficiadas respecto de la meta establecida</w:t>
            </w:r>
          </w:p>
        </w:tc>
        <w:tc>
          <w:tcPr>
            <w:tcW w:w="783" w:type="pct"/>
            <w:tcBorders>
              <w:top w:val="nil"/>
              <w:left w:val="nil"/>
              <w:bottom w:val="single" w:sz="4" w:space="0" w:color="auto"/>
              <w:right w:val="single" w:sz="4" w:space="0" w:color="auto"/>
            </w:tcBorders>
            <w:shd w:val="clear" w:color="auto" w:fill="auto"/>
            <w:vAlign w:val="center"/>
            <w:hideMark/>
          </w:tcPr>
          <w:p w14:paraId="4D4DA7F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Realizar 58 acciones para beneficiar a 36,000 mil personas durante el trienio  del ámbito del teatro, la danza y las artes durante el trienio </w:t>
            </w:r>
          </w:p>
        </w:tc>
        <w:tc>
          <w:tcPr>
            <w:tcW w:w="391" w:type="pct"/>
            <w:tcBorders>
              <w:top w:val="nil"/>
              <w:left w:val="nil"/>
              <w:bottom w:val="single" w:sz="4" w:space="0" w:color="auto"/>
              <w:right w:val="single" w:sz="4" w:space="0" w:color="auto"/>
            </w:tcBorders>
            <w:shd w:val="clear" w:color="auto" w:fill="auto"/>
            <w:vAlign w:val="center"/>
            <w:hideMark/>
          </w:tcPr>
          <w:p w14:paraId="373297B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2AF3E6A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91" w:type="pct"/>
            <w:tcBorders>
              <w:top w:val="nil"/>
              <w:left w:val="nil"/>
              <w:bottom w:val="single" w:sz="4" w:space="0" w:color="auto"/>
              <w:right w:val="single" w:sz="4" w:space="0" w:color="auto"/>
            </w:tcBorders>
            <w:shd w:val="clear" w:color="auto" w:fill="auto"/>
            <w:vAlign w:val="center"/>
            <w:hideMark/>
          </w:tcPr>
          <w:p w14:paraId="69E583D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91" w:type="pct"/>
            <w:tcBorders>
              <w:top w:val="nil"/>
              <w:left w:val="nil"/>
              <w:bottom w:val="single" w:sz="4" w:space="0" w:color="auto"/>
              <w:right w:val="single" w:sz="4" w:space="0" w:color="auto"/>
            </w:tcBorders>
            <w:shd w:val="clear" w:color="auto" w:fill="auto"/>
            <w:vAlign w:val="center"/>
            <w:hideMark/>
          </w:tcPr>
          <w:p w14:paraId="24FEC44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239514DD" w14:textId="77777777" w:rsidTr="00C307FB">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3962729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4.2. Marca Ciudad</w:t>
            </w:r>
          </w:p>
        </w:tc>
        <w:tc>
          <w:tcPr>
            <w:tcW w:w="608" w:type="pct"/>
            <w:tcBorders>
              <w:top w:val="nil"/>
              <w:left w:val="nil"/>
              <w:bottom w:val="single" w:sz="4" w:space="0" w:color="auto"/>
              <w:right w:val="single" w:sz="4" w:space="0" w:color="auto"/>
            </w:tcBorders>
            <w:shd w:val="clear" w:color="auto" w:fill="auto"/>
            <w:vAlign w:val="center"/>
            <w:hideMark/>
          </w:tcPr>
          <w:p w14:paraId="10D26D7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4.2.4</w:t>
            </w:r>
          </w:p>
        </w:tc>
        <w:tc>
          <w:tcPr>
            <w:tcW w:w="724" w:type="pct"/>
            <w:tcBorders>
              <w:top w:val="nil"/>
              <w:left w:val="nil"/>
              <w:bottom w:val="single" w:sz="4" w:space="0" w:color="auto"/>
              <w:right w:val="single" w:sz="4" w:space="0" w:color="auto"/>
            </w:tcBorders>
            <w:shd w:val="clear" w:color="auto" w:fill="auto"/>
            <w:vAlign w:val="center"/>
            <w:hideMark/>
          </w:tcPr>
          <w:p w14:paraId="73BF001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4.2.4 Reconocer a los atletas más sobresalientes en las diferentes disciplinas deportivas que se practican en la ciudad y desarrollar mecanismos de participación y promoción de los mismos con organizaciones privadas para posicionar a León como ciudad líder en promoción del deporte.  </w:t>
            </w:r>
          </w:p>
        </w:tc>
        <w:tc>
          <w:tcPr>
            <w:tcW w:w="783" w:type="pct"/>
            <w:tcBorders>
              <w:top w:val="nil"/>
              <w:left w:val="nil"/>
              <w:bottom w:val="single" w:sz="4" w:space="0" w:color="auto"/>
              <w:right w:val="single" w:sz="4" w:space="0" w:color="auto"/>
            </w:tcBorders>
            <w:shd w:val="clear" w:color="auto" w:fill="auto"/>
            <w:vAlign w:val="center"/>
            <w:hideMark/>
          </w:tcPr>
          <w:p w14:paraId="01736E9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reconocimientos otorgados respecto del total </w:t>
            </w:r>
          </w:p>
        </w:tc>
        <w:tc>
          <w:tcPr>
            <w:tcW w:w="783" w:type="pct"/>
            <w:tcBorders>
              <w:top w:val="nil"/>
              <w:left w:val="nil"/>
              <w:bottom w:val="single" w:sz="4" w:space="0" w:color="auto"/>
              <w:right w:val="single" w:sz="4" w:space="0" w:color="auto"/>
            </w:tcBorders>
            <w:shd w:val="clear" w:color="auto" w:fill="auto"/>
            <w:vAlign w:val="center"/>
            <w:hideMark/>
          </w:tcPr>
          <w:p w14:paraId="446650A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Reconocer a 48 atletas anualmente</w:t>
            </w:r>
          </w:p>
        </w:tc>
        <w:tc>
          <w:tcPr>
            <w:tcW w:w="391" w:type="pct"/>
            <w:tcBorders>
              <w:top w:val="nil"/>
              <w:left w:val="nil"/>
              <w:bottom w:val="single" w:sz="4" w:space="0" w:color="auto"/>
              <w:right w:val="single" w:sz="4" w:space="0" w:color="auto"/>
            </w:tcBorders>
            <w:shd w:val="clear" w:color="auto" w:fill="auto"/>
            <w:vAlign w:val="center"/>
            <w:hideMark/>
          </w:tcPr>
          <w:p w14:paraId="242FE5B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0%</w:t>
            </w:r>
          </w:p>
        </w:tc>
        <w:tc>
          <w:tcPr>
            <w:tcW w:w="391" w:type="pct"/>
            <w:tcBorders>
              <w:top w:val="nil"/>
              <w:left w:val="nil"/>
              <w:bottom w:val="single" w:sz="4" w:space="0" w:color="auto"/>
              <w:right w:val="single" w:sz="4" w:space="0" w:color="auto"/>
            </w:tcBorders>
            <w:shd w:val="clear" w:color="auto" w:fill="auto"/>
            <w:vAlign w:val="center"/>
            <w:hideMark/>
          </w:tcPr>
          <w:p w14:paraId="5C8B74E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91" w:type="pct"/>
            <w:tcBorders>
              <w:top w:val="nil"/>
              <w:left w:val="nil"/>
              <w:bottom w:val="single" w:sz="4" w:space="0" w:color="auto"/>
              <w:right w:val="single" w:sz="4" w:space="0" w:color="auto"/>
            </w:tcBorders>
            <w:shd w:val="clear" w:color="auto" w:fill="auto"/>
            <w:vAlign w:val="center"/>
            <w:hideMark/>
          </w:tcPr>
          <w:p w14:paraId="6D10348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91" w:type="pct"/>
            <w:tcBorders>
              <w:top w:val="nil"/>
              <w:left w:val="nil"/>
              <w:bottom w:val="single" w:sz="4" w:space="0" w:color="auto"/>
              <w:right w:val="single" w:sz="4" w:space="0" w:color="auto"/>
            </w:tcBorders>
            <w:shd w:val="clear" w:color="auto" w:fill="auto"/>
            <w:vAlign w:val="center"/>
            <w:hideMark/>
          </w:tcPr>
          <w:p w14:paraId="21BB255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0%</w:t>
            </w:r>
          </w:p>
        </w:tc>
      </w:tr>
      <w:tr w:rsidR="00794EB9" w:rsidRPr="00794EB9" w14:paraId="65CD3E45" w14:textId="77777777" w:rsidTr="00C307FB">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294E1EF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4.2. Marca Ciudad</w:t>
            </w:r>
          </w:p>
        </w:tc>
        <w:tc>
          <w:tcPr>
            <w:tcW w:w="608" w:type="pct"/>
            <w:tcBorders>
              <w:top w:val="nil"/>
              <w:left w:val="nil"/>
              <w:bottom w:val="single" w:sz="4" w:space="0" w:color="auto"/>
              <w:right w:val="single" w:sz="4" w:space="0" w:color="auto"/>
            </w:tcBorders>
            <w:shd w:val="clear" w:color="auto" w:fill="auto"/>
            <w:vAlign w:val="center"/>
            <w:hideMark/>
          </w:tcPr>
          <w:p w14:paraId="35073B9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4.2.5</w:t>
            </w:r>
          </w:p>
        </w:tc>
        <w:tc>
          <w:tcPr>
            <w:tcW w:w="724" w:type="pct"/>
            <w:tcBorders>
              <w:top w:val="nil"/>
              <w:left w:val="nil"/>
              <w:bottom w:val="single" w:sz="4" w:space="0" w:color="auto"/>
              <w:right w:val="single" w:sz="4" w:space="0" w:color="auto"/>
            </w:tcBorders>
            <w:shd w:val="clear" w:color="auto" w:fill="auto"/>
            <w:vAlign w:val="center"/>
            <w:hideMark/>
          </w:tcPr>
          <w:p w14:paraId="71867A8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4.2.5 Implementar un consejo renovado que integre a los diferentes organismos empresariales para ser una voz activa ciudadana que diseñe y gestione estrategias de comunicación y promoción orientadas a fortalecer la identidad social, la unión ciudadana y la promoción turística de la ciudad.  </w:t>
            </w:r>
          </w:p>
        </w:tc>
        <w:tc>
          <w:tcPr>
            <w:tcW w:w="783" w:type="pct"/>
            <w:tcBorders>
              <w:top w:val="nil"/>
              <w:left w:val="nil"/>
              <w:bottom w:val="single" w:sz="4" w:space="0" w:color="auto"/>
              <w:right w:val="single" w:sz="4" w:space="0" w:color="auto"/>
            </w:tcBorders>
            <w:shd w:val="clear" w:color="auto" w:fill="auto"/>
            <w:vAlign w:val="center"/>
            <w:hideMark/>
          </w:tcPr>
          <w:p w14:paraId="4F17895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estrategias de comunicación y promoción realizadas a través de un consejo renovado.</w:t>
            </w:r>
          </w:p>
        </w:tc>
        <w:tc>
          <w:tcPr>
            <w:tcW w:w="783" w:type="pct"/>
            <w:tcBorders>
              <w:top w:val="nil"/>
              <w:left w:val="nil"/>
              <w:bottom w:val="single" w:sz="4" w:space="0" w:color="auto"/>
              <w:right w:val="single" w:sz="4" w:space="0" w:color="auto"/>
            </w:tcBorders>
            <w:shd w:val="clear" w:color="auto" w:fill="auto"/>
            <w:vAlign w:val="center"/>
            <w:hideMark/>
          </w:tcPr>
          <w:p w14:paraId="54FD025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 de las estrategias de comunicación y promoción realizadas.</w:t>
            </w:r>
          </w:p>
        </w:tc>
        <w:tc>
          <w:tcPr>
            <w:tcW w:w="391" w:type="pct"/>
            <w:tcBorders>
              <w:top w:val="nil"/>
              <w:left w:val="nil"/>
              <w:bottom w:val="single" w:sz="4" w:space="0" w:color="auto"/>
              <w:right w:val="single" w:sz="4" w:space="0" w:color="auto"/>
            </w:tcBorders>
            <w:shd w:val="clear" w:color="auto" w:fill="auto"/>
            <w:vAlign w:val="center"/>
            <w:hideMark/>
          </w:tcPr>
          <w:p w14:paraId="095053E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69AF552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91" w:type="pct"/>
            <w:tcBorders>
              <w:top w:val="nil"/>
              <w:left w:val="nil"/>
              <w:bottom w:val="single" w:sz="4" w:space="0" w:color="auto"/>
              <w:right w:val="single" w:sz="4" w:space="0" w:color="auto"/>
            </w:tcBorders>
            <w:shd w:val="clear" w:color="auto" w:fill="auto"/>
            <w:vAlign w:val="center"/>
            <w:hideMark/>
          </w:tcPr>
          <w:p w14:paraId="0663892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33913C9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403908E9" w14:textId="77777777" w:rsidTr="00C307FB">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0DDAD4B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VT. 4.2. Marca Ciudad</w:t>
            </w:r>
          </w:p>
        </w:tc>
        <w:tc>
          <w:tcPr>
            <w:tcW w:w="608" w:type="pct"/>
            <w:tcBorders>
              <w:top w:val="nil"/>
              <w:left w:val="nil"/>
              <w:bottom w:val="single" w:sz="4" w:space="0" w:color="auto"/>
              <w:right w:val="single" w:sz="4" w:space="0" w:color="auto"/>
            </w:tcBorders>
            <w:shd w:val="clear" w:color="auto" w:fill="auto"/>
            <w:vAlign w:val="center"/>
            <w:hideMark/>
          </w:tcPr>
          <w:p w14:paraId="1F1FC07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4.2.6</w:t>
            </w:r>
          </w:p>
        </w:tc>
        <w:tc>
          <w:tcPr>
            <w:tcW w:w="724" w:type="pct"/>
            <w:tcBorders>
              <w:top w:val="nil"/>
              <w:left w:val="nil"/>
              <w:bottom w:val="single" w:sz="4" w:space="0" w:color="auto"/>
              <w:right w:val="single" w:sz="4" w:space="0" w:color="auto"/>
            </w:tcBorders>
            <w:shd w:val="clear" w:color="auto" w:fill="auto"/>
            <w:vAlign w:val="center"/>
            <w:hideMark/>
          </w:tcPr>
          <w:p w14:paraId="2028118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4.2.6 Construcción y operación de módulos móviles con oferta de talleres y eventos artísticos itinerando en las 7 Delegaciones</w:t>
            </w:r>
          </w:p>
        </w:tc>
        <w:tc>
          <w:tcPr>
            <w:tcW w:w="783" w:type="pct"/>
            <w:tcBorders>
              <w:top w:val="nil"/>
              <w:left w:val="nil"/>
              <w:bottom w:val="single" w:sz="4" w:space="0" w:color="auto"/>
              <w:right w:val="single" w:sz="4" w:space="0" w:color="auto"/>
            </w:tcBorders>
            <w:shd w:val="clear" w:color="auto" w:fill="auto"/>
            <w:vAlign w:val="center"/>
            <w:hideMark/>
          </w:tcPr>
          <w:p w14:paraId="3C34BED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Porcentaje de personas beneficiadas respecto de la meta establecida</w:t>
            </w:r>
          </w:p>
        </w:tc>
        <w:tc>
          <w:tcPr>
            <w:tcW w:w="783" w:type="pct"/>
            <w:tcBorders>
              <w:top w:val="nil"/>
              <w:left w:val="nil"/>
              <w:bottom w:val="single" w:sz="4" w:space="0" w:color="auto"/>
              <w:right w:val="single" w:sz="4" w:space="0" w:color="auto"/>
            </w:tcBorders>
            <w:shd w:val="clear" w:color="auto" w:fill="auto"/>
            <w:vAlign w:val="center"/>
            <w:hideMark/>
          </w:tcPr>
          <w:p w14:paraId="4E89CEF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Beneficiar a 20,000 personas con la reactivación de las actividades del museo itinerante, actividades de coros infantiles en las delegaciones y actividades que fomenten la lectoescritura en el trienio</w:t>
            </w:r>
          </w:p>
        </w:tc>
        <w:tc>
          <w:tcPr>
            <w:tcW w:w="391" w:type="pct"/>
            <w:tcBorders>
              <w:top w:val="nil"/>
              <w:left w:val="nil"/>
              <w:bottom w:val="single" w:sz="4" w:space="0" w:color="auto"/>
              <w:right w:val="single" w:sz="4" w:space="0" w:color="auto"/>
            </w:tcBorders>
            <w:shd w:val="clear" w:color="auto" w:fill="auto"/>
            <w:vAlign w:val="center"/>
            <w:hideMark/>
          </w:tcPr>
          <w:p w14:paraId="17D5AE8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7B96225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91" w:type="pct"/>
            <w:tcBorders>
              <w:top w:val="nil"/>
              <w:left w:val="nil"/>
              <w:bottom w:val="single" w:sz="4" w:space="0" w:color="auto"/>
              <w:right w:val="single" w:sz="4" w:space="0" w:color="auto"/>
            </w:tcBorders>
            <w:shd w:val="clear" w:color="auto" w:fill="auto"/>
            <w:vAlign w:val="center"/>
            <w:hideMark/>
          </w:tcPr>
          <w:p w14:paraId="49B19DD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91" w:type="pct"/>
            <w:tcBorders>
              <w:top w:val="nil"/>
              <w:left w:val="nil"/>
              <w:bottom w:val="single" w:sz="4" w:space="0" w:color="auto"/>
              <w:right w:val="single" w:sz="4" w:space="0" w:color="auto"/>
            </w:tcBorders>
            <w:shd w:val="clear" w:color="auto" w:fill="auto"/>
            <w:vAlign w:val="center"/>
            <w:hideMark/>
          </w:tcPr>
          <w:p w14:paraId="3E00D00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5FB8E90F" w14:textId="77777777" w:rsidTr="00C307FB">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6717BC3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4.3 Atracción y Promoción de Eventos Turísticos, Artísticos y Culturales </w:t>
            </w:r>
          </w:p>
        </w:tc>
        <w:tc>
          <w:tcPr>
            <w:tcW w:w="608" w:type="pct"/>
            <w:tcBorders>
              <w:top w:val="nil"/>
              <w:left w:val="nil"/>
              <w:bottom w:val="single" w:sz="4" w:space="0" w:color="auto"/>
              <w:right w:val="single" w:sz="4" w:space="0" w:color="auto"/>
            </w:tcBorders>
            <w:shd w:val="clear" w:color="auto" w:fill="auto"/>
            <w:vAlign w:val="center"/>
            <w:hideMark/>
          </w:tcPr>
          <w:p w14:paraId="149C879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4.3.1 </w:t>
            </w:r>
          </w:p>
        </w:tc>
        <w:tc>
          <w:tcPr>
            <w:tcW w:w="724" w:type="pct"/>
            <w:tcBorders>
              <w:top w:val="nil"/>
              <w:left w:val="nil"/>
              <w:bottom w:val="single" w:sz="4" w:space="0" w:color="auto"/>
              <w:right w:val="single" w:sz="4" w:space="0" w:color="auto"/>
            </w:tcBorders>
            <w:shd w:val="clear" w:color="auto" w:fill="auto"/>
            <w:vAlign w:val="center"/>
            <w:hideMark/>
          </w:tcPr>
          <w:p w14:paraId="5409634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4.3.1 Realizar eventos culturales de impacto nacional e internacional, para proyectar a León</w:t>
            </w:r>
          </w:p>
        </w:tc>
        <w:tc>
          <w:tcPr>
            <w:tcW w:w="783" w:type="pct"/>
            <w:tcBorders>
              <w:top w:val="nil"/>
              <w:left w:val="nil"/>
              <w:bottom w:val="single" w:sz="4" w:space="0" w:color="auto"/>
              <w:right w:val="single" w:sz="4" w:space="0" w:color="auto"/>
            </w:tcBorders>
            <w:shd w:val="clear" w:color="auto" w:fill="auto"/>
            <w:vAlign w:val="center"/>
            <w:hideMark/>
          </w:tcPr>
          <w:p w14:paraId="0732449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Numero de festivales realizados en el año respecto de la meta establecida  (Feria Nacional del Libro, Festival Internacional Cervantino y Festival Internacional de Arte Contemporáneo)</w:t>
            </w:r>
          </w:p>
        </w:tc>
        <w:tc>
          <w:tcPr>
            <w:tcW w:w="783" w:type="pct"/>
            <w:tcBorders>
              <w:top w:val="nil"/>
              <w:left w:val="nil"/>
              <w:bottom w:val="single" w:sz="4" w:space="0" w:color="auto"/>
              <w:right w:val="single" w:sz="4" w:space="0" w:color="auto"/>
            </w:tcBorders>
            <w:shd w:val="clear" w:color="auto" w:fill="auto"/>
            <w:vAlign w:val="center"/>
            <w:hideMark/>
          </w:tcPr>
          <w:p w14:paraId="2E7EAF6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Impactar a 100,000 personas por año mediante la celebración de 3 eventos internacionales (Feria Nacional del Libro, Festival Internacional Cervantino y Festival Internacional de Arte Contemporáneo)</w:t>
            </w:r>
          </w:p>
        </w:tc>
        <w:tc>
          <w:tcPr>
            <w:tcW w:w="391" w:type="pct"/>
            <w:tcBorders>
              <w:top w:val="nil"/>
              <w:left w:val="nil"/>
              <w:bottom w:val="single" w:sz="4" w:space="0" w:color="auto"/>
              <w:right w:val="single" w:sz="4" w:space="0" w:color="auto"/>
            </w:tcBorders>
            <w:shd w:val="clear" w:color="auto" w:fill="auto"/>
            <w:vAlign w:val="center"/>
            <w:hideMark/>
          </w:tcPr>
          <w:p w14:paraId="4D1C962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5CB940C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49F7716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34C75FF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0E1AEFEE" w14:textId="77777777" w:rsidTr="00C307FB">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53D1C0F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VT. 4.3 Atracción y Promoción de Eventos Turísticos, Artísticos y Culturales</w:t>
            </w:r>
          </w:p>
        </w:tc>
        <w:tc>
          <w:tcPr>
            <w:tcW w:w="608" w:type="pct"/>
            <w:tcBorders>
              <w:top w:val="nil"/>
              <w:left w:val="nil"/>
              <w:bottom w:val="single" w:sz="4" w:space="0" w:color="auto"/>
              <w:right w:val="single" w:sz="4" w:space="0" w:color="auto"/>
            </w:tcBorders>
            <w:shd w:val="clear" w:color="auto" w:fill="auto"/>
            <w:vAlign w:val="center"/>
            <w:hideMark/>
          </w:tcPr>
          <w:p w14:paraId="30E569E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4.3.1 </w:t>
            </w:r>
          </w:p>
        </w:tc>
        <w:tc>
          <w:tcPr>
            <w:tcW w:w="724" w:type="pct"/>
            <w:tcBorders>
              <w:top w:val="nil"/>
              <w:left w:val="nil"/>
              <w:bottom w:val="single" w:sz="4" w:space="0" w:color="auto"/>
              <w:right w:val="single" w:sz="4" w:space="0" w:color="auto"/>
            </w:tcBorders>
            <w:shd w:val="clear" w:color="auto" w:fill="auto"/>
            <w:vAlign w:val="center"/>
            <w:hideMark/>
          </w:tcPr>
          <w:p w14:paraId="6C1C7B0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4.3.1 Realizar eventos culturales de impacto nacional e internacional, para proyectar a León</w:t>
            </w:r>
          </w:p>
        </w:tc>
        <w:tc>
          <w:tcPr>
            <w:tcW w:w="783" w:type="pct"/>
            <w:tcBorders>
              <w:top w:val="nil"/>
              <w:left w:val="nil"/>
              <w:bottom w:val="single" w:sz="4" w:space="0" w:color="auto"/>
              <w:right w:val="single" w:sz="4" w:space="0" w:color="auto"/>
            </w:tcBorders>
            <w:shd w:val="clear" w:color="auto" w:fill="auto"/>
            <w:vAlign w:val="center"/>
            <w:hideMark/>
          </w:tcPr>
          <w:p w14:paraId="1BA90A5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Número de festivales y eventos en el año realizados. (Festival de las Naciones, Festival de Verano, Festival Navideño y Festival de las Naciones Itinerante)</w:t>
            </w:r>
          </w:p>
        </w:tc>
        <w:tc>
          <w:tcPr>
            <w:tcW w:w="783" w:type="pct"/>
            <w:tcBorders>
              <w:top w:val="nil"/>
              <w:left w:val="nil"/>
              <w:bottom w:val="single" w:sz="4" w:space="0" w:color="auto"/>
              <w:right w:val="single" w:sz="4" w:space="0" w:color="auto"/>
            </w:tcBorders>
            <w:shd w:val="clear" w:color="auto" w:fill="auto"/>
            <w:vAlign w:val="center"/>
            <w:hideMark/>
          </w:tcPr>
          <w:p w14:paraId="3EFEB86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4 festivales y eventos por año</w:t>
            </w:r>
          </w:p>
        </w:tc>
        <w:tc>
          <w:tcPr>
            <w:tcW w:w="391" w:type="pct"/>
            <w:tcBorders>
              <w:top w:val="nil"/>
              <w:left w:val="nil"/>
              <w:bottom w:val="single" w:sz="4" w:space="0" w:color="auto"/>
              <w:right w:val="single" w:sz="4" w:space="0" w:color="auto"/>
            </w:tcBorders>
            <w:shd w:val="clear" w:color="auto" w:fill="auto"/>
            <w:vAlign w:val="center"/>
            <w:hideMark/>
          </w:tcPr>
          <w:p w14:paraId="4CF4E02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6947C30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0111F0B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284C31B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3AE910F8" w14:textId="77777777" w:rsidTr="00C307FB">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3A7324E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4.3 Atracción y Promoción de Eventos Turísticos, Artísticos y Culturales </w:t>
            </w:r>
          </w:p>
        </w:tc>
        <w:tc>
          <w:tcPr>
            <w:tcW w:w="608" w:type="pct"/>
            <w:tcBorders>
              <w:top w:val="nil"/>
              <w:left w:val="nil"/>
              <w:bottom w:val="single" w:sz="4" w:space="0" w:color="auto"/>
              <w:right w:val="single" w:sz="4" w:space="0" w:color="auto"/>
            </w:tcBorders>
            <w:shd w:val="clear" w:color="auto" w:fill="auto"/>
            <w:vAlign w:val="center"/>
            <w:hideMark/>
          </w:tcPr>
          <w:p w14:paraId="6E5BDD9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4.3.2 </w:t>
            </w:r>
          </w:p>
        </w:tc>
        <w:tc>
          <w:tcPr>
            <w:tcW w:w="724" w:type="pct"/>
            <w:tcBorders>
              <w:top w:val="nil"/>
              <w:left w:val="nil"/>
              <w:bottom w:val="single" w:sz="4" w:space="0" w:color="auto"/>
              <w:right w:val="single" w:sz="4" w:space="0" w:color="auto"/>
            </w:tcBorders>
            <w:shd w:val="clear" w:color="auto" w:fill="auto"/>
            <w:vAlign w:val="center"/>
            <w:hideMark/>
          </w:tcPr>
          <w:p w14:paraId="5551C5D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4.3.2 Participar y promover la participación en eventos orientados al fortalecimiento de los sectores agroalimentario y agropecuario.</w:t>
            </w:r>
          </w:p>
        </w:tc>
        <w:tc>
          <w:tcPr>
            <w:tcW w:w="783" w:type="pct"/>
            <w:tcBorders>
              <w:top w:val="nil"/>
              <w:left w:val="nil"/>
              <w:bottom w:val="single" w:sz="4" w:space="0" w:color="auto"/>
              <w:right w:val="single" w:sz="4" w:space="0" w:color="auto"/>
            </w:tcBorders>
            <w:shd w:val="clear" w:color="auto" w:fill="auto"/>
            <w:vAlign w:val="center"/>
            <w:hideMark/>
          </w:tcPr>
          <w:p w14:paraId="3D1EF7C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Tasa de variación de asistencia de la población en relación con años anteriores en los eventos señalados</w:t>
            </w:r>
          </w:p>
        </w:tc>
        <w:tc>
          <w:tcPr>
            <w:tcW w:w="783" w:type="pct"/>
            <w:tcBorders>
              <w:top w:val="nil"/>
              <w:left w:val="nil"/>
              <w:bottom w:val="single" w:sz="4" w:space="0" w:color="auto"/>
              <w:right w:val="single" w:sz="4" w:space="0" w:color="auto"/>
            </w:tcBorders>
            <w:shd w:val="clear" w:color="auto" w:fill="auto"/>
            <w:vAlign w:val="center"/>
            <w:hideMark/>
          </w:tcPr>
          <w:p w14:paraId="681596F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Incrementar en un 70% la participación acumulada en tres años en la Expo ganadera de la feria de León  en 2022, 2023 y 2024,  Foro Nacional de Lechería 2022 y Venta de Emprendedores rurales en Centros comerciales, Feria de las luces , Agroalimentaria  y eventos locales.</w:t>
            </w:r>
          </w:p>
        </w:tc>
        <w:tc>
          <w:tcPr>
            <w:tcW w:w="391" w:type="pct"/>
            <w:tcBorders>
              <w:top w:val="nil"/>
              <w:left w:val="nil"/>
              <w:bottom w:val="single" w:sz="4" w:space="0" w:color="auto"/>
              <w:right w:val="single" w:sz="4" w:space="0" w:color="auto"/>
            </w:tcBorders>
            <w:shd w:val="clear" w:color="auto" w:fill="auto"/>
            <w:vAlign w:val="center"/>
            <w:hideMark/>
          </w:tcPr>
          <w:p w14:paraId="1F4D689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77B2EB3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91" w:type="pct"/>
            <w:tcBorders>
              <w:top w:val="nil"/>
              <w:left w:val="nil"/>
              <w:bottom w:val="single" w:sz="4" w:space="0" w:color="auto"/>
              <w:right w:val="single" w:sz="4" w:space="0" w:color="auto"/>
            </w:tcBorders>
            <w:shd w:val="clear" w:color="auto" w:fill="auto"/>
            <w:vAlign w:val="center"/>
            <w:hideMark/>
          </w:tcPr>
          <w:p w14:paraId="25F6357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20%</w:t>
            </w:r>
          </w:p>
        </w:tc>
        <w:tc>
          <w:tcPr>
            <w:tcW w:w="391" w:type="pct"/>
            <w:tcBorders>
              <w:top w:val="nil"/>
              <w:left w:val="nil"/>
              <w:bottom w:val="single" w:sz="4" w:space="0" w:color="auto"/>
              <w:right w:val="single" w:sz="4" w:space="0" w:color="auto"/>
            </w:tcBorders>
            <w:shd w:val="clear" w:color="auto" w:fill="auto"/>
            <w:vAlign w:val="center"/>
            <w:hideMark/>
          </w:tcPr>
          <w:p w14:paraId="716E98C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20%</w:t>
            </w:r>
          </w:p>
        </w:tc>
      </w:tr>
      <w:tr w:rsidR="00794EB9" w:rsidRPr="00794EB9" w14:paraId="02230B8B" w14:textId="77777777" w:rsidTr="00C307FB">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1A3CD6E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VT. 4.3 Atracción y Promoción de Eventos Turísticos, Artísticos y Culturales </w:t>
            </w:r>
          </w:p>
        </w:tc>
        <w:tc>
          <w:tcPr>
            <w:tcW w:w="608" w:type="pct"/>
            <w:tcBorders>
              <w:top w:val="nil"/>
              <w:left w:val="nil"/>
              <w:bottom w:val="single" w:sz="4" w:space="0" w:color="auto"/>
              <w:right w:val="single" w:sz="4" w:space="0" w:color="auto"/>
            </w:tcBorders>
            <w:shd w:val="clear" w:color="auto" w:fill="auto"/>
            <w:vAlign w:val="center"/>
            <w:hideMark/>
          </w:tcPr>
          <w:p w14:paraId="2B0E445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4.3.3 </w:t>
            </w:r>
          </w:p>
        </w:tc>
        <w:tc>
          <w:tcPr>
            <w:tcW w:w="724" w:type="pct"/>
            <w:tcBorders>
              <w:top w:val="nil"/>
              <w:left w:val="nil"/>
              <w:bottom w:val="single" w:sz="4" w:space="0" w:color="auto"/>
              <w:right w:val="single" w:sz="4" w:space="0" w:color="auto"/>
            </w:tcBorders>
            <w:shd w:val="clear" w:color="auto" w:fill="auto"/>
            <w:vAlign w:val="center"/>
            <w:hideMark/>
          </w:tcPr>
          <w:p w14:paraId="5D5FF22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4.3.3 Realizar festivales de atracción turística para la ciudad.</w:t>
            </w:r>
          </w:p>
        </w:tc>
        <w:tc>
          <w:tcPr>
            <w:tcW w:w="783" w:type="pct"/>
            <w:tcBorders>
              <w:top w:val="nil"/>
              <w:left w:val="nil"/>
              <w:bottom w:val="single" w:sz="4" w:space="0" w:color="auto"/>
              <w:right w:val="single" w:sz="4" w:space="0" w:color="auto"/>
            </w:tcBorders>
            <w:shd w:val="clear" w:color="auto" w:fill="auto"/>
            <w:vAlign w:val="center"/>
            <w:hideMark/>
          </w:tcPr>
          <w:p w14:paraId="44D99F6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Número de festivales y eventos en el año apoyados.</w:t>
            </w:r>
          </w:p>
        </w:tc>
        <w:tc>
          <w:tcPr>
            <w:tcW w:w="783" w:type="pct"/>
            <w:tcBorders>
              <w:top w:val="nil"/>
              <w:left w:val="nil"/>
              <w:bottom w:val="single" w:sz="4" w:space="0" w:color="auto"/>
              <w:right w:val="single" w:sz="4" w:space="0" w:color="auto"/>
            </w:tcBorders>
            <w:shd w:val="clear" w:color="auto" w:fill="auto"/>
            <w:vAlign w:val="center"/>
            <w:hideMark/>
          </w:tcPr>
          <w:p w14:paraId="6BC4249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20 festivales y eventos apoyados de manera anual.</w:t>
            </w:r>
          </w:p>
        </w:tc>
        <w:tc>
          <w:tcPr>
            <w:tcW w:w="391" w:type="pct"/>
            <w:tcBorders>
              <w:top w:val="nil"/>
              <w:left w:val="nil"/>
              <w:bottom w:val="single" w:sz="4" w:space="0" w:color="auto"/>
              <w:right w:val="single" w:sz="4" w:space="0" w:color="auto"/>
            </w:tcBorders>
            <w:shd w:val="clear" w:color="auto" w:fill="auto"/>
            <w:vAlign w:val="center"/>
            <w:hideMark/>
          </w:tcPr>
          <w:p w14:paraId="5EBC218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725EF0E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3F4D15A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0B45719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578B6FF7" w14:textId="77777777" w:rsidTr="00C307FB">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157E7FA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4.3 Atracción y Promoción de Eventos Turísticos, Artísticos y Culturales </w:t>
            </w:r>
          </w:p>
        </w:tc>
        <w:tc>
          <w:tcPr>
            <w:tcW w:w="608" w:type="pct"/>
            <w:tcBorders>
              <w:top w:val="nil"/>
              <w:left w:val="nil"/>
              <w:bottom w:val="single" w:sz="4" w:space="0" w:color="auto"/>
              <w:right w:val="single" w:sz="4" w:space="0" w:color="auto"/>
            </w:tcBorders>
            <w:shd w:val="clear" w:color="auto" w:fill="auto"/>
            <w:vAlign w:val="center"/>
            <w:hideMark/>
          </w:tcPr>
          <w:p w14:paraId="30F31CC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4.3.3 </w:t>
            </w:r>
          </w:p>
        </w:tc>
        <w:tc>
          <w:tcPr>
            <w:tcW w:w="724" w:type="pct"/>
            <w:tcBorders>
              <w:top w:val="nil"/>
              <w:left w:val="nil"/>
              <w:bottom w:val="single" w:sz="4" w:space="0" w:color="auto"/>
              <w:right w:val="single" w:sz="4" w:space="0" w:color="auto"/>
            </w:tcBorders>
            <w:shd w:val="clear" w:color="auto" w:fill="auto"/>
            <w:vAlign w:val="center"/>
            <w:hideMark/>
          </w:tcPr>
          <w:p w14:paraId="79A4E91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4.3.3 Realizar festivales de atracción turística para la ciudad.</w:t>
            </w:r>
          </w:p>
        </w:tc>
        <w:tc>
          <w:tcPr>
            <w:tcW w:w="783" w:type="pct"/>
            <w:tcBorders>
              <w:top w:val="nil"/>
              <w:left w:val="nil"/>
              <w:bottom w:val="single" w:sz="4" w:space="0" w:color="auto"/>
              <w:right w:val="single" w:sz="4" w:space="0" w:color="auto"/>
            </w:tcBorders>
            <w:shd w:val="clear" w:color="auto" w:fill="auto"/>
            <w:vAlign w:val="center"/>
            <w:hideMark/>
          </w:tcPr>
          <w:p w14:paraId="468F2AE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Número de intervenciones realizadas en el año respecto del total previsto.</w:t>
            </w:r>
          </w:p>
        </w:tc>
        <w:tc>
          <w:tcPr>
            <w:tcW w:w="783" w:type="pct"/>
            <w:tcBorders>
              <w:top w:val="nil"/>
              <w:left w:val="nil"/>
              <w:bottom w:val="single" w:sz="4" w:space="0" w:color="auto"/>
              <w:right w:val="single" w:sz="4" w:space="0" w:color="auto"/>
            </w:tcBorders>
            <w:shd w:val="clear" w:color="auto" w:fill="auto"/>
            <w:vAlign w:val="center"/>
            <w:hideMark/>
          </w:tcPr>
          <w:p w14:paraId="7D6D395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15 intervenciones por cada una de las 7 delegaciones, de manera trianual.</w:t>
            </w:r>
          </w:p>
        </w:tc>
        <w:tc>
          <w:tcPr>
            <w:tcW w:w="391" w:type="pct"/>
            <w:tcBorders>
              <w:top w:val="nil"/>
              <w:left w:val="nil"/>
              <w:bottom w:val="single" w:sz="4" w:space="0" w:color="auto"/>
              <w:right w:val="single" w:sz="4" w:space="0" w:color="auto"/>
            </w:tcBorders>
            <w:shd w:val="clear" w:color="auto" w:fill="auto"/>
            <w:vAlign w:val="center"/>
            <w:hideMark/>
          </w:tcPr>
          <w:p w14:paraId="623D36D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616CA79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206670D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15040DA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46A42B57" w14:textId="77777777" w:rsidTr="00C307FB">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1B53437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4.3 Atracción y Promoción de Eventos Turísticos, Artísticos y Culturales </w:t>
            </w:r>
          </w:p>
        </w:tc>
        <w:tc>
          <w:tcPr>
            <w:tcW w:w="608" w:type="pct"/>
            <w:tcBorders>
              <w:top w:val="nil"/>
              <w:left w:val="nil"/>
              <w:bottom w:val="single" w:sz="4" w:space="0" w:color="auto"/>
              <w:right w:val="single" w:sz="4" w:space="0" w:color="auto"/>
            </w:tcBorders>
            <w:shd w:val="clear" w:color="auto" w:fill="auto"/>
            <w:vAlign w:val="center"/>
            <w:hideMark/>
          </w:tcPr>
          <w:p w14:paraId="644F821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4.3.4 </w:t>
            </w:r>
          </w:p>
        </w:tc>
        <w:tc>
          <w:tcPr>
            <w:tcW w:w="724" w:type="pct"/>
            <w:tcBorders>
              <w:top w:val="nil"/>
              <w:left w:val="nil"/>
              <w:bottom w:val="single" w:sz="4" w:space="0" w:color="auto"/>
              <w:right w:val="single" w:sz="4" w:space="0" w:color="auto"/>
            </w:tcBorders>
            <w:shd w:val="clear" w:color="auto" w:fill="auto"/>
            <w:vAlign w:val="center"/>
            <w:hideMark/>
          </w:tcPr>
          <w:p w14:paraId="593FB5F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4.3.4 Realizar eventos de proyección nacional e internacional</w:t>
            </w:r>
          </w:p>
        </w:tc>
        <w:tc>
          <w:tcPr>
            <w:tcW w:w="783" w:type="pct"/>
            <w:tcBorders>
              <w:top w:val="nil"/>
              <w:left w:val="nil"/>
              <w:bottom w:val="single" w:sz="4" w:space="0" w:color="auto"/>
              <w:right w:val="single" w:sz="4" w:space="0" w:color="auto"/>
            </w:tcBorders>
            <w:shd w:val="clear" w:color="auto" w:fill="auto"/>
            <w:vAlign w:val="center"/>
            <w:hideMark/>
          </w:tcPr>
          <w:p w14:paraId="7C34318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Número de eventos de la industria de reuniones en el año apoyados.</w:t>
            </w:r>
          </w:p>
        </w:tc>
        <w:tc>
          <w:tcPr>
            <w:tcW w:w="783" w:type="pct"/>
            <w:tcBorders>
              <w:top w:val="nil"/>
              <w:left w:val="nil"/>
              <w:bottom w:val="single" w:sz="4" w:space="0" w:color="auto"/>
              <w:right w:val="single" w:sz="4" w:space="0" w:color="auto"/>
            </w:tcBorders>
            <w:shd w:val="clear" w:color="auto" w:fill="auto"/>
            <w:vAlign w:val="center"/>
            <w:hideMark/>
          </w:tcPr>
          <w:p w14:paraId="795DB4E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20 eventos de la industria de reuniones apoyados por año.</w:t>
            </w:r>
          </w:p>
        </w:tc>
        <w:tc>
          <w:tcPr>
            <w:tcW w:w="391" w:type="pct"/>
            <w:tcBorders>
              <w:top w:val="nil"/>
              <w:left w:val="nil"/>
              <w:bottom w:val="single" w:sz="4" w:space="0" w:color="auto"/>
              <w:right w:val="single" w:sz="4" w:space="0" w:color="auto"/>
            </w:tcBorders>
            <w:shd w:val="clear" w:color="auto" w:fill="auto"/>
            <w:vAlign w:val="center"/>
            <w:hideMark/>
          </w:tcPr>
          <w:p w14:paraId="1AF100A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2AB36D6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4077B9C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4C1E6F6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bl>
    <w:p w14:paraId="231F848B" w14:textId="77777777" w:rsidR="00794EB9" w:rsidRPr="00794EB9" w:rsidRDefault="00794EB9" w:rsidP="00794EB9">
      <w:pPr>
        <w:ind w:leftChars="-194" w:left="-388" w:firstLine="1"/>
        <w:rPr>
          <w:rFonts w:ascii="Arial" w:hAnsi="Arial" w:cs="Arial"/>
          <w:sz w:val="22"/>
          <w:szCs w:val="22"/>
        </w:rPr>
      </w:pPr>
    </w:p>
    <w:p w14:paraId="0B2C9D78"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BANDERA. VIVIR SANO</w:t>
      </w:r>
    </w:p>
    <w:p w14:paraId="49A1B752"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Estrategia 3.  MEDIO AMBIENTE Y SUSTENTABILIDAD</w:t>
      </w:r>
    </w:p>
    <w:p w14:paraId="5C029D81"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PROGRAMA: VS1. LEÓN VERDE</w:t>
      </w:r>
    </w:p>
    <w:p w14:paraId="6B613A19" w14:textId="77777777" w:rsidR="00794EB9" w:rsidRPr="00794EB9" w:rsidRDefault="00794EB9" w:rsidP="00794EB9">
      <w:pPr>
        <w:spacing w:line="259" w:lineRule="auto"/>
        <w:jc w:val="both"/>
        <w:rPr>
          <w:rFonts w:ascii="Arial" w:hAnsi="Arial" w:cs="Arial"/>
          <w:sz w:val="22"/>
          <w:szCs w:val="22"/>
          <w:lang w:eastAsia="es-MX"/>
        </w:rPr>
      </w:pPr>
      <w:r w:rsidRPr="00794EB9">
        <w:rPr>
          <w:rFonts w:ascii="Arial" w:hAnsi="Arial" w:cs="Arial"/>
          <w:i/>
          <w:iCs/>
          <w:sz w:val="22"/>
          <w:szCs w:val="22"/>
          <w:lang w:eastAsia="es-MX"/>
        </w:rPr>
        <w:t xml:space="preserve">Objetivo del programa: </w:t>
      </w:r>
      <w:r w:rsidRPr="00794EB9">
        <w:rPr>
          <w:rFonts w:ascii="Arial" w:hAnsi="Arial" w:cs="Arial"/>
          <w:sz w:val="22"/>
          <w:szCs w:val="22"/>
          <w:lang w:eastAsia="es-MX"/>
        </w:rPr>
        <w:t>Lograr que León sea referente como Ciudad Sostenible por la Red de Parques Urbanos e Infraestructura Verde, sus Parques Metropolitanos, el rescate de sus espacios públicos, la protección a mascotas y fauna, la gestión del agua y el manejo integral de los residuos sólidos, con una base fuerte e colaboración ciudadana.</w:t>
      </w:r>
    </w:p>
    <w:p w14:paraId="0BFEC1ED" w14:textId="77777777" w:rsidR="00794EB9" w:rsidRPr="00794EB9" w:rsidRDefault="00794EB9" w:rsidP="00794EB9">
      <w:pPr>
        <w:spacing w:line="259" w:lineRule="auto"/>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188"/>
        <w:gridCol w:w="1087"/>
        <w:gridCol w:w="1421"/>
        <w:gridCol w:w="1310"/>
        <w:gridCol w:w="1366"/>
        <w:gridCol w:w="614"/>
        <w:gridCol w:w="614"/>
        <w:gridCol w:w="614"/>
        <w:gridCol w:w="614"/>
      </w:tblGrid>
      <w:tr w:rsidR="00794EB9" w:rsidRPr="00794EB9" w14:paraId="05595FE1" w14:textId="77777777" w:rsidTr="00C307FB">
        <w:trPr>
          <w:cantSplit/>
          <w:trHeight w:val="57"/>
          <w:tblHeader/>
        </w:trPr>
        <w:tc>
          <w:tcPr>
            <w:tcW w:w="66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6269DA"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lastRenderedPageBreak/>
              <w:t xml:space="preserve"> PROYECTOS </w:t>
            </w:r>
          </w:p>
        </w:tc>
        <w:tc>
          <w:tcPr>
            <w:tcW w:w="60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583B859"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79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943F43D"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73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EFDB40E"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76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5F16C80"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3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9DC6E86"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38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888E69E"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8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704105E"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3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1F4BF3D"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0901508E"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50BFF09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1.1 Amigos del Planeta</w:t>
            </w:r>
          </w:p>
        </w:tc>
        <w:tc>
          <w:tcPr>
            <w:tcW w:w="604" w:type="pct"/>
            <w:tcBorders>
              <w:top w:val="nil"/>
              <w:left w:val="nil"/>
              <w:bottom w:val="single" w:sz="4" w:space="0" w:color="auto"/>
              <w:right w:val="single" w:sz="4" w:space="0" w:color="auto"/>
            </w:tcBorders>
            <w:shd w:val="clear" w:color="auto" w:fill="auto"/>
            <w:vAlign w:val="center"/>
            <w:hideMark/>
          </w:tcPr>
          <w:p w14:paraId="6E7E818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VS.1.1.1 </w:t>
            </w:r>
          </w:p>
        </w:tc>
        <w:tc>
          <w:tcPr>
            <w:tcW w:w="794" w:type="pct"/>
            <w:tcBorders>
              <w:top w:val="nil"/>
              <w:left w:val="nil"/>
              <w:bottom w:val="single" w:sz="4" w:space="0" w:color="auto"/>
              <w:right w:val="single" w:sz="4" w:space="0" w:color="auto"/>
            </w:tcBorders>
            <w:shd w:val="clear" w:color="auto" w:fill="auto"/>
            <w:vAlign w:val="center"/>
            <w:hideMark/>
          </w:tcPr>
          <w:p w14:paraId="063B6D9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VS.1.1.1 Diseñar el programa y la entrega de Certificaciones "Amigos del Planeta", dirigido a individuos, asociaciones y empresas con logros destacados en acciones de forestación, conservación ambiental y otras relacionadas con la mejora del medio ambiente en León. </w:t>
            </w:r>
          </w:p>
        </w:tc>
        <w:tc>
          <w:tcPr>
            <w:tcW w:w="731" w:type="pct"/>
            <w:tcBorders>
              <w:top w:val="nil"/>
              <w:left w:val="nil"/>
              <w:bottom w:val="single" w:sz="4" w:space="0" w:color="auto"/>
              <w:right w:val="single" w:sz="4" w:space="0" w:color="auto"/>
            </w:tcBorders>
            <w:shd w:val="clear" w:color="auto" w:fill="auto"/>
            <w:vAlign w:val="center"/>
            <w:hideMark/>
          </w:tcPr>
          <w:p w14:paraId="30E6E13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certificaciones entregadas respecto del total previsto</w:t>
            </w:r>
          </w:p>
        </w:tc>
        <w:tc>
          <w:tcPr>
            <w:tcW w:w="762" w:type="pct"/>
            <w:tcBorders>
              <w:top w:val="nil"/>
              <w:left w:val="nil"/>
              <w:bottom w:val="single" w:sz="4" w:space="0" w:color="auto"/>
              <w:right w:val="single" w:sz="4" w:space="0" w:color="auto"/>
            </w:tcBorders>
            <w:shd w:val="clear" w:color="auto" w:fill="auto"/>
            <w:vAlign w:val="center"/>
            <w:hideMark/>
          </w:tcPr>
          <w:p w14:paraId="245BB64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Entregar 18 Certificaciones "Amigos del Planeta"</w:t>
            </w:r>
          </w:p>
        </w:tc>
        <w:tc>
          <w:tcPr>
            <w:tcW w:w="335" w:type="pct"/>
            <w:tcBorders>
              <w:top w:val="nil"/>
              <w:left w:val="nil"/>
              <w:bottom w:val="single" w:sz="4" w:space="0" w:color="auto"/>
              <w:right w:val="single" w:sz="4" w:space="0" w:color="auto"/>
            </w:tcBorders>
            <w:shd w:val="clear" w:color="auto" w:fill="auto"/>
            <w:vAlign w:val="center"/>
            <w:hideMark/>
          </w:tcPr>
          <w:p w14:paraId="6D6CA8D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7C9550C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88" w:type="pct"/>
            <w:tcBorders>
              <w:top w:val="nil"/>
              <w:left w:val="nil"/>
              <w:bottom w:val="single" w:sz="4" w:space="0" w:color="auto"/>
              <w:right w:val="single" w:sz="4" w:space="0" w:color="auto"/>
            </w:tcBorders>
            <w:shd w:val="clear" w:color="auto" w:fill="auto"/>
            <w:vAlign w:val="center"/>
            <w:hideMark/>
          </w:tcPr>
          <w:p w14:paraId="074825F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5" w:type="pct"/>
            <w:tcBorders>
              <w:top w:val="nil"/>
              <w:left w:val="nil"/>
              <w:bottom w:val="single" w:sz="4" w:space="0" w:color="auto"/>
              <w:right w:val="single" w:sz="4" w:space="0" w:color="auto"/>
            </w:tcBorders>
            <w:shd w:val="clear" w:color="auto" w:fill="auto"/>
            <w:vAlign w:val="center"/>
            <w:hideMark/>
          </w:tcPr>
          <w:p w14:paraId="75E5B94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5F3ED131"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127C0BF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1.2 León protector de mascotas y animales en riesgo</w:t>
            </w:r>
          </w:p>
        </w:tc>
        <w:tc>
          <w:tcPr>
            <w:tcW w:w="604" w:type="pct"/>
            <w:tcBorders>
              <w:top w:val="nil"/>
              <w:left w:val="nil"/>
              <w:bottom w:val="single" w:sz="4" w:space="0" w:color="auto"/>
              <w:right w:val="single" w:sz="4" w:space="0" w:color="auto"/>
            </w:tcBorders>
            <w:shd w:val="clear" w:color="auto" w:fill="auto"/>
            <w:vAlign w:val="center"/>
            <w:hideMark/>
          </w:tcPr>
          <w:p w14:paraId="3BE3B4E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1.2.1</w:t>
            </w:r>
          </w:p>
        </w:tc>
        <w:tc>
          <w:tcPr>
            <w:tcW w:w="794" w:type="pct"/>
            <w:tcBorders>
              <w:top w:val="nil"/>
              <w:left w:val="nil"/>
              <w:bottom w:val="single" w:sz="4" w:space="0" w:color="auto"/>
              <w:right w:val="single" w:sz="4" w:space="0" w:color="auto"/>
            </w:tcBorders>
            <w:shd w:val="clear" w:color="auto" w:fill="auto"/>
            <w:vAlign w:val="center"/>
            <w:hideMark/>
          </w:tcPr>
          <w:p w14:paraId="29A1032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1.2.1 Realizar esterilizaciones de perros y gatos en el Municipio de León para reducir la población de animales en estado de abandono en calle.</w:t>
            </w:r>
          </w:p>
        </w:tc>
        <w:tc>
          <w:tcPr>
            <w:tcW w:w="731" w:type="pct"/>
            <w:tcBorders>
              <w:top w:val="nil"/>
              <w:left w:val="nil"/>
              <w:bottom w:val="single" w:sz="4" w:space="0" w:color="auto"/>
              <w:right w:val="single" w:sz="4" w:space="0" w:color="auto"/>
            </w:tcBorders>
            <w:shd w:val="clear" w:color="auto" w:fill="auto"/>
            <w:vAlign w:val="center"/>
            <w:hideMark/>
          </w:tcPr>
          <w:p w14:paraId="2101B55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realización de esterilizaciones respecto al total previsto.</w:t>
            </w:r>
          </w:p>
        </w:tc>
        <w:tc>
          <w:tcPr>
            <w:tcW w:w="762" w:type="pct"/>
            <w:tcBorders>
              <w:top w:val="nil"/>
              <w:left w:val="nil"/>
              <w:bottom w:val="single" w:sz="4" w:space="0" w:color="auto"/>
              <w:right w:val="single" w:sz="4" w:space="0" w:color="auto"/>
            </w:tcBorders>
            <w:shd w:val="clear" w:color="auto" w:fill="auto"/>
            <w:vAlign w:val="center"/>
            <w:hideMark/>
          </w:tcPr>
          <w:p w14:paraId="5996DF3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72,000 esterilizaciones de perros y gatos</w:t>
            </w:r>
          </w:p>
        </w:tc>
        <w:tc>
          <w:tcPr>
            <w:tcW w:w="335" w:type="pct"/>
            <w:tcBorders>
              <w:top w:val="nil"/>
              <w:left w:val="nil"/>
              <w:bottom w:val="single" w:sz="4" w:space="0" w:color="auto"/>
              <w:right w:val="single" w:sz="4" w:space="0" w:color="auto"/>
            </w:tcBorders>
            <w:shd w:val="clear" w:color="auto" w:fill="auto"/>
            <w:vAlign w:val="center"/>
            <w:hideMark/>
          </w:tcPr>
          <w:p w14:paraId="0BFD15B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07361EA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32%</w:t>
            </w:r>
          </w:p>
        </w:tc>
        <w:tc>
          <w:tcPr>
            <w:tcW w:w="388" w:type="pct"/>
            <w:tcBorders>
              <w:top w:val="nil"/>
              <w:left w:val="nil"/>
              <w:bottom w:val="single" w:sz="4" w:space="0" w:color="auto"/>
              <w:right w:val="single" w:sz="4" w:space="0" w:color="auto"/>
            </w:tcBorders>
            <w:shd w:val="clear" w:color="auto" w:fill="auto"/>
            <w:vAlign w:val="center"/>
            <w:hideMark/>
          </w:tcPr>
          <w:p w14:paraId="424320C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c>
          <w:tcPr>
            <w:tcW w:w="335" w:type="pct"/>
            <w:tcBorders>
              <w:top w:val="nil"/>
              <w:left w:val="nil"/>
              <w:bottom w:val="single" w:sz="4" w:space="0" w:color="auto"/>
              <w:right w:val="single" w:sz="4" w:space="0" w:color="auto"/>
            </w:tcBorders>
            <w:shd w:val="clear" w:color="auto" w:fill="auto"/>
            <w:vAlign w:val="center"/>
            <w:hideMark/>
          </w:tcPr>
          <w:p w14:paraId="244DFF1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7C6C2115"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07EC307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1.2 León protector de mascotas y animales en riesgo</w:t>
            </w:r>
          </w:p>
        </w:tc>
        <w:tc>
          <w:tcPr>
            <w:tcW w:w="604" w:type="pct"/>
            <w:tcBorders>
              <w:top w:val="nil"/>
              <w:left w:val="nil"/>
              <w:bottom w:val="single" w:sz="4" w:space="0" w:color="auto"/>
              <w:right w:val="single" w:sz="4" w:space="0" w:color="auto"/>
            </w:tcBorders>
            <w:shd w:val="clear" w:color="auto" w:fill="auto"/>
            <w:vAlign w:val="center"/>
            <w:hideMark/>
          </w:tcPr>
          <w:p w14:paraId="0B0C6C7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1.2.2</w:t>
            </w:r>
          </w:p>
        </w:tc>
        <w:tc>
          <w:tcPr>
            <w:tcW w:w="794" w:type="pct"/>
            <w:tcBorders>
              <w:top w:val="nil"/>
              <w:left w:val="nil"/>
              <w:bottom w:val="single" w:sz="4" w:space="0" w:color="auto"/>
              <w:right w:val="single" w:sz="4" w:space="0" w:color="auto"/>
            </w:tcBorders>
            <w:shd w:val="clear" w:color="auto" w:fill="auto"/>
            <w:vAlign w:val="center"/>
            <w:hideMark/>
          </w:tcPr>
          <w:p w14:paraId="76AA219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1.2.2 Ampliar los horarios y mejorar los servicios de atención del Centro de Control y Bienestar Animal.</w:t>
            </w:r>
          </w:p>
        </w:tc>
        <w:tc>
          <w:tcPr>
            <w:tcW w:w="731" w:type="pct"/>
            <w:tcBorders>
              <w:top w:val="nil"/>
              <w:left w:val="nil"/>
              <w:bottom w:val="single" w:sz="4" w:space="0" w:color="auto"/>
              <w:right w:val="single" w:sz="4" w:space="0" w:color="auto"/>
            </w:tcBorders>
            <w:shd w:val="clear" w:color="auto" w:fill="auto"/>
            <w:vAlign w:val="center"/>
            <w:hideMark/>
          </w:tcPr>
          <w:p w14:paraId="77D8850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en la ampliación de los horarios y mejora de los servicios respecto a la situación actual</w:t>
            </w:r>
          </w:p>
        </w:tc>
        <w:tc>
          <w:tcPr>
            <w:tcW w:w="762" w:type="pct"/>
            <w:tcBorders>
              <w:top w:val="nil"/>
              <w:left w:val="nil"/>
              <w:bottom w:val="single" w:sz="4" w:space="0" w:color="auto"/>
              <w:right w:val="single" w:sz="4" w:space="0" w:color="auto"/>
            </w:tcBorders>
            <w:shd w:val="clear" w:color="auto" w:fill="auto"/>
            <w:vAlign w:val="center"/>
            <w:hideMark/>
          </w:tcPr>
          <w:p w14:paraId="4875888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Ampliar los horarios y servicios del Centro de Control y Bienestar Animal</w:t>
            </w:r>
          </w:p>
        </w:tc>
        <w:tc>
          <w:tcPr>
            <w:tcW w:w="335" w:type="pct"/>
            <w:tcBorders>
              <w:top w:val="nil"/>
              <w:left w:val="nil"/>
              <w:bottom w:val="single" w:sz="4" w:space="0" w:color="auto"/>
              <w:right w:val="single" w:sz="4" w:space="0" w:color="auto"/>
            </w:tcBorders>
            <w:shd w:val="clear" w:color="auto" w:fill="auto"/>
            <w:vAlign w:val="center"/>
            <w:hideMark/>
          </w:tcPr>
          <w:p w14:paraId="6004B66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2FD59EA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88" w:type="pct"/>
            <w:tcBorders>
              <w:top w:val="nil"/>
              <w:left w:val="nil"/>
              <w:bottom w:val="single" w:sz="4" w:space="0" w:color="auto"/>
              <w:right w:val="single" w:sz="4" w:space="0" w:color="auto"/>
            </w:tcBorders>
            <w:shd w:val="clear" w:color="auto" w:fill="auto"/>
            <w:vAlign w:val="center"/>
            <w:hideMark/>
          </w:tcPr>
          <w:p w14:paraId="31351AD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35" w:type="pct"/>
            <w:tcBorders>
              <w:top w:val="nil"/>
              <w:left w:val="nil"/>
              <w:bottom w:val="single" w:sz="4" w:space="0" w:color="auto"/>
              <w:right w:val="single" w:sz="4" w:space="0" w:color="auto"/>
            </w:tcBorders>
            <w:shd w:val="clear" w:color="auto" w:fill="auto"/>
            <w:vAlign w:val="center"/>
            <w:hideMark/>
          </w:tcPr>
          <w:p w14:paraId="5D540C6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5C52B620"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5B3E0AC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1.2 León protector de mascotas y animales en riesgo</w:t>
            </w:r>
          </w:p>
        </w:tc>
        <w:tc>
          <w:tcPr>
            <w:tcW w:w="604" w:type="pct"/>
            <w:tcBorders>
              <w:top w:val="nil"/>
              <w:left w:val="nil"/>
              <w:bottom w:val="single" w:sz="4" w:space="0" w:color="auto"/>
              <w:right w:val="single" w:sz="4" w:space="0" w:color="auto"/>
            </w:tcBorders>
            <w:shd w:val="clear" w:color="auto" w:fill="auto"/>
            <w:vAlign w:val="center"/>
            <w:hideMark/>
          </w:tcPr>
          <w:p w14:paraId="763060B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1.2.3</w:t>
            </w:r>
          </w:p>
        </w:tc>
        <w:tc>
          <w:tcPr>
            <w:tcW w:w="794" w:type="pct"/>
            <w:tcBorders>
              <w:top w:val="nil"/>
              <w:left w:val="nil"/>
              <w:bottom w:val="single" w:sz="4" w:space="0" w:color="auto"/>
              <w:right w:val="single" w:sz="4" w:space="0" w:color="auto"/>
            </w:tcBorders>
            <w:shd w:val="clear" w:color="auto" w:fill="auto"/>
            <w:vAlign w:val="center"/>
            <w:hideMark/>
          </w:tcPr>
          <w:p w14:paraId="38FB1FF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1.2.3 Crear el Centro de Rescate de Fauna Silvestre en colaboración con el Parque Zoológico de León.</w:t>
            </w:r>
          </w:p>
        </w:tc>
        <w:tc>
          <w:tcPr>
            <w:tcW w:w="731" w:type="pct"/>
            <w:tcBorders>
              <w:top w:val="nil"/>
              <w:left w:val="nil"/>
              <w:bottom w:val="single" w:sz="4" w:space="0" w:color="auto"/>
              <w:right w:val="single" w:sz="4" w:space="0" w:color="auto"/>
            </w:tcBorders>
            <w:shd w:val="clear" w:color="auto" w:fill="auto"/>
            <w:vAlign w:val="center"/>
            <w:hideMark/>
          </w:tcPr>
          <w:p w14:paraId="1505949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avance de la 1era etapa de la Creación del centro de rescate de fauna silvestre respecto del total </w:t>
            </w:r>
          </w:p>
        </w:tc>
        <w:tc>
          <w:tcPr>
            <w:tcW w:w="762" w:type="pct"/>
            <w:tcBorders>
              <w:top w:val="nil"/>
              <w:left w:val="nil"/>
              <w:bottom w:val="single" w:sz="4" w:space="0" w:color="auto"/>
              <w:right w:val="single" w:sz="4" w:space="0" w:color="auto"/>
            </w:tcBorders>
            <w:shd w:val="clear" w:color="auto" w:fill="auto"/>
            <w:vAlign w:val="center"/>
            <w:hideMark/>
          </w:tcPr>
          <w:p w14:paraId="1222C44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la primera etapa del Centro de Rescate de Fauna Silvestre</w:t>
            </w:r>
          </w:p>
        </w:tc>
        <w:tc>
          <w:tcPr>
            <w:tcW w:w="335" w:type="pct"/>
            <w:tcBorders>
              <w:top w:val="nil"/>
              <w:left w:val="nil"/>
              <w:bottom w:val="single" w:sz="4" w:space="0" w:color="auto"/>
              <w:right w:val="single" w:sz="4" w:space="0" w:color="auto"/>
            </w:tcBorders>
            <w:shd w:val="clear" w:color="auto" w:fill="auto"/>
            <w:vAlign w:val="center"/>
            <w:hideMark/>
          </w:tcPr>
          <w:p w14:paraId="5AD13DB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283AB3B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88" w:type="pct"/>
            <w:tcBorders>
              <w:top w:val="nil"/>
              <w:left w:val="nil"/>
              <w:bottom w:val="single" w:sz="4" w:space="0" w:color="auto"/>
              <w:right w:val="single" w:sz="4" w:space="0" w:color="auto"/>
            </w:tcBorders>
            <w:shd w:val="clear" w:color="auto" w:fill="auto"/>
            <w:vAlign w:val="center"/>
            <w:hideMark/>
          </w:tcPr>
          <w:p w14:paraId="6F0C1E9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60%</w:t>
            </w:r>
          </w:p>
        </w:tc>
        <w:tc>
          <w:tcPr>
            <w:tcW w:w="335" w:type="pct"/>
            <w:tcBorders>
              <w:top w:val="nil"/>
              <w:left w:val="nil"/>
              <w:bottom w:val="single" w:sz="4" w:space="0" w:color="auto"/>
              <w:right w:val="single" w:sz="4" w:space="0" w:color="auto"/>
            </w:tcBorders>
            <w:shd w:val="clear" w:color="auto" w:fill="auto"/>
            <w:vAlign w:val="center"/>
            <w:hideMark/>
          </w:tcPr>
          <w:p w14:paraId="3EFF1EF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601B828E"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6C21DAC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1.2 León protector de mascotas y animales en riesgo</w:t>
            </w:r>
          </w:p>
        </w:tc>
        <w:tc>
          <w:tcPr>
            <w:tcW w:w="604" w:type="pct"/>
            <w:tcBorders>
              <w:top w:val="nil"/>
              <w:left w:val="nil"/>
              <w:bottom w:val="single" w:sz="4" w:space="0" w:color="auto"/>
              <w:right w:val="single" w:sz="4" w:space="0" w:color="auto"/>
            </w:tcBorders>
            <w:shd w:val="clear" w:color="auto" w:fill="auto"/>
            <w:vAlign w:val="center"/>
            <w:hideMark/>
          </w:tcPr>
          <w:p w14:paraId="69D275A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1.2.4</w:t>
            </w:r>
          </w:p>
        </w:tc>
        <w:tc>
          <w:tcPr>
            <w:tcW w:w="794" w:type="pct"/>
            <w:tcBorders>
              <w:top w:val="nil"/>
              <w:left w:val="nil"/>
              <w:bottom w:val="single" w:sz="4" w:space="0" w:color="auto"/>
              <w:right w:val="single" w:sz="4" w:space="0" w:color="auto"/>
            </w:tcBorders>
            <w:shd w:val="clear" w:color="auto" w:fill="auto"/>
            <w:vAlign w:val="center"/>
            <w:hideMark/>
          </w:tcPr>
          <w:p w14:paraId="49F9846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1.2.4 Construir y poner en operación el Hospital Público Veterinario.</w:t>
            </w:r>
          </w:p>
        </w:tc>
        <w:tc>
          <w:tcPr>
            <w:tcW w:w="731" w:type="pct"/>
            <w:tcBorders>
              <w:top w:val="nil"/>
              <w:left w:val="nil"/>
              <w:bottom w:val="single" w:sz="4" w:space="0" w:color="auto"/>
              <w:right w:val="single" w:sz="4" w:space="0" w:color="auto"/>
            </w:tcBorders>
            <w:shd w:val="clear" w:color="auto" w:fill="auto"/>
            <w:vAlign w:val="center"/>
            <w:hideMark/>
          </w:tcPr>
          <w:p w14:paraId="045853D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construcción y puesta de operación del Hospital Veterinario respecto del total</w:t>
            </w:r>
          </w:p>
        </w:tc>
        <w:tc>
          <w:tcPr>
            <w:tcW w:w="762" w:type="pct"/>
            <w:tcBorders>
              <w:top w:val="nil"/>
              <w:left w:val="nil"/>
              <w:bottom w:val="single" w:sz="4" w:space="0" w:color="auto"/>
              <w:right w:val="single" w:sz="4" w:space="0" w:color="auto"/>
            </w:tcBorders>
            <w:shd w:val="clear" w:color="auto" w:fill="auto"/>
            <w:vAlign w:val="center"/>
            <w:hideMark/>
          </w:tcPr>
          <w:p w14:paraId="4B95D18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Construir y poner en operación de Hospital Veterinario Público</w:t>
            </w:r>
          </w:p>
        </w:tc>
        <w:tc>
          <w:tcPr>
            <w:tcW w:w="335" w:type="pct"/>
            <w:tcBorders>
              <w:top w:val="nil"/>
              <w:left w:val="nil"/>
              <w:bottom w:val="single" w:sz="4" w:space="0" w:color="auto"/>
              <w:right w:val="single" w:sz="4" w:space="0" w:color="auto"/>
            </w:tcBorders>
            <w:shd w:val="clear" w:color="auto" w:fill="auto"/>
            <w:vAlign w:val="center"/>
            <w:hideMark/>
          </w:tcPr>
          <w:p w14:paraId="4D92E64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000000"/>
              <w:right w:val="single" w:sz="4" w:space="0" w:color="000000"/>
            </w:tcBorders>
            <w:shd w:val="clear" w:color="auto" w:fill="auto"/>
            <w:vAlign w:val="center"/>
            <w:hideMark/>
          </w:tcPr>
          <w:p w14:paraId="1799164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88" w:type="pct"/>
            <w:tcBorders>
              <w:top w:val="nil"/>
              <w:left w:val="nil"/>
              <w:bottom w:val="single" w:sz="4" w:space="0" w:color="000000"/>
              <w:right w:val="single" w:sz="4" w:space="0" w:color="000000"/>
            </w:tcBorders>
            <w:shd w:val="clear" w:color="auto" w:fill="auto"/>
            <w:vAlign w:val="center"/>
            <w:hideMark/>
          </w:tcPr>
          <w:p w14:paraId="66F8452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60%</w:t>
            </w:r>
          </w:p>
        </w:tc>
        <w:tc>
          <w:tcPr>
            <w:tcW w:w="335" w:type="pct"/>
            <w:tcBorders>
              <w:top w:val="nil"/>
              <w:left w:val="nil"/>
              <w:bottom w:val="single" w:sz="4" w:space="0" w:color="auto"/>
              <w:right w:val="single" w:sz="4" w:space="0" w:color="auto"/>
            </w:tcBorders>
            <w:shd w:val="clear" w:color="auto" w:fill="auto"/>
            <w:vAlign w:val="center"/>
            <w:hideMark/>
          </w:tcPr>
          <w:p w14:paraId="5D82058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0C791A61"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1A6C725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VS. 1.3 Red de Parques Urbanos y Áreas Naturales </w:t>
            </w:r>
          </w:p>
        </w:tc>
        <w:tc>
          <w:tcPr>
            <w:tcW w:w="604" w:type="pct"/>
            <w:tcBorders>
              <w:top w:val="nil"/>
              <w:left w:val="nil"/>
              <w:bottom w:val="single" w:sz="4" w:space="0" w:color="auto"/>
              <w:right w:val="single" w:sz="4" w:space="0" w:color="auto"/>
            </w:tcBorders>
            <w:shd w:val="clear" w:color="auto" w:fill="auto"/>
            <w:vAlign w:val="center"/>
            <w:hideMark/>
          </w:tcPr>
          <w:p w14:paraId="4D6BCEB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1.3.1</w:t>
            </w:r>
          </w:p>
        </w:tc>
        <w:tc>
          <w:tcPr>
            <w:tcW w:w="794" w:type="pct"/>
            <w:tcBorders>
              <w:top w:val="nil"/>
              <w:left w:val="nil"/>
              <w:bottom w:val="single" w:sz="4" w:space="0" w:color="auto"/>
              <w:right w:val="single" w:sz="4" w:space="0" w:color="auto"/>
            </w:tcBorders>
            <w:shd w:val="clear" w:color="auto" w:fill="auto"/>
            <w:vAlign w:val="center"/>
            <w:hideMark/>
          </w:tcPr>
          <w:p w14:paraId="3BE5610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1.3.1 Desarrollar el prototipo del Parque Seguro y Educador estableciendo los lineamientos para el sistema de mantenimiento, operación y gestión social.</w:t>
            </w:r>
          </w:p>
        </w:tc>
        <w:tc>
          <w:tcPr>
            <w:tcW w:w="731" w:type="pct"/>
            <w:tcBorders>
              <w:top w:val="nil"/>
              <w:left w:val="nil"/>
              <w:bottom w:val="single" w:sz="4" w:space="0" w:color="auto"/>
              <w:right w:val="single" w:sz="4" w:space="0" w:color="auto"/>
            </w:tcBorders>
            <w:shd w:val="clear" w:color="auto" w:fill="auto"/>
            <w:vAlign w:val="center"/>
            <w:hideMark/>
          </w:tcPr>
          <w:p w14:paraId="69C70AC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del Plan Maestro</w:t>
            </w:r>
          </w:p>
        </w:tc>
        <w:tc>
          <w:tcPr>
            <w:tcW w:w="762" w:type="pct"/>
            <w:tcBorders>
              <w:top w:val="nil"/>
              <w:left w:val="nil"/>
              <w:bottom w:val="single" w:sz="4" w:space="0" w:color="auto"/>
              <w:right w:val="single" w:sz="4" w:space="0" w:color="auto"/>
            </w:tcBorders>
            <w:shd w:val="clear" w:color="auto" w:fill="auto"/>
            <w:vAlign w:val="center"/>
            <w:hideMark/>
          </w:tcPr>
          <w:p w14:paraId="13F53C9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Elaborar el Plan Maestro de la Red de Parques Urbanos y Áreas Naturales </w:t>
            </w:r>
          </w:p>
        </w:tc>
        <w:tc>
          <w:tcPr>
            <w:tcW w:w="335" w:type="pct"/>
            <w:tcBorders>
              <w:top w:val="nil"/>
              <w:left w:val="nil"/>
              <w:bottom w:val="single" w:sz="4" w:space="0" w:color="auto"/>
              <w:right w:val="single" w:sz="4" w:space="0" w:color="auto"/>
            </w:tcBorders>
            <w:shd w:val="clear" w:color="auto" w:fill="auto"/>
            <w:vAlign w:val="center"/>
            <w:hideMark/>
          </w:tcPr>
          <w:p w14:paraId="42229E4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451F352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88" w:type="pct"/>
            <w:tcBorders>
              <w:top w:val="nil"/>
              <w:left w:val="nil"/>
              <w:bottom w:val="single" w:sz="4" w:space="0" w:color="auto"/>
              <w:right w:val="single" w:sz="4" w:space="0" w:color="auto"/>
            </w:tcBorders>
            <w:shd w:val="clear" w:color="auto" w:fill="auto"/>
            <w:vAlign w:val="center"/>
            <w:hideMark/>
          </w:tcPr>
          <w:p w14:paraId="594702D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5" w:type="pct"/>
            <w:tcBorders>
              <w:top w:val="nil"/>
              <w:left w:val="nil"/>
              <w:bottom w:val="single" w:sz="4" w:space="0" w:color="auto"/>
              <w:right w:val="single" w:sz="4" w:space="0" w:color="auto"/>
            </w:tcBorders>
            <w:shd w:val="clear" w:color="auto" w:fill="auto"/>
            <w:vAlign w:val="center"/>
            <w:hideMark/>
          </w:tcPr>
          <w:p w14:paraId="1443EA1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1D774115"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1CF5A56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1.3 Red de Parques Urbanos y Áreas Naturales </w:t>
            </w:r>
          </w:p>
        </w:tc>
        <w:tc>
          <w:tcPr>
            <w:tcW w:w="604" w:type="pct"/>
            <w:tcBorders>
              <w:top w:val="nil"/>
              <w:left w:val="nil"/>
              <w:bottom w:val="single" w:sz="4" w:space="0" w:color="auto"/>
              <w:right w:val="single" w:sz="4" w:space="0" w:color="auto"/>
            </w:tcBorders>
            <w:shd w:val="clear" w:color="auto" w:fill="auto"/>
            <w:vAlign w:val="center"/>
            <w:hideMark/>
          </w:tcPr>
          <w:p w14:paraId="16D8043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1.3.2</w:t>
            </w:r>
          </w:p>
        </w:tc>
        <w:tc>
          <w:tcPr>
            <w:tcW w:w="794" w:type="pct"/>
            <w:tcBorders>
              <w:top w:val="nil"/>
              <w:left w:val="nil"/>
              <w:bottom w:val="single" w:sz="4" w:space="0" w:color="auto"/>
              <w:right w:val="single" w:sz="4" w:space="0" w:color="auto"/>
            </w:tcBorders>
            <w:shd w:val="clear" w:color="auto" w:fill="auto"/>
            <w:vAlign w:val="center"/>
            <w:hideMark/>
          </w:tcPr>
          <w:p w14:paraId="78258B1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1.3.2 Construir, dar mantenimiento y poner en operación el nuevo modelo de Parques Urbanos, Espacios Públicos y Áreas Naturales aplicando los criterios del Índice de Biodiversidad Urbana</w:t>
            </w:r>
          </w:p>
        </w:tc>
        <w:tc>
          <w:tcPr>
            <w:tcW w:w="731" w:type="pct"/>
            <w:tcBorders>
              <w:top w:val="nil"/>
              <w:left w:val="nil"/>
              <w:bottom w:val="single" w:sz="4" w:space="0" w:color="auto"/>
              <w:right w:val="single" w:sz="4" w:space="0" w:color="auto"/>
            </w:tcBorders>
            <w:shd w:val="clear" w:color="auto" w:fill="auto"/>
            <w:vAlign w:val="center"/>
            <w:hideMark/>
          </w:tcPr>
          <w:p w14:paraId="5356C40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espacios públicos atendidos en el año</w:t>
            </w:r>
          </w:p>
        </w:tc>
        <w:tc>
          <w:tcPr>
            <w:tcW w:w="762" w:type="pct"/>
            <w:tcBorders>
              <w:top w:val="nil"/>
              <w:left w:val="nil"/>
              <w:bottom w:val="single" w:sz="4" w:space="0" w:color="auto"/>
              <w:right w:val="single" w:sz="4" w:space="0" w:color="auto"/>
            </w:tcBorders>
            <w:shd w:val="clear" w:color="auto" w:fill="auto"/>
            <w:vAlign w:val="center"/>
            <w:hideMark/>
          </w:tcPr>
          <w:p w14:paraId="42AB415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Dar mantenimiento a 120 espacios públicos y áreas verdes por año y mantenimiento de 185 km de camellones por año.</w:t>
            </w:r>
            <w:r w:rsidRPr="00794EB9">
              <w:rPr>
                <w:rFonts w:ascii="Arial" w:hAnsi="Arial" w:cs="Arial"/>
                <w:sz w:val="22"/>
                <w:szCs w:val="22"/>
                <w:lang w:eastAsia="es-MX"/>
              </w:rPr>
              <w:br/>
              <w:t>Implementación de imagen urbana a 1 glorieta anualmente durante el trienio</w:t>
            </w:r>
          </w:p>
        </w:tc>
        <w:tc>
          <w:tcPr>
            <w:tcW w:w="335" w:type="pct"/>
            <w:tcBorders>
              <w:top w:val="nil"/>
              <w:left w:val="nil"/>
              <w:bottom w:val="single" w:sz="4" w:space="0" w:color="auto"/>
              <w:right w:val="single" w:sz="4" w:space="0" w:color="auto"/>
            </w:tcBorders>
            <w:shd w:val="clear" w:color="auto" w:fill="auto"/>
            <w:vAlign w:val="center"/>
            <w:hideMark/>
          </w:tcPr>
          <w:p w14:paraId="3EF6B00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18CBB4F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88" w:type="pct"/>
            <w:tcBorders>
              <w:top w:val="nil"/>
              <w:left w:val="nil"/>
              <w:bottom w:val="single" w:sz="4" w:space="0" w:color="auto"/>
              <w:right w:val="single" w:sz="4" w:space="0" w:color="auto"/>
            </w:tcBorders>
            <w:shd w:val="clear" w:color="auto" w:fill="auto"/>
            <w:vAlign w:val="center"/>
            <w:hideMark/>
          </w:tcPr>
          <w:p w14:paraId="59EA38F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5" w:type="pct"/>
            <w:tcBorders>
              <w:top w:val="nil"/>
              <w:left w:val="nil"/>
              <w:bottom w:val="single" w:sz="4" w:space="0" w:color="auto"/>
              <w:right w:val="single" w:sz="4" w:space="0" w:color="auto"/>
            </w:tcBorders>
            <w:shd w:val="clear" w:color="auto" w:fill="auto"/>
            <w:vAlign w:val="center"/>
            <w:hideMark/>
          </w:tcPr>
          <w:p w14:paraId="0997BE9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25649B41"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03088C2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VS. 1.3 Red de Parques Urbanos y Áreas Naturales </w:t>
            </w:r>
          </w:p>
        </w:tc>
        <w:tc>
          <w:tcPr>
            <w:tcW w:w="604" w:type="pct"/>
            <w:tcBorders>
              <w:top w:val="nil"/>
              <w:left w:val="nil"/>
              <w:bottom w:val="single" w:sz="4" w:space="0" w:color="auto"/>
              <w:right w:val="single" w:sz="4" w:space="0" w:color="auto"/>
            </w:tcBorders>
            <w:shd w:val="clear" w:color="auto" w:fill="auto"/>
            <w:vAlign w:val="center"/>
            <w:hideMark/>
          </w:tcPr>
          <w:p w14:paraId="79F4D57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1.3.3</w:t>
            </w:r>
          </w:p>
        </w:tc>
        <w:tc>
          <w:tcPr>
            <w:tcW w:w="794" w:type="pct"/>
            <w:tcBorders>
              <w:top w:val="nil"/>
              <w:left w:val="nil"/>
              <w:bottom w:val="single" w:sz="4" w:space="0" w:color="auto"/>
              <w:right w:val="single" w:sz="4" w:space="0" w:color="auto"/>
            </w:tcBorders>
            <w:shd w:val="clear" w:color="auto" w:fill="auto"/>
            <w:vAlign w:val="center"/>
            <w:hideMark/>
          </w:tcPr>
          <w:p w14:paraId="40ADD2E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1.3.3 Rehabilitar mini deportivas en zonas prioritarias de la ciudad con criterios de arborización urbana.</w:t>
            </w:r>
          </w:p>
        </w:tc>
        <w:tc>
          <w:tcPr>
            <w:tcW w:w="731" w:type="pct"/>
            <w:tcBorders>
              <w:top w:val="nil"/>
              <w:left w:val="nil"/>
              <w:bottom w:val="single" w:sz="4" w:space="0" w:color="auto"/>
              <w:right w:val="single" w:sz="4" w:space="0" w:color="auto"/>
            </w:tcBorders>
            <w:shd w:val="clear" w:color="auto" w:fill="auto"/>
            <w:vAlign w:val="center"/>
            <w:hideMark/>
          </w:tcPr>
          <w:p w14:paraId="6781D4B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mini deportivas rehabilitadas respecto de la meta anual</w:t>
            </w:r>
          </w:p>
        </w:tc>
        <w:tc>
          <w:tcPr>
            <w:tcW w:w="762" w:type="pct"/>
            <w:tcBorders>
              <w:top w:val="nil"/>
              <w:left w:val="nil"/>
              <w:bottom w:val="single" w:sz="4" w:space="0" w:color="auto"/>
              <w:right w:val="single" w:sz="4" w:space="0" w:color="auto"/>
            </w:tcBorders>
            <w:shd w:val="clear" w:color="auto" w:fill="auto"/>
            <w:vAlign w:val="center"/>
            <w:hideMark/>
          </w:tcPr>
          <w:p w14:paraId="7ACB668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Dar mantenimiento al 100% de las mini deportivas existentes</w:t>
            </w:r>
          </w:p>
        </w:tc>
        <w:tc>
          <w:tcPr>
            <w:tcW w:w="335" w:type="pct"/>
            <w:tcBorders>
              <w:top w:val="nil"/>
              <w:left w:val="nil"/>
              <w:bottom w:val="single" w:sz="4" w:space="0" w:color="auto"/>
              <w:right w:val="single" w:sz="4" w:space="0" w:color="auto"/>
            </w:tcBorders>
            <w:shd w:val="clear" w:color="auto" w:fill="auto"/>
            <w:vAlign w:val="center"/>
            <w:hideMark/>
          </w:tcPr>
          <w:p w14:paraId="6828F2E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05FC5C9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31%</w:t>
            </w:r>
          </w:p>
        </w:tc>
        <w:tc>
          <w:tcPr>
            <w:tcW w:w="388" w:type="pct"/>
            <w:tcBorders>
              <w:top w:val="nil"/>
              <w:left w:val="nil"/>
              <w:bottom w:val="single" w:sz="4" w:space="0" w:color="auto"/>
              <w:right w:val="single" w:sz="4" w:space="0" w:color="auto"/>
            </w:tcBorders>
            <w:shd w:val="clear" w:color="auto" w:fill="auto"/>
            <w:vAlign w:val="center"/>
            <w:hideMark/>
          </w:tcPr>
          <w:p w14:paraId="3D79F02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5" w:type="pct"/>
            <w:tcBorders>
              <w:top w:val="nil"/>
              <w:left w:val="nil"/>
              <w:bottom w:val="single" w:sz="4" w:space="0" w:color="auto"/>
              <w:right w:val="single" w:sz="4" w:space="0" w:color="auto"/>
            </w:tcBorders>
            <w:shd w:val="clear" w:color="auto" w:fill="auto"/>
            <w:vAlign w:val="center"/>
            <w:hideMark/>
          </w:tcPr>
          <w:p w14:paraId="09FF622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36%</w:t>
            </w:r>
          </w:p>
        </w:tc>
      </w:tr>
      <w:tr w:rsidR="00794EB9" w:rsidRPr="00794EB9" w14:paraId="2F5C302C"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1FA4CB7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1.3 Red de Parques Urbanos y Áreas Naturales </w:t>
            </w:r>
          </w:p>
        </w:tc>
        <w:tc>
          <w:tcPr>
            <w:tcW w:w="604" w:type="pct"/>
            <w:tcBorders>
              <w:top w:val="nil"/>
              <w:left w:val="nil"/>
              <w:bottom w:val="single" w:sz="4" w:space="0" w:color="auto"/>
              <w:right w:val="single" w:sz="4" w:space="0" w:color="auto"/>
            </w:tcBorders>
            <w:shd w:val="clear" w:color="auto" w:fill="auto"/>
            <w:vAlign w:val="center"/>
            <w:hideMark/>
          </w:tcPr>
          <w:p w14:paraId="101EF05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1.3.4</w:t>
            </w:r>
          </w:p>
        </w:tc>
        <w:tc>
          <w:tcPr>
            <w:tcW w:w="794" w:type="pct"/>
            <w:tcBorders>
              <w:top w:val="nil"/>
              <w:left w:val="nil"/>
              <w:bottom w:val="single" w:sz="4" w:space="0" w:color="auto"/>
              <w:right w:val="single" w:sz="4" w:space="0" w:color="auto"/>
            </w:tcBorders>
            <w:shd w:val="clear" w:color="auto" w:fill="auto"/>
            <w:vAlign w:val="center"/>
            <w:hideMark/>
          </w:tcPr>
          <w:p w14:paraId="0DF8395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1.3.4 Construir, ampliar, rehabilitar, equipar y realizar acciones en espacios públicos para la convivencia que fortalezca el tejido social</w:t>
            </w:r>
          </w:p>
        </w:tc>
        <w:tc>
          <w:tcPr>
            <w:tcW w:w="731" w:type="pct"/>
            <w:tcBorders>
              <w:top w:val="nil"/>
              <w:left w:val="nil"/>
              <w:bottom w:val="single" w:sz="4" w:space="0" w:color="auto"/>
              <w:right w:val="single" w:sz="4" w:space="0" w:color="auto"/>
            </w:tcBorders>
            <w:shd w:val="clear" w:color="auto" w:fill="auto"/>
            <w:vAlign w:val="center"/>
            <w:hideMark/>
          </w:tcPr>
          <w:p w14:paraId="06BB92E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espacios públicos rehabilitados respecto de la meta anual </w:t>
            </w:r>
          </w:p>
        </w:tc>
        <w:tc>
          <w:tcPr>
            <w:tcW w:w="762" w:type="pct"/>
            <w:tcBorders>
              <w:top w:val="nil"/>
              <w:left w:val="nil"/>
              <w:bottom w:val="single" w:sz="4" w:space="0" w:color="auto"/>
              <w:right w:val="single" w:sz="4" w:space="0" w:color="auto"/>
            </w:tcBorders>
            <w:shd w:val="clear" w:color="auto" w:fill="auto"/>
            <w:vAlign w:val="center"/>
            <w:hideMark/>
          </w:tcPr>
          <w:p w14:paraId="64FE429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Intervenir al menos 20 espacios públicos anuales durante el trienio </w:t>
            </w:r>
          </w:p>
        </w:tc>
        <w:tc>
          <w:tcPr>
            <w:tcW w:w="335" w:type="pct"/>
            <w:tcBorders>
              <w:top w:val="nil"/>
              <w:left w:val="nil"/>
              <w:bottom w:val="single" w:sz="4" w:space="0" w:color="auto"/>
              <w:right w:val="single" w:sz="4" w:space="0" w:color="auto"/>
            </w:tcBorders>
            <w:shd w:val="clear" w:color="auto" w:fill="auto"/>
            <w:vAlign w:val="center"/>
            <w:hideMark/>
          </w:tcPr>
          <w:p w14:paraId="094C681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534191F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31%</w:t>
            </w:r>
          </w:p>
        </w:tc>
        <w:tc>
          <w:tcPr>
            <w:tcW w:w="388" w:type="pct"/>
            <w:tcBorders>
              <w:top w:val="nil"/>
              <w:left w:val="nil"/>
              <w:bottom w:val="single" w:sz="4" w:space="0" w:color="auto"/>
              <w:right w:val="single" w:sz="4" w:space="0" w:color="auto"/>
            </w:tcBorders>
            <w:shd w:val="clear" w:color="auto" w:fill="auto"/>
            <w:vAlign w:val="center"/>
            <w:hideMark/>
          </w:tcPr>
          <w:p w14:paraId="1589B49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37%</w:t>
            </w:r>
          </w:p>
        </w:tc>
        <w:tc>
          <w:tcPr>
            <w:tcW w:w="335" w:type="pct"/>
            <w:tcBorders>
              <w:top w:val="nil"/>
              <w:left w:val="nil"/>
              <w:bottom w:val="single" w:sz="4" w:space="0" w:color="auto"/>
              <w:right w:val="single" w:sz="4" w:space="0" w:color="auto"/>
            </w:tcBorders>
            <w:shd w:val="clear" w:color="auto" w:fill="auto"/>
            <w:vAlign w:val="center"/>
            <w:hideMark/>
          </w:tcPr>
          <w:p w14:paraId="5EE26C2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31%</w:t>
            </w:r>
          </w:p>
        </w:tc>
      </w:tr>
      <w:tr w:rsidR="00794EB9" w:rsidRPr="00794EB9" w14:paraId="018FD016"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7EB0C23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1.3 Red de Parques Urbanos y Áreas Naturales </w:t>
            </w:r>
          </w:p>
        </w:tc>
        <w:tc>
          <w:tcPr>
            <w:tcW w:w="604" w:type="pct"/>
            <w:tcBorders>
              <w:top w:val="nil"/>
              <w:left w:val="nil"/>
              <w:bottom w:val="single" w:sz="4" w:space="0" w:color="auto"/>
              <w:right w:val="single" w:sz="4" w:space="0" w:color="auto"/>
            </w:tcBorders>
            <w:shd w:val="clear" w:color="auto" w:fill="auto"/>
            <w:vAlign w:val="center"/>
            <w:hideMark/>
          </w:tcPr>
          <w:p w14:paraId="5E1723E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1.3.5</w:t>
            </w:r>
          </w:p>
        </w:tc>
        <w:tc>
          <w:tcPr>
            <w:tcW w:w="794" w:type="pct"/>
            <w:tcBorders>
              <w:top w:val="nil"/>
              <w:left w:val="nil"/>
              <w:bottom w:val="single" w:sz="4" w:space="0" w:color="auto"/>
              <w:right w:val="single" w:sz="4" w:space="0" w:color="auto"/>
            </w:tcBorders>
            <w:shd w:val="clear" w:color="auto" w:fill="auto"/>
            <w:vAlign w:val="center"/>
            <w:hideMark/>
          </w:tcPr>
          <w:p w14:paraId="38C914A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1.3.5 Construir y rehabilitar el parque Bosque de la Olla. </w:t>
            </w:r>
          </w:p>
        </w:tc>
        <w:tc>
          <w:tcPr>
            <w:tcW w:w="731" w:type="pct"/>
            <w:tcBorders>
              <w:top w:val="nil"/>
              <w:left w:val="nil"/>
              <w:bottom w:val="single" w:sz="4" w:space="0" w:color="auto"/>
              <w:right w:val="single" w:sz="4" w:space="0" w:color="auto"/>
            </w:tcBorders>
            <w:shd w:val="clear" w:color="auto" w:fill="auto"/>
            <w:vAlign w:val="center"/>
            <w:hideMark/>
          </w:tcPr>
          <w:p w14:paraId="152B472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construcción y habilitación del Parque Bosque de la Olla</w:t>
            </w:r>
          </w:p>
        </w:tc>
        <w:tc>
          <w:tcPr>
            <w:tcW w:w="762" w:type="pct"/>
            <w:tcBorders>
              <w:top w:val="nil"/>
              <w:left w:val="nil"/>
              <w:bottom w:val="single" w:sz="4" w:space="0" w:color="auto"/>
              <w:right w:val="single" w:sz="4" w:space="0" w:color="auto"/>
            </w:tcBorders>
            <w:shd w:val="clear" w:color="auto" w:fill="auto"/>
            <w:vAlign w:val="center"/>
            <w:hideMark/>
          </w:tcPr>
          <w:p w14:paraId="38558B3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Construir y habilitar el Parque "Bosque de la Olla", como modelo de parque seguro y educador</w:t>
            </w:r>
          </w:p>
        </w:tc>
        <w:tc>
          <w:tcPr>
            <w:tcW w:w="335" w:type="pct"/>
            <w:tcBorders>
              <w:top w:val="nil"/>
              <w:left w:val="nil"/>
              <w:bottom w:val="single" w:sz="4" w:space="0" w:color="auto"/>
              <w:right w:val="single" w:sz="4" w:space="0" w:color="auto"/>
            </w:tcBorders>
            <w:shd w:val="clear" w:color="auto" w:fill="auto"/>
            <w:vAlign w:val="center"/>
            <w:hideMark/>
          </w:tcPr>
          <w:p w14:paraId="44CBAED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54FEC4A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88" w:type="pct"/>
            <w:tcBorders>
              <w:top w:val="nil"/>
              <w:left w:val="nil"/>
              <w:bottom w:val="single" w:sz="4" w:space="0" w:color="auto"/>
              <w:right w:val="single" w:sz="4" w:space="0" w:color="auto"/>
            </w:tcBorders>
            <w:shd w:val="clear" w:color="auto" w:fill="auto"/>
            <w:vAlign w:val="center"/>
            <w:hideMark/>
          </w:tcPr>
          <w:p w14:paraId="4CCBC32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35" w:type="pct"/>
            <w:tcBorders>
              <w:top w:val="nil"/>
              <w:left w:val="nil"/>
              <w:bottom w:val="single" w:sz="4" w:space="0" w:color="auto"/>
              <w:right w:val="single" w:sz="4" w:space="0" w:color="auto"/>
            </w:tcBorders>
            <w:shd w:val="clear" w:color="auto" w:fill="auto"/>
            <w:vAlign w:val="center"/>
            <w:hideMark/>
          </w:tcPr>
          <w:p w14:paraId="400B037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79E4DFFD"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052E7AC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VS. 1.3 Red de Parques Urbanos y Áreas Naturales </w:t>
            </w:r>
          </w:p>
        </w:tc>
        <w:tc>
          <w:tcPr>
            <w:tcW w:w="604" w:type="pct"/>
            <w:tcBorders>
              <w:top w:val="nil"/>
              <w:left w:val="nil"/>
              <w:bottom w:val="single" w:sz="4" w:space="0" w:color="auto"/>
              <w:right w:val="single" w:sz="4" w:space="0" w:color="auto"/>
            </w:tcBorders>
            <w:shd w:val="clear" w:color="auto" w:fill="auto"/>
            <w:vAlign w:val="center"/>
            <w:hideMark/>
          </w:tcPr>
          <w:p w14:paraId="632963F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1.3.6</w:t>
            </w:r>
          </w:p>
        </w:tc>
        <w:tc>
          <w:tcPr>
            <w:tcW w:w="794" w:type="pct"/>
            <w:tcBorders>
              <w:top w:val="nil"/>
              <w:left w:val="nil"/>
              <w:bottom w:val="single" w:sz="4" w:space="0" w:color="auto"/>
              <w:right w:val="single" w:sz="4" w:space="0" w:color="auto"/>
            </w:tcBorders>
            <w:shd w:val="clear" w:color="auto" w:fill="auto"/>
            <w:vAlign w:val="center"/>
            <w:hideMark/>
          </w:tcPr>
          <w:p w14:paraId="45ECABC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1.3.6 Realizar obras de rehabilitación en Unidades Deportivas prioritarias con criterios de arborización urbana.</w:t>
            </w:r>
          </w:p>
        </w:tc>
        <w:tc>
          <w:tcPr>
            <w:tcW w:w="731" w:type="pct"/>
            <w:tcBorders>
              <w:top w:val="nil"/>
              <w:left w:val="nil"/>
              <w:bottom w:val="single" w:sz="4" w:space="0" w:color="auto"/>
              <w:right w:val="single" w:sz="4" w:space="0" w:color="auto"/>
            </w:tcBorders>
            <w:shd w:val="clear" w:color="auto" w:fill="auto"/>
            <w:vAlign w:val="center"/>
            <w:hideMark/>
          </w:tcPr>
          <w:p w14:paraId="23865F2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Unidades deportivas rehabilitadas</w:t>
            </w:r>
          </w:p>
        </w:tc>
        <w:tc>
          <w:tcPr>
            <w:tcW w:w="762" w:type="pct"/>
            <w:tcBorders>
              <w:top w:val="nil"/>
              <w:left w:val="nil"/>
              <w:bottom w:val="single" w:sz="4" w:space="0" w:color="auto"/>
              <w:right w:val="single" w:sz="4" w:space="0" w:color="auto"/>
            </w:tcBorders>
            <w:shd w:val="clear" w:color="auto" w:fill="auto"/>
            <w:vAlign w:val="center"/>
            <w:hideMark/>
          </w:tcPr>
          <w:p w14:paraId="74FD836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Construcción del 100% de la Obra de Rehabilitación en las Unidades Deportivas</w:t>
            </w:r>
          </w:p>
        </w:tc>
        <w:tc>
          <w:tcPr>
            <w:tcW w:w="335" w:type="pct"/>
            <w:tcBorders>
              <w:top w:val="nil"/>
              <w:left w:val="nil"/>
              <w:bottom w:val="single" w:sz="4" w:space="0" w:color="auto"/>
              <w:right w:val="single" w:sz="4" w:space="0" w:color="auto"/>
            </w:tcBorders>
            <w:shd w:val="clear" w:color="auto" w:fill="auto"/>
            <w:vAlign w:val="center"/>
            <w:hideMark/>
          </w:tcPr>
          <w:p w14:paraId="3CA6182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4AF84F1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88" w:type="pct"/>
            <w:tcBorders>
              <w:top w:val="nil"/>
              <w:left w:val="nil"/>
              <w:bottom w:val="single" w:sz="4" w:space="0" w:color="auto"/>
              <w:right w:val="single" w:sz="4" w:space="0" w:color="auto"/>
            </w:tcBorders>
            <w:shd w:val="clear" w:color="auto" w:fill="auto"/>
            <w:vAlign w:val="center"/>
            <w:hideMark/>
          </w:tcPr>
          <w:p w14:paraId="32FE88B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35" w:type="pct"/>
            <w:tcBorders>
              <w:top w:val="nil"/>
              <w:left w:val="nil"/>
              <w:bottom w:val="single" w:sz="4" w:space="0" w:color="auto"/>
              <w:right w:val="single" w:sz="4" w:space="0" w:color="auto"/>
            </w:tcBorders>
            <w:shd w:val="clear" w:color="auto" w:fill="auto"/>
            <w:vAlign w:val="center"/>
            <w:hideMark/>
          </w:tcPr>
          <w:p w14:paraId="69D05F4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63C67C51"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5C71F70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1.3 Red de Parques Urbanos y Áreas Naturales </w:t>
            </w:r>
          </w:p>
        </w:tc>
        <w:tc>
          <w:tcPr>
            <w:tcW w:w="604" w:type="pct"/>
            <w:tcBorders>
              <w:top w:val="nil"/>
              <w:left w:val="nil"/>
              <w:bottom w:val="single" w:sz="4" w:space="0" w:color="auto"/>
              <w:right w:val="single" w:sz="4" w:space="0" w:color="auto"/>
            </w:tcBorders>
            <w:shd w:val="clear" w:color="auto" w:fill="auto"/>
            <w:vAlign w:val="center"/>
            <w:hideMark/>
          </w:tcPr>
          <w:p w14:paraId="1B1DB23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1.3.7</w:t>
            </w:r>
          </w:p>
        </w:tc>
        <w:tc>
          <w:tcPr>
            <w:tcW w:w="794" w:type="pct"/>
            <w:tcBorders>
              <w:top w:val="single" w:sz="4" w:space="0" w:color="auto"/>
              <w:left w:val="nil"/>
              <w:bottom w:val="single" w:sz="4" w:space="0" w:color="auto"/>
              <w:right w:val="single" w:sz="4" w:space="0" w:color="auto"/>
            </w:tcBorders>
            <w:shd w:val="clear" w:color="auto" w:fill="auto"/>
            <w:vAlign w:val="center"/>
            <w:hideMark/>
          </w:tcPr>
          <w:p w14:paraId="5D4A9B1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1.3.7 Implementar el pase verde en espacios públicos para el acceso gratuito a la ciudadanía.</w:t>
            </w:r>
          </w:p>
        </w:tc>
        <w:tc>
          <w:tcPr>
            <w:tcW w:w="731" w:type="pct"/>
            <w:tcBorders>
              <w:top w:val="nil"/>
              <w:left w:val="nil"/>
              <w:bottom w:val="single" w:sz="4" w:space="0" w:color="auto"/>
              <w:right w:val="single" w:sz="4" w:space="0" w:color="auto"/>
            </w:tcBorders>
            <w:shd w:val="clear" w:color="auto" w:fill="auto"/>
            <w:vAlign w:val="center"/>
            <w:hideMark/>
          </w:tcPr>
          <w:p w14:paraId="122C49D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Tasa de variación de personas impactadas con acceso gratuito respecto del total de personas impactadas en el año anterior</w:t>
            </w:r>
          </w:p>
        </w:tc>
        <w:tc>
          <w:tcPr>
            <w:tcW w:w="762" w:type="pct"/>
            <w:tcBorders>
              <w:top w:val="nil"/>
              <w:left w:val="nil"/>
              <w:bottom w:val="single" w:sz="4" w:space="0" w:color="auto"/>
              <w:right w:val="single" w:sz="4" w:space="0" w:color="auto"/>
            </w:tcBorders>
            <w:shd w:val="clear" w:color="auto" w:fill="auto"/>
            <w:vAlign w:val="center"/>
            <w:hideMark/>
          </w:tcPr>
          <w:p w14:paraId="4818EB4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Permitir la entrada gratuita un día a la semana, en las 7 unidades deportivas municipales y el acceso gratuito al Parque Metropolitano por un día adicional al domingo, entre semana</w:t>
            </w:r>
          </w:p>
        </w:tc>
        <w:tc>
          <w:tcPr>
            <w:tcW w:w="335" w:type="pct"/>
            <w:tcBorders>
              <w:top w:val="nil"/>
              <w:left w:val="nil"/>
              <w:bottom w:val="single" w:sz="4" w:space="0" w:color="auto"/>
              <w:right w:val="single" w:sz="4" w:space="0" w:color="auto"/>
            </w:tcBorders>
            <w:shd w:val="clear" w:color="auto" w:fill="auto"/>
            <w:vAlign w:val="center"/>
            <w:hideMark/>
          </w:tcPr>
          <w:p w14:paraId="7F071BD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4EC5175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88" w:type="pct"/>
            <w:tcBorders>
              <w:top w:val="nil"/>
              <w:left w:val="nil"/>
              <w:bottom w:val="single" w:sz="4" w:space="0" w:color="auto"/>
              <w:right w:val="single" w:sz="4" w:space="0" w:color="auto"/>
            </w:tcBorders>
            <w:shd w:val="clear" w:color="auto" w:fill="auto"/>
            <w:vAlign w:val="center"/>
            <w:hideMark/>
          </w:tcPr>
          <w:p w14:paraId="7A1E7DE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5" w:type="pct"/>
            <w:tcBorders>
              <w:top w:val="nil"/>
              <w:left w:val="nil"/>
              <w:bottom w:val="single" w:sz="4" w:space="0" w:color="auto"/>
              <w:right w:val="single" w:sz="4" w:space="0" w:color="auto"/>
            </w:tcBorders>
            <w:shd w:val="clear" w:color="auto" w:fill="auto"/>
            <w:vAlign w:val="center"/>
            <w:hideMark/>
          </w:tcPr>
          <w:p w14:paraId="7ED245A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08192FEC"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509C243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VS. 1.3 Red de Parques Urbanos y Áreas Naturales </w:t>
            </w:r>
          </w:p>
        </w:tc>
        <w:tc>
          <w:tcPr>
            <w:tcW w:w="604" w:type="pct"/>
            <w:tcBorders>
              <w:top w:val="nil"/>
              <w:left w:val="nil"/>
              <w:bottom w:val="single" w:sz="4" w:space="0" w:color="auto"/>
              <w:right w:val="single" w:sz="4" w:space="0" w:color="auto"/>
            </w:tcBorders>
            <w:shd w:val="clear" w:color="auto" w:fill="auto"/>
            <w:vAlign w:val="center"/>
            <w:hideMark/>
          </w:tcPr>
          <w:p w14:paraId="112718D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1.3.8 </w:t>
            </w:r>
          </w:p>
        </w:tc>
        <w:tc>
          <w:tcPr>
            <w:tcW w:w="794" w:type="pct"/>
            <w:tcBorders>
              <w:top w:val="single" w:sz="4" w:space="0" w:color="auto"/>
              <w:left w:val="nil"/>
              <w:bottom w:val="nil"/>
              <w:right w:val="nil"/>
            </w:tcBorders>
            <w:shd w:val="clear" w:color="auto" w:fill="auto"/>
            <w:vAlign w:val="center"/>
            <w:hideMark/>
          </w:tcPr>
          <w:p w14:paraId="23EFEFE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1.3.8 Impartir cursos de verano y celebración de festividades conmemorativas para Centros Comunitarios, Plazas de la Ciudadanía, y Espacios Públicos en las 7 delegaciones de la ciudad.</w:t>
            </w:r>
          </w:p>
        </w:tc>
        <w:tc>
          <w:tcPr>
            <w:tcW w:w="731" w:type="pct"/>
            <w:tcBorders>
              <w:top w:val="nil"/>
              <w:left w:val="single" w:sz="4" w:space="0" w:color="auto"/>
              <w:bottom w:val="single" w:sz="4" w:space="0" w:color="auto"/>
              <w:right w:val="single" w:sz="4" w:space="0" w:color="auto"/>
            </w:tcBorders>
            <w:shd w:val="clear" w:color="auto" w:fill="auto"/>
            <w:vAlign w:val="center"/>
            <w:hideMark/>
          </w:tcPr>
          <w:p w14:paraId="46D352E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cursos de verano realizados respecto del total programado</w:t>
            </w:r>
          </w:p>
        </w:tc>
        <w:tc>
          <w:tcPr>
            <w:tcW w:w="762" w:type="pct"/>
            <w:tcBorders>
              <w:top w:val="nil"/>
              <w:left w:val="nil"/>
              <w:bottom w:val="single" w:sz="4" w:space="0" w:color="auto"/>
              <w:right w:val="single" w:sz="4" w:space="0" w:color="auto"/>
            </w:tcBorders>
            <w:shd w:val="clear" w:color="auto" w:fill="auto"/>
            <w:vAlign w:val="center"/>
            <w:hideMark/>
          </w:tcPr>
          <w:p w14:paraId="3421180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42 Cursos de verano,  en plazas y centros , así como la realización de eventos para beneficiar a 22,000 personas en el trienio</w:t>
            </w:r>
          </w:p>
        </w:tc>
        <w:tc>
          <w:tcPr>
            <w:tcW w:w="335" w:type="pct"/>
            <w:tcBorders>
              <w:top w:val="nil"/>
              <w:left w:val="nil"/>
              <w:bottom w:val="single" w:sz="4" w:space="0" w:color="auto"/>
              <w:right w:val="single" w:sz="4" w:space="0" w:color="auto"/>
            </w:tcBorders>
            <w:shd w:val="clear" w:color="auto" w:fill="auto"/>
            <w:vAlign w:val="center"/>
            <w:hideMark/>
          </w:tcPr>
          <w:p w14:paraId="74A48F4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6819677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88" w:type="pct"/>
            <w:tcBorders>
              <w:top w:val="nil"/>
              <w:left w:val="nil"/>
              <w:bottom w:val="single" w:sz="4" w:space="0" w:color="auto"/>
              <w:right w:val="single" w:sz="4" w:space="0" w:color="auto"/>
            </w:tcBorders>
            <w:shd w:val="clear" w:color="auto" w:fill="auto"/>
            <w:vAlign w:val="center"/>
            <w:hideMark/>
          </w:tcPr>
          <w:p w14:paraId="31A4186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5" w:type="pct"/>
            <w:tcBorders>
              <w:top w:val="nil"/>
              <w:left w:val="nil"/>
              <w:bottom w:val="single" w:sz="4" w:space="0" w:color="auto"/>
              <w:right w:val="single" w:sz="4" w:space="0" w:color="auto"/>
            </w:tcBorders>
            <w:shd w:val="clear" w:color="auto" w:fill="auto"/>
            <w:vAlign w:val="center"/>
            <w:hideMark/>
          </w:tcPr>
          <w:p w14:paraId="7F47FF4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17E22D03"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49501E3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1.4 Nuevo Parque Metropolitano</w:t>
            </w:r>
          </w:p>
        </w:tc>
        <w:tc>
          <w:tcPr>
            <w:tcW w:w="604" w:type="pct"/>
            <w:tcBorders>
              <w:top w:val="nil"/>
              <w:left w:val="nil"/>
              <w:bottom w:val="single" w:sz="4" w:space="0" w:color="auto"/>
              <w:right w:val="single" w:sz="4" w:space="0" w:color="auto"/>
            </w:tcBorders>
            <w:shd w:val="clear" w:color="auto" w:fill="auto"/>
            <w:vAlign w:val="center"/>
            <w:hideMark/>
          </w:tcPr>
          <w:p w14:paraId="21A407A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1.4.1</w:t>
            </w:r>
          </w:p>
        </w:tc>
        <w:tc>
          <w:tcPr>
            <w:tcW w:w="794" w:type="pct"/>
            <w:tcBorders>
              <w:top w:val="single" w:sz="4" w:space="0" w:color="auto"/>
              <w:left w:val="nil"/>
              <w:bottom w:val="single" w:sz="4" w:space="0" w:color="auto"/>
              <w:right w:val="single" w:sz="4" w:space="0" w:color="auto"/>
            </w:tcBorders>
            <w:shd w:val="clear" w:color="auto" w:fill="auto"/>
            <w:vAlign w:val="center"/>
            <w:hideMark/>
          </w:tcPr>
          <w:p w14:paraId="2CC5C20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1.4.1 Desarrollar los Planes Maestros de los Nuevos Parques Metropolitanos, que integren la definición del marco legal y administrativo.</w:t>
            </w:r>
          </w:p>
        </w:tc>
        <w:tc>
          <w:tcPr>
            <w:tcW w:w="731" w:type="pct"/>
            <w:tcBorders>
              <w:top w:val="nil"/>
              <w:left w:val="nil"/>
              <w:bottom w:val="single" w:sz="4" w:space="0" w:color="auto"/>
              <w:right w:val="single" w:sz="4" w:space="0" w:color="auto"/>
            </w:tcBorders>
            <w:shd w:val="clear" w:color="auto" w:fill="auto"/>
            <w:vAlign w:val="center"/>
            <w:hideMark/>
          </w:tcPr>
          <w:p w14:paraId="39B1106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realización del Plan Maestro del Parque de la Vida y del Plan Maestro del  Parque Metropolitano Las Joyas 1a Etapa</w:t>
            </w:r>
          </w:p>
        </w:tc>
        <w:tc>
          <w:tcPr>
            <w:tcW w:w="762" w:type="pct"/>
            <w:tcBorders>
              <w:top w:val="nil"/>
              <w:left w:val="nil"/>
              <w:bottom w:val="single" w:sz="4" w:space="0" w:color="auto"/>
              <w:right w:val="single" w:sz="4" w:space="0" w:color="auto"/>
            </w:tcBorders>
            <w:shd w:val="clear" w:color="auto" w:fill="auto"/>
            <w:vAlign w:val="center"/>
            <w:hideMark/>
          </w:tcPr>
          <w:p w14:paraId="58D04B4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Concluir los dos Planes Maestros para 2022.</w:t>
            </w:r>
          </w:p>
        </w:tc>
        <w:tc>
          <w:tcPr>
            <w:tcW w:w="335" w:type="pct"/>
            <w:tcBorders>
              <w:top w:val="nil"/>
              <w:left w:val="nil"/>
              <w:bottom w:val="single" w:sz="4" w:space="0" w:color="auto"/>
              <w:right w:val="single" w:sz="4" w:space="0" w:color="auto"/>
            </w:tcBorders>
            <w:shd w:val="clear" w:color="auto" w:fill="auto"/>
            <w:vAlign w:val="center"/>
            <w:hideMark/>
          </w:tcPr>
          <w:p w14:paraId="49E43A7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53A4652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88" w:type="pct"/>
            <w:tcBorders>
              <w:top w:val="nil"/>
              <w:left w:val="nil"/>
              <w:bottom w:val="single" w:sz="4" w:space="0" w:color="auto"/>
              <w:right w:val="single" w:sz="4" w:space="0" w:color="auto"/>
            </w:tcBorders>
            <w:shd w:val="clear" w:color="auto" w:fill="auto"/>
            <w:vAlign w:val="center"/>
            <w:hideMark/>
          </w:tcPr>
          <w:p w14:paraId="64C9C5F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5" w:type="pct"/>
            <w:tcBorders>
              <w:top w:val="nil"/>
              <w:left w:val="nil"/>
              <w:bottom w:val="single" w:sz="4" w:space="0" w:color="auto"/>
              <w:right w:val="single" w:sz="4" w:space="0" w:color="auto"/>
            </w:tcBorders>
            <w:shd w:val="clear" w:color="auto" w:fill="auto"/>
            <w:vAlign w:val="center"/>
            <w:hideMark/>
          </w:tcPr>
          <w:p w14:paraId="2BBD4A8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3906462C"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5AE5967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1.4 Nuevo Parque Metropolitano</w:t>
            </w:r>
          </w:p>
        </w:tc>
        <w:tc>
          <w:tcPr>
            <w:tcW w:w="604" w:type="pct"/>
            <w:tcBorders>
              <w:top w:val="nil"/>
              <w:left w:val="nil"/>
              <w:bottom w:val="single" w:sz="4" w:space="0" w:color="auto"/>
              <w:right w:val="single" w:sz="4" w:space="0" w:color="auto"/>
            </w:tcBorders>
            <w:shd w:val="clear" w:color="auto" w:fill="auto"/>
            <w:vAlign w:val="center"/>
            <w:hideMark/>
          </w:tcPr>
          <w:p w14:paraId="34CB47C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1.4.2</w:t>
            </w:r>
          </w:p>
        </w:tc>
        <w:tc>
          <w:tcPr>
            <w:tcW w:w="794" w:type="pct"/>
            <w:tcBorders>
              <w:top w:val="nil"/>
              <w:left w:val="nil"/>
              <w:bottom w:val="single" w:sz="4" w:space="0" w:color="auto"/>
              <w:right w:val="single" w:sz="4" w:space="0" w:color="auto"/>
            </w:tcBorders>
            <w:shd w:val="clear" w:color="auto" w:fill="auto"/>
            <w:vAlign w:val="center"/>
            <w:hideMark/>
          </w:tcPr>
          <w:p w14:paraId="758D554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1.4.2 Desarrollar el proyecto ejecutivo para la 1a Etapa del Parque Metropolitano Las Joyas.</w:t>
            </w:r>
          </w:p>
        </w:tc>
        <w:tc>
          <w:tcPr>
            <w:tcW w:w="731" w:type="pct"/>
            <w:tcBorders>
              <w:top w:val="nil"/>
              <w:left w:val="nil"/>
              <w:bottom w:val="single" w:sz="4" w:space="0" w:color="auto"/>
              <w:right w:val="single" w:sz="4" w:space="0" w:color="auto"/>
            </w:tcBorders>
            <w:shd w:val="clear" w:color="auto" w:fill="auto"/>
            <w:vAlign w:val="center"/>
            <w:hideMark/>
          </w:tcPr>
          <w:p w14:paraId="4A0CDF7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realización del proyecto ejecutivo de la 1a etapa.</w:t>
            </w:r>
          </w:p>
        </w:tc>
        <w:tc>
          <w:tcPr>
            <w:tcW w:w="762" w:type="pct"/>
            <w:tcBorders>
              <w:top w:val="nil"/>
              <w:left w:val="nil"/>
              <w:bottom w:val="single" w:sz="4" w:space="0" w:color="auto"/>
              <w:right w:val="single" w:sz="4" w:space="0" w:color="auto"/>
            </w:tcBorders>
            <w:shd w:val="clear" w:color="auto" w:fill="auto"/>
            <w:vAlign w:val="center"/>
            <w:hideMark/>
          </w:tcPr>
          <w:p w14:paraId="6AE63A2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el Proyecto Ejecutivo de la 1a etapa del Parque Metropolitano  Las Joyas para el año 2023.</w:t>
            </w:r>
          </w:p>
        </w:tc>
        <w:tc>
          <w:tcPr>
            <w:tcW w:w="335" w:type="pct"/>
            <w:tcBorders>
              <w:top w:val="nil"/>
              <w:left w:val="nil"/>
              <w:bottom w:val="single" w:sz="4" w:space="0" w:color="auto"/>
              <w:right w:val="single" w:sz="4" w:space="0" w:color="auto"/>
            </w:tcBorders>
            <w:shd w:val="clear" w:color="auto" w:fill="auto"/>
            <w:vAlign w:val="center"/>
            <w:hideMark/>
          </w:tcPr>
          <w:p w14:paraId="1D51435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5191D09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61FC75E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35" w:type="pct"/>
            <w:tcBorders>
              <w:top w:val="nil"/>
              <w:left w:val="nil"/>
              <w:bottom w:val="single" w:sz="4" w:space="0" w:color="auto"/>
              <w:right w:val="single" w:sz="4" w:space="0" w:color="auto"/>
            </w:tcBorders>
            <w:shd w:val="clear" w:color="auto" w:fill="auto"/>
            <w:vAlign w:val="center"/>
            <w:hideMark/>
          </w:tcPr>
          <w:p w14:paraId="2D44874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0A5E76FE"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40BED33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1.4 Nuevo Parque Metropolitano</w:t>
            </w:r>
          </w:p>
        </w:tc>
        <w:tc>
          <w:tcPr>
            <w:tcW w:w="604" w:type="pct"/>
            <w:tcBorders>
              <w:top w:val="nil"/>
              <w:left w:val="nil"/>
              <w:bottom w:val="single" w:sz="4" w:space="0" w:color="auto"/>
              <w:right w:val="single" w:sz="4" w:space="0" w:color="auto"/>
            </w:tcBorders>
            <w:shd w:val="clear" w:color="auto" w:fill="auto"/>
            <w:vAlign w:val="center"/>
            <w:hideMark/>
          </w:tcPr>
          <w:p w14:paraId="73BA890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1.4.3</w:t>
            </w:r>
          </w:p>
        </w:tc>
        <w:tc>
          <w:tcPr>
            <w:tcW w:w="794" w:type="pct"/>
            <w:tcBorders>
              <w:top w:val="nil"/>
              <w:left w:val="nil"/>
              <w:bottom w:val="single" w:sz="4" w:space="0" w:color="auto"/>
              <w:right w:val="single" w:sz="4" w:space="0" w:color="auto"/>
            </w:tcBorders>
            <w:shd w:val="clear" w:color="auto" w:fill="auto"/>
            <w:vAlign w:val="center"/>
            <w:hideMark/>
          </w:tcPr>
          <w:p w14:paraId="562892E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1.4.3 Iniciar las obras para la creación del Parque de la Vida y habilitar el proyecto de la Casa del Agua.</w:t>
            </w:r>
          </w:p>
        </w:tc>
        <w:tc>
          <w:tcPr>
            <w:tcW w:w="731" w:type="pct"/>
            <w:tcBorders>
              <w:top w:val="nil"/>
              <w:left w:val="nil"/>
              <w:bottom w:val="single" w:sz="4" w:space="0" w:color="auto"/>
              <w:right w:val="single" w:sz="4" w:space="0" w:color="auto"/>
            </w:tcBorders>
            <w:shd w:val="clear" w:color="auto" w:fill="auto"/>
            <w:vAlign w:val="center"/>
            <w:hideMark/>
          </w:tcPr>
          <w:p w14:paraId="6D98D0B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implementación del Parque Metropolitano de la Vida</w:t>
            </w:r>
          </w:p>
        </w:tc>
        <w:tc>
          <w:tcPr>
            <w:tcW w:w="762" w:type="pct"/>
            <w:tcBorders>
              <w:top w:val="nil"/>
              <w:left w:val="nil"/>
              <w:bottom w:val="single" w:sz="4" w:space="0" w:color="auto"/>
              <w:right w:val="single" w:sz="4" w:space="0" w:color="auto"/>
            </w:tcBorders>
            <w:shd w:val="clear" w:color="auto" w:fill="auto"/>
            <w:vAlign w:val="center"/>
            <w:hideMark/>
          </w:tcPr>
          <w:p w14:paraId="1A8C78D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las obras de inicio del Parque Metropolitano de la Vida, para el año 2023.</w:t>
            </w:r>
          </w:p>
        </w:tc>
        <w:tc>
          <w:tcPr>
            <w:tcW w:w="335" w:type="pct"/>
            <w:tcBorders>
              <w:top w:val="nil"/>
              <w:left w:val="nil"/>
              <w:bottom w:val="single" w:sz="4" w:space="0" w:color="auto"/>
              <w:right w:val="single" w:sz="4" w:space="0" w:color="auto"/>
            </w:tcBorders>
            <w:shd w:val="clear" w:color="auto" w:fill="auto"/>
            <w:vAlign w:val="center"/>
            <w:hideMark/>
          </w:tcPr>
          <w:p w14:paraId="1A04A0F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3E9F8A1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20%</w:t>
            </w:r>
          </w:p>
        </w:tc>
        <w:tc>
          <w:tcPr>
            <w:tcW w:w="388" w:type="pct"/>
            <w:tcBorders>
              <w:top w:val="nil"/>
              <w:left w:val="nil"/>
              <w:bottom w:val="single" w:sz="4" w:space="0" w:color="auto"/>
              <w:right w:val="single" w:sz="4" w:space="0" w:color="auto"/>
            </w:tcBorders>
            <w:shd w:val="clear" w:color="auto" w:fill="auto"/>
            <w:vAlign w:val="center"/>
            <w:hideMark/>
          </w:tcPr>
          <w:p w14:paraId="0982030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80%</w:t>
            </w:r>
          </w:p>
        </w:tc>
        <w:tc>
          <w:tcPr>
            <w:tcW w:w="335" w:type="pct"/>
            <w:tcBorders>
              <w:top w:val="nil"/>
              <w:left w:val="nil"/>
              <w:bottom w:val="single" w:sz="4" w:space="0" w:color="auto"/>
              <w:right w:val="single" w:sz="4" w:space="0" w:color="auto"/>
            </w:tcBorders>
            <w:shd w:val="clear" w:color="auto" w:fill="auto"/>
            <w:vAlign w:val="center"/>
            <w:hideMark/>
          </w:tcPr>
          <w:p w14:paraId="5BBA04F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60C226F9"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6507A54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715C2E5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1.5.1</w:t>
            </w:r>
          </w:p>
        </w:tc>
        <w:tc>
          <w:tcPr>
            <w:tcW w:w="794" w:type="pct"/>
            <w:tcBorders>
              <w:top w:val="nil"/>
              <w:left w:val="nil"/>
              <w:bottom w:val="single" w:sz="4" w:space="0" w:color="auto"/>
              <w:right w:val="single" w:sz="4" w:space="0" w:color="auto"/>
            </w:tcBorders>
            <w:shd w:val="clear" w:color="auto" w:fill="auto"/>
            <w:vAlign w:val="center"/>
            <w:hideMark/>
          </w:tcPr>
          <w:p w14:paraId="786ABD7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1.5.1 Rehabilitar la red de agua potable en zonas prioritarias.</w:t>
            </w:r>
          </w:p>
        </w:tc>
        <w:tc>
          <w:tcPr>
            <w:tcW w:w="731" w:type="pct"/>
            <w:tcBorders>
              <w:top w:val="nil"/>
              <w:left w:val="nil"/>
              <w:bottom w:val="single" w:sz="4" w:space="0" w:color="auto"/>
              <w:right w:val="single" w:sz="4" w:space="0" w:color="auto"/>
            </w:tcBorders>
            <w:shd w:val="clear" w:color="auto" w:fill="auto"/>
            <w:vAlign w:val="center"/>
            <w:hideMark/>
          </w:tcPr>
          <w:p w14:paraId="31F41DE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rehabilitación de la red de agua potable respecto de lo previsto.</w:t>
            </w:r>
          </w:p>
        </w:tc>
        <w:tc>
          <w:tcPr>
            <w:tcW w:w="762" w:type="pct"/>
            <w:tcBorders>
              <w:top w:val="nil"/>
              <w:left w:val="nil"/>
              <w:bottom w:val="single" w:sz="4" w:space="0" w:color="auto"/>
              <w:right w:val="single" w:sz="4" w:space="0" w:color="auto"/>
            </w:tcBorders>
            <w:shd w:val="clear" w:color="auto" w:fill="auto"/>
            <w:vAlign w:val="center"/>
            <w:hideMark/>
          </w:tcPr>
          <w:p w14:paraId="7D2B26D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Rehabilitar 160 km de Red de Agua Potable para 2023. </w:t>
            </w:r>
          </w:p>
        </w:tc>
        <w:tc>
          <w:tcPr>
            <w:tcW w:w="335" w:type="pct"/>
            <w:tcBorders>
              <w:top w:val="nil"/>
              <w:left w:val="nil"/>
              <w:bottom w:val="single" w:sz="4" w:space="0" w:color="auto"/>
              <w:right w:val="single" w:sz="4" w:space="0" w:color="auto"/>
            </w:tcBorders>
            <w:shd w:val="clear" w:color="auto" w:fill="auto"/>
            <w:vAlign w:val="center"/>
            <w:hideMark/>
          </w:tcPr>
          <w:p w14:paraId="7B7EDC3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4CD3854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69AD818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35" w:type="pct"/>
            <w:tcBorders>
              <w:top w:val="nil"/>
              <w:left w:val="nil"/>
              <w:bottom w:val="single" w:sz="4" w:space="0" w:color="auto"/>
              <w:right w:val="single" w:sz="4" w:space="0" w:color="auto"/>
            </w:tcBorders>
            <w:shd w:val="clear" w:color="auto" w:fill="auto"/>
            <w:vAlign w:val="center"/>
            <w:hideMark/>
          </w:tcPr>
          <w:p w14:paraId="405039B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016BE211"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135DF8F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17252C1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1.5.2 </w:t>
            </w:r>
          </w:p>
        </w:tc>
        <w:tc>
          <w:tcPr>
            <w:tcW w:w="794" w:type="pct"/>
            <w:tcBorders>
              <w:top w:val="nil"/>
              <w:left w:val="nil"/>
              <w:bottom w:val="single" w:sz="4" w:space="0" w:color="auto"/>
              <w:right w:val="single" w:sz="4" w:space="0" w:color="auto"/>
            </w:tcBorders>
            <w:shd w:val="clear" w:color="auto" w:fill="auto"/>
            <w:vAlign w:val="center"/>
            <w:hideMark/>
          </w:tcPr>
          <w:p w14:paraId="081A559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1.5.2 Mejorar la calidad del agua en las comunidades rurales en condiciones críticas con la colaboración de los comités de agua locales y realizando acciones de mantenimiento preventivo y correctivo, así como equipamiento de pozos de agua para consumo humano en zona rural.</w:t>
            </w:r>
          </w:p>
        </w:tc>
        <w:tc>
          <w:tcPr>
            <w:tcW w:w="731" w:type="pct"/>
            <w:tcBorders>
              <w:top w:val="nil"/>
              <w:left w:val="nil"/>
              <w:bottom w:val="single" w:sz="4" w:space="0" w:color="auto"/>
              <w:right w:val="single" w:sz="4" w:space="0" w:color="auto"/>
            </w:tcBorders>
            <w:shd w:val="clear" w:color="auto" w:fill="auto"/>
            <w:vAlign w:val="center"/>
            <w:hideMark/>
          </w:tcPr>
          <w:p w14:paraId="755146E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el mejoramiento de la calidad del agua en pozos, en las comunidades rurales en condiciones críticas respecto a lo previsto.</w:t>
            </w:r>
          </w:p>
        </w:tc>
        <w:tc>
          <w:tcPr>
            <w:tcW w:w="762" w:type="pct"/>
            <w:tcBorders>
              <w:top w:val="nil"/>
              <w:left w:val="nil"/>
              <w:bottom w:val="single" w:sz="4" w:space="0" w:color="auto"/>
              <w:right w:val="single" w:sz="4" w:space="0" w:color="auto"/>
            </w:tcBorders>
            <w:shd w:val="clear" w:color="auto" w:fill="auto"/>
            <w:vAlign w:val="center"/>
            <w:hideMark/>
          </w:tcPr>
          <w:p w14:paraId="4A1A2B1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Mejorar la calidad del agua de 53 pozos</w:t>
            </w:r>
          </w:p>
        </w:tc>
        <w:tc>
          <w:tcPr>
            <w:tcW w:w="335" w:type="pct"/>
            <w:tcBorders>
              <w:top w:val="nil"/>
              <w:left w:val="nil"/>
              <w:bottom w:val="single" w:sz="4" w:space="0" w:color="auto"/>
              <w:right w:val="single" w:sz="4" w:space="0" w:color="auto"/>
            </w:tcBorders>
            <w:shd w:val="clear" w:color="auto" w:fill="auto"/>
            <w:vAlign w:val="center"/>
            <w:hideMark/>
          </w:tcPr>
          <w:p w14:paraId="68F2FD8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4CF4C90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60%</w:t>
            </w:r>
          </w:p>
        </w:tc>
        <w:tc>
          <w:tcPr>
            <w:tcW w:w="388" w:type="pct"/>
            <w:tcBorders>
              <w:top w:val="nil"/>
              <w:left w:val="nil"/>
              <w:bottom w:val="single" w:sz="4" w:space="0" w:color="auto"/>
              <w:right w:val="single" w:sz="4" w:space="0" w:color="auto"/>
            </w:tcBorders>
            <w:shd w:val="clear" w:color="auto" w:fill="auto"/>
            <w:vAlign w:val="center"/>
            <w:hideMark/>
          </w:tcPr>
          <w:p w14:paraId="65D213F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35" w:type="pct"/>
            <w:tcBorders>
              <w:top w:val="nil"/>
              <w:left w:val="nil"/>
              <w:bottom w:val="single" w:sz="4" w:space="0" w:color="auto"/>
              <w:right w:val="single" w:sz="4" w:space="0" w:color="auto"/>
            </w:tcBorders>
            <w:shd w:val="clear" w:color="auto" w:fill="auto"/>
            <w:vAlign w:val="center"/>
            <w:hideMark/>
          </w:tcPr>
          <w:p w14:paraId="4754206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w:t>
            </w:r>
          </w:p>
        </w:tc>
      </w:tr>
      <w:tr w:rsidR="00794EB9" w:rsidRPr="00794EB9" w14:paraId="4057A48C"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22CC671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169AB63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1.5.3</w:t>
            </w:r>
          </w:p>
        </w:tc>
        <w:tc>
          <w:tcPr>
            <w:tcW w:w="794" w:type="pct"/>
            <w:tcBorders>
              <w:top w:val="nil"/>
              <w:left w:val="nil"/>
              <w:bottom w:val="single" w:sz="4" w:space="0" w:color="auto"/>
              <w:right w:val="single" w:sz="4" w:space="0" w:color="auto"/>
            </w:tcBorders>
            <w:shd w:val="clear" w:color="auto" w:fill="auto"/>
            <w:vAlign w:val="center"/>
            <w:hideMark/>
          </w:tcPr>
          <w:p w14:paraId="484C51E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1.5.3 Ampliar la red de Línea Morada para dar servicio con agua de reúso a las zonas urbanas, industrial y agrícola.</w:t>
            </w:r>
          </w:p>
        </w:tc>
        <w:tc>
          <w:tcPr>
            <w:tcW w:w="731" w:type="pct"/>
            <w:tcBorders>
              <w:top w:val="nil"/>
              <w:left w:val="nil"/>
              <w:bottom w:val="single" w:sz="4" w:space="0" w:color="auto"/>
              <w:right w:val="single" w:sz="4" w:space="0" w:color="auto"/>
            </w:tcBorders>
            <w:shd w:val="clear" w:color="auto" w:fill="auto"/>
            <w:vAlign w:val="center"/>
            <w:hideMark/>
          </w:tcPr>
          <w:p w14:paraId="32EFC44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ampliación de la red de agua de reúso habilitada respecto de lo previsto.</w:t>
            </w:r>
          </w:p>
        </w:tc>
        <w:tc>
          <w:tcPr>
            <w:tcW w:w="762" w:type="pct"/>
            <w:tcBorders>
              <w:top w:val="nil"/>
              <w:left w:val="nil"/>
              <w:bottom w:val="single" w:sz="4" w:space="0" w:color="auto"/>
              <w:right w:val="single" w:sz="4" w:space="0" w:color="auto"/>
            </w:tcBorders>
            <w:shd w:val="clear" w:color="auto" w:fill="auto"/>
            <w:vAlign w:val="center"/>
            <w:hideMark/>
          </w:tcPr>
          <w:p w14:paraId="334AC65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Ampliar 45 km la Red de Agua de Reúso (Línea Morada), que duplica la red actual</w:t>
            </w:r>
          </w:p>
        </w:tc>
        <w:tc>
          <w:tcPr>
            <w:tcW w:w="335" w:type="pct"/>
            <w:tcBorders>
              <w:top w:val="nil"/>
              <w:left w:val="nil"/>
              <w:bottom w:val="single" w:sz="4" w:space="0" w:color="auto"/>
              <w:right w:val="single" w:sz="4" w:space="0" w:color="auto"/>
            </w:tcBorders>
            <w:shd w:val="clear" w:color="auto" w:fill="auto"/>
            <w:vAlign w:val="center"/>
            <w:hideMark/>
          </w:tcPr>
          <w:p w14:paraId="56A7E7E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02792D4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88" w:type="pct"/>
            <w:tcBorders>
              <w:top w:val="nil"/>
              <w:left w:val="nil"/>
              <w:bottom w:val="single" w:sz="4" w:space="0" w:color="auto"/>
              <w:right w:val="single" w:sz="4" w:space="0" w:color="auto"/>
            </w:tcBorders>
            <w:shd w:val="clear" w:color="auto" w:fill="auto"/>
            <w:vAlign w:val="center"/>
            <w:hideMark/>
          </w:tcPr>
          <w:p w14:paraId="7DCB409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35" w:type="pct"/>
            <w:tcBorders>
              <w:top w:val="nil"/>
              <w:left w:val="nil"/>
              <w:bottom w:val="single" w:sz="4" w:space="0" w:color="auto"/>
              <w:right w:val="single" w:sz="4" w:space="0" w:color="auto"/>
            </w:tcBorders>
            <w:shd w:val="clear" w:color="auto" w:fill="auto"/>
            <w:vAlign w:val="center"/>
            <w:hideMark/>
          </w:tcPr>
          <w:p w14:paraId="79795FA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w:t>
            </w:r>
          </w:p>
        </w:tc>
      </w:tr>
      <w:tr w:rsidR="00794EB9" w:rsidRPr="00794EB9" w14:paraId="5B3470E2"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7D5053B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0DA890E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1.5.4</w:t>
            </w:r>
          </w:p>
        </w:tc>
        <w:tc>
          <w:tcPr>
            <w:tcW w:w="794" w:type="pct"/>
            <w:tcBorders>
              <w:top w:val="nil"/>
              <w:left w:val="nil"/>
              <w:bottom w:val="single" w:sz="4" w:space="0" w:color="auto"/>
              <w:right w:val="single" w:sz="4" w:space="0" w:color="auto"/>
            </w:tcBorders>
            <w:shd w:val="clear" w:color="auto" w:fill="auto"/>
            <w:vAlign w:val="center"/>
            <w:hideMark/>
          </w:tcPr>
          <w:p w14:paraId="16CC172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1.5.4 Dar atención al Drenaje Pluvial en zonas críticas.</w:t>
            </w:r>
          </w:p>
        </w:tc>
        <w:tc>
          <w:tcPr>
            <w:tcW w:w="731" w:type="pct"/>
            <w:tcBorders>
              <w:top w:val="nil"/>
              <w:left w:val="nil"/>
              <w:bottom w:val="single" w:sz="4" w:space="0" w:color="auto"/>
              <w:right w:val="single" w:sz="4" w:space="0" w:color="auto"/>
            </w:tcBorders>
            <w:shd w:val="clear" w:color="auto" w:fill="auto"/>
            <w:vAlign w:val="center"/>
            <w:hideMark/>
          </w:tcPr>
          <w:p w14:paraId="2EA2261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arroyos a los que se les brinda mantenimiento respecto de la meta anual que establezca SAPAL</w:t>
            </w:r>
          </w:p>
        </w:tc>
        <w:tc>
          <w:tcPr>
            <w:tcW w:w="762" w:type="pct"/>
            <w:tcBorders>
              <w:top w:val="nil"/>
              <w:left w:val="nil"/>
              <w:bottom w:val="single" w:sz="4" w:space="0" w:color="auto"/>
              <w:right w:val="single" w:sz="4" w:space="0" w:color="auto"/>
            </w:tcBorders>
            <w:shd w:val="clear" w:color="auto" w:fill="auto"/>
            <w:vAlign w:val="center"/>
            <w:hideMark/>
          </w:tcPr>
          <w:p w14:paraId="1D9B124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Dar mantenimiento al total de arroyos que cruzan la zona urbana para 2023.</w:t>
            </w:r>
          </w:p>
        </w:tc>
        <w:tc>
          <w:tcPr>
            <w:tcW w:w="335" w:type="pct"/>
            <w:tcBorders>
              <w:top w:val="nil"/>
              <w:left w:val="nil"/>
              <w:bottom w:val="single" w:sz="4" w:space="0" w:color="auto"/>
              <w:right w:val="single" w:sz="4" w:space="0" w:color="auto"/>
            </w:tcBorders>
            <w:shd w:val="clear" w:color="auto" w:fill="auto"/>
            <w:vAlign w:val="center"/>
            <w:hideMark/>
          </w:tcPr>
          <w:p w14:paraId="6119C95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354D353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60%</w:t>
            </w:r>
          </w:p>
        </w:tc>
        <w:tc>
          <w:tcPr>
            <w:tcW w:w="388" w:type="pct"/>
            <w:tcBorders>
              <w:top w:val="nil"/>
              <w:left w:val="nil"/>
              <w:bottom w:val="single" w:sz="4" w:space="0" w:color="auto"/>
              <w:right w:val="single" w:sz="4" w:space="0" w:color="auto"/>
            </w:tcBorders>
            <w:shd w:val="clear" w:color="auto" w:fill="auto"/>
            <w:vAlign w:val="center"/>
            <w:hideMark/>
          </w:tcPr>
          <w:p w14:paraId="6DFF646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35" w:type="pct"/>
            <w:tcBorders>
              <w:top w:val="nil"/>
              <w:left w:val="nil"/>
              <w:bottom w:val="single" w:sz="4" w:space="0" w:color="auto"/>
              <w:right w:val="single" w:sz="4" w:space="0" w:color="auto"/>
            </w:tcBorders>
            <w:shd w:val="clear" w:color="auto" w:fill="auto"/>
            <w:vAlign w:val="center"/>
            <w:hideMark/>
          </w:tcPr>
          <w:p w14:paraId="79BCCDE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3A6EACF5"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05DB771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3BE2DB57" w14:textId="77777777" w:rsidR="00794EB9" w:rsidRDefault="0046746F" w:rsidP="00C307FB">
            <w:pPr>
              <w:rPr>
                <w:rFonts w:ascii="Arial" w:hAnsi="Arial" w:cs="Arial"/>
                <w:sz w:val="22"/>
                <w:szCs w:val="22"/>
                <w:lang w:eastAsia="es-MX"/>
              </w:rPr>
            </w:pPr>
            <w:r>
              <w:rPr>
                <w:rFonts w:ascii="Arial" w:hAnsi="Arial" w:cs="Arial"/>
                <w:sz w:val="22"/>
                <w:szCs w:val="22"/>
                <w:lang w:eastAsia="es-MX"/>
              </w:rPr>
              <w:t>VS</w:t>
            </w:r>
            <w:r w:rsidR="00794EB9" w:rsidRPr="00794EB9">
              <w:rPr>
                <w:rFonts w:ascii="Arial" w:hAnsi="Arial" w:cs="Arial"/>
                <w:sz w:val="22"/>
                <w:szCs w:val="22"/>
                <w:lang w:eastAsia="es-MX"/>
              </w:rPr>
              <w:t>. 1.5.5</w:t>
            </w:r>
          </w:p>
          <w:p w14:paraId="4F740019" w14:textId="3E22FB71" w:rsidR="0046746F" w:rsidRPr="00794EB9" w:rsidRDefault="0046746F" w:rsidP="0046746F">
            <w:pPr>
              <w:jc w:val="center"/>
              <w:rPr>
                <w:rFonts w:ascii="Arial" w:hAnsi="Arial" w:cs="Arial"/>
                <w:sz w:val="22"/>
                <w:szCs w:val="22"/>
                <w:lang w:eastAsia="es-MX"/>
              </w:rPr>
            </w:pPr>
            <w:r>
              <w:rPr>
                <w:rFonts w:ascii="Arial" w:hAnsi="Arial" w:cs="Arial"/>
                <w:b/>
                <w:color w:val="002060"/>
                <w:sz w:val="18"/>
                <w:szCs w:val="18"/>
                <w:lang w:eastAsia="es-MX"/>
              </w:rPr>
              <w:t>ID del indicador modificado P.O. 27-</w:t>
            </w:r>
            <w:r w:rsidRPr="004522BD">
              <w:rPr>
                <w:rFonts w:ascii="Arial" w:hAnsi="Arial" w:cs="Arial"/>
                <w:b/>
                <w:color w:val="002060"/>
                <w:sz w:val="18"/>
                <w:szCs w:val="18"/>
                <w:lang w:eastAsia="es-MX"/>
              </w:rPr>
              <w:t>1</w:t>
            </w:r>
            <w:r>
              <w:rPr>
                <w:rFonts w:ascii="Arial" w:hAnsi="Arial" w:cs="Arial"/>
                <w:b/>
                <w:color w:val="002060"/>
                <w:sz w:val="18"/>
                <w:szCs w:val="18"/>
                <w:lang w:eastAsia="es-MX"/>
              </w:rPr>
              <w:t>2</w:t>
            </w:r>
            <w:r w:rsidRPr="004522BD">
              <w:rPr>
                <w:rFonts w:ascii="Arial" w:hAnsi="Arial" w:cs="Arial"/>
                <w:b/>
                <w:color w:val="002060"/>
                <w:sz w:val="18"/>
                <w:szCs w:val="18"/>
                <w:lang w:eastAsia="es-MX"/>
              </w:rPr>
              <w:t>-2022</w:t>
            </w:r>
          </w:p>
        </w:tc>
        <w:tc>
          <w:tcPr>
            <w:tcW w:w="794" w:type="pct"/>
            <w:tcBorders>
              <w:top w:val="nil"/>
              <w:left w:val="nil"/>
              <w:bottom w:val="single" w:sz="4" w:space="0" w:color="auto"/>
              <w:right w:val="single" w:sz="4" w:space="0" w:color="auto"/>
            </w:tcBorders>
            <w:shd w:val="clear" w:color="auto" w:fill="auto"/>
            <w:vAlign w:val="center"/>
            <w:hideMark/>
          </w:tcPr>
          <w:p w14:paraId="3034A403" w14:textId="77777777" w:rsidR="00794EB9" w:rsidRPr="00794EB9" w:rsidRDefault="00794EB9" w:rsidP="0069081C">
            <w:pPr>
              <w:jc w:val="center"/>
              <w:rPr>
                <w:rFonts w:ascii="Arial" w:hAnsi="Arial" w:cs="Arial"/>
                <w:sz w:val="22"/>
                <w:szCs w:val="22"/>
                <w:lang w:eastAsia="es-MX"/>
              </w:rPr>
            </w:pPr>
            <w:r w:rsidRPr="00794EB9">
              <w:rPr>
                <w:rFonts w:ascii="Arial" w:hAnsi="Arial" w:cs="Arial"/>
                <w:sz w:val="22"/>
                <w:szCs w:val="22"/>
                <w:lang w:eastAsia="es-MX"/>
              </w:rPr>
              <w:t>VS. 1.5.5 Implementar un programa para la prevención de inundaciones.</w:t>
            </w:r>
          </w:p>
        </w:tc>
        <w:tc>
          <w:tcPr>
            <w:tcW w:w="731" w:type="pct"/>
            <w:tcBorders>
              <w:top w:val="nil"/>
              <w:left w:val="nil"/>
              <w:bottom w:val="single" w:sz="4" w:space="0" w:color="auto"/>
              <w:right w:val="single" w:sz="4" w:space="0" w:color="auto"/>
            </w:tcBorders>
            <w:shd w:val="clear" w:color="auto" w:fill="auto"/>
            <w:vAlign w:val="center"/>
            <w:hideMark/>
          </w:tcPr>
          <w:p w14:paraId="6E84D44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obras realizadas con respecto del total previsto</w:t>
            </w:r>
          </w:p>
        </w:tc>
        <w:tc>
          <w:tcPr>
            <w:tcW w:w="762" w:type="pct"/>
            <w:tcBorders>
              <w:top w:val="nil"/>
              <w:left w:val="nil"/>
              <w:bottom w:val="single" w:sz="4" w:space="0" w:color="auto"/>
              <w:right w:val="single" w:sz="4" w:space="0" w:color="auto"/>
            </w:tcBorders>
            <w:shd w:val="clear" w:color="auto" w:fill="auto"/>
            <w:vAlign w:val="center"/>
            <w:hideMark/>
          </w:tcPr>
          <w:p w14:paraId="1802D107" w14:textId="77777777" w:rsidR="0046746F" w:rsidRPr="0069081C" w:rsidRDefault="0046746F" w:rsidP="0046746F">
            <w:pPr>
              <w:jc w:val="center"/>
              <w:rPr>
                <w:rFonts w:ascii="Arial" w:hAnsi="Arial" w:cs="Arial"/>
                <w:color w:val="002060"/>
                <w:sz w:val="22"/>
                <w:szCs w:val="22"/>
                <w:lang w:eastAsia="es-MX"/>
              </w:rPr>
            </w:pPr>
            <w:r w:rsidRPr="0069081C">
              <w:rPr>
                <w:rFonts w:ascii="Arial" w:hAnsi="Arial" w:cs="Arial"/>
                <w:color w:val="000000"/>
                <w:sz w:val="22"/>
                <w:szCs w:val="22"/>
              </w:rPr>
              <w:t>Realización de obras diversas en materia de prevención de inundaciones en zona rural. 180 obras durante el trienio</w:t>
            </w:r>
            <w:r w:rsidRPr="0069081C">
              <w:rPr>
                <w:rFonts w:ascii="Arial" w:hAnsi="Arial" w:cs="Arial"/>
                <w:color w:val="002060"/>
                <w:sz w:val="22"/>
                <w:szCs w:val="22"/>
                <w:lang w:eastAsia="es-MX"/>
              </w:rPr>
              <w:t xml:space="preserve"> </w:t>
            </w:r>
          </w:p>
          <w:p w14:paraId="78D011FC" w14:textId="1FD7DAC1" w:rsidR="00794EB9" w:rsidRPr="00794EB9" w:rsidRDefault="0046746F" w:rsidP="0069081C">
            <w:pPr>
              <w:jc w:val="center"/>
              <w:rPr>
                <w:rFonts w:ascii="Arial" w:hAnsi="Arial" w:cs="Arial"/>
                <w:sz w:val="22"/>
                <w:szCs w:val="22"/>
                <w:lang w:eastAsia="es-MX"/>
              </w:rPr>
            </w:pPr>
            <w:r>
              <w:rPr>
                <w:rFonts w:ascii="Arial" w:hAnsi="Arial" w:cs="Arial"/>
                <w:b/>
                <w:color w:val="002060"/>
                <w:sz w:val="18"/>
                <w:szCs w:val="18"/>
                <w:lang w:eastAsia="es-MX"/>
              </w:rPr>
              <w:t xml:space="preserve">Meta </w:t>
            </w:r>
            <w:r w:rsidR="0069081C">
              <w:rPr>
                <w:rFonts w:ascii="Arial" w:hAnsi="Arial" w:cs="Arial"/>
                <w:b/>
                <w:color w:val="002060"/>
                <w:sz w:val="18"/>
                <w:szCs w:val="18"/>
                <w:lang w:eastAsia="es-MX"/>
              </w:rPr>
              <w:t>disminuida</w:t>
            </w:r>
            <w:r>
              <w:rPr>
                <w:rFonts w:ascii="Arial" w:hAnsi="Arial" w:cs="Arial"/>
                <w:b/>
                <w:color w:val="002060"/>
                <w:sz w:val="18"/>
                <w:szCs w:val="18"/>
                <w:lang w:eastAsia="es-MX"/>
              </w:rPr>
              <w:t xml:space="preserve"> P.O. 27-</w:t>
            </w:r>
            <w:r w:rsidRPr="004522BD">
              <w:rPr>
                <w:rFonts w:ascii="Arial" w:hAnsi="Arial" w:cs="Arial"/>
                <w:b/>
                <w:color w:val="002060"/>
                <w:sz w:val="18"/>
                <w:szCs w:val="18"/>
                <w:lang w:eastAsia="es-MX"/>
              </w:rPr>
              <w:t>1</w:t>
            </w:r>
            <w:r>
              <w:rPr>
                <w:rFonts w:ascii="Arial" w:hAnsi="Arial" w:cs="Arial"/>
                <w:b/>
                <w:color w:val="002060"/>
                <w:sz w:val="18"/>
                <w:szCs w:val="18"/>
                <w:lang w:eastAsia="es-MX"/>
              </w:rPr>
              <w:t>2</w:t>
            </w:r>
            <w:r w:rsidRPr="004522BD">
              <w:rPr>
                <w:rFonts w:ascii="Arial" w:hAnsi="Arial" w:cs="Arial"/>
                <w:b/>
                <w:color w:val="002060"/>
                <w:sz w:val="18"/>
                <w:szCs w:val="18"/>
                <w:lang w:eastAsia="es-MX"/>
              </w:rPr>
              <w:t>-2022</w:t>
            </w:r>
          </w:p>
        </w:tc>
        <w:tc>
          <w:tcPr>
            <w:tcW w:w="335" w:type="pct"/>
            <w:tcBorders>
              <w:top w:val="nil"/>
              <w:left w:val="nil"/>
              <w:bottom w:val="single" w:sz="4" w:space="0" w:color="auto"/>
              <w:right w:val="single" w:sz="4" w:space="0" w:color="auto"/>
            </w:tcBorders>
            <w:shd w:val="clear" w:color="auto" w:fill="auto"/>
            <w:vAlign w:val="center"/>
            <w:hideMark/>
          </w:tcPr>
          <w:p w14:paraId="614EF64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2D4B7DE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88" w:type="pct"/>
            <w:tcBorders>
              <w:top w:val="nil"/>
              <w:left w:val="nil"/>
              <w:bottom w:val="single" w:sz="4" w:space="0" w:color="auto"/>
              <w:right w:val="single" w:sz="4" w:space="0" w:color="auto"/>
            </w:tcBorders>
            <w:shd w:val="clear" w:color="auto" w:fill="auto"/>
            <w:vAlign w:val="center"/>
            <w:hideMark/>
          </w:tcPr>
          <w:p w14:paraId="442ACF6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35" w:type="pct"/>
            <w:tcBorders>
              <w:top w:val="nil"/>
              <w:left w:val="nil"/>
              <w:bottom w:val="single" w:sz="4" w:space="0" w:color="auto"/>
              <w:right w:val="single" w:sz="4" w:space="0" w:color="auto"/>
            </w:tcBorders>
            <w:shd w:val="clear" w:color="auto" w:fill="auto"/>
            <w:vAlign w:val="center"/>
            <w:hideMark/>
          </w:tcPr>
          <w:p w14:paraId="3963883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427BE78A"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42EE053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404A595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1.5.6</w:t>
            </w:r>
          </w:p>
        </w:tc>
        <w:tc>
          <w:tcPr>
            <w:tcW w:w="794" w:type="pct"/>
            <w:tcBorders>
              <w:top w:val="nil"/>
              <w:left w:val="nil"/>
              <w:bottom w:val="single" w:sz="4" w:space="0" w:color="auto"/>
              <w:right w:val="single" w:sz="4" w:space="0" w:color="auto"/>
            </w:tcBorders>
            <w:shd w:val="clear" w:color="auto" w:fill="auto"/>
            <w:vAlign w:val="center"/>
            <w:hideMark/>
          </w:tcPr>
          <w:p w14:paraId="7F51E99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1.5.6 Generar acciones para incrementar la disponibilidad de agua para todos aprovechando las fuentes disponibles y otras  alternativas.</w:t>
            </w:r>
          </w:p>
        </w:tc>
        <w:tc>
          <w:tcPr>
            <w:tcW w:w="731" w:type="pct"/>
            <w:tcBorders>
              <w:top w:val="nil"/>
              <w:left w:val="nil"/>
              <w:bottom w:val="single" w:sz="4" w:space="0" w:color="auto"/>
              <w:right w:val="single" w:sz="4" w:space="0" w:color="auto"/>
            </w:tcBorders>
            <w:shd w:val="clear" w:color="auto" w:fill="auto"/>
            <w:vAlign w:val="center"/>
            <w:hideMark/>
          </w:tcPr>
          <w:p w14:paraId="047C472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aumento en lps a la disponibilidad de agua </w:t>
            </w:r>
          </w:p>
        </w:tc>
        <w:tc>
          <w:tcPr>
            <w:tcW w:w="762" w:type="pct"/>
            <w:tcBorders>
              <w:top w:val="nil"/>
              <w:left w:val="nil"/>
              <w:bottom w:val="single" w:sz="4" w:space="0" w:color="auto"/>
              <w:right w:val="single" w:sz="4" w:space="0" w:color="auto"/>
            </w:tcBorders>
            <w:shd w:val="clear" w:color="auto" w:fill="auto"/>
            <w:vAlign w:val="center"/>
            <w:hideMark/>
          </w:tcPr>
          <w:p w14:paraId="2EC1E38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Sumar un caudal 150 lps a la disponibilidad actual de agua durante el trienio. </w:t>
            </w:r>
          </w:p>
        </w:tc>
        <w:tc>
          <w:tcPr>
            <w:tcW w:w="335" w:type="pct"/>
            <w:tcBorders>
              <w:top w:val="nil"/>
              <w:left w:val="nil"/>
              <w:bottom w:val="single" w:sz="4" w:space="0" w:color="auto"/>
              <w:right w:val="single" w:sz="4" w:space="0" w:color="auto"/>
            </w:tcBorders>
            <w:shd w:val="clear" w:color="auto" w:fill="auto"/>
            <w:vAlign w:val="center"/>
            <w:hideMark/>
          </w:tcPr>
          <w:p w14:paraId="5F43904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3E020D5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60%</w:t>
            </w:r>
          </w:p>
        </w:tc>
        <w:tc>
          <w:tcPr>
            <w:tcW w:w="388" w:type="pct"/>
            <w:tcBorders>
              <w:top w:val="nil"/>
              <w:left w:val="nil"/>
              <w:bottom w:val="single" w:sz="4" w:space="0" w:color="auto"/>
              <w:right w:val="single" w:sz="4" w:space="0" w:color="auto"/>
            </w:tcBorders>
            <w:shd w:val="clear" w:color="auto" w:fill="auto"/>
            <w:vAlign w:val="center"/>
            <w:hideMark/>
          </w:tcPr>
          <w:p w14:paraId="6FC79D5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35" w:type="pct"/>
            <w:tcBorders>
              <w:top w:val="nil"/>
              <w:left w:val="nil"/>
              <w:bottom w:val="single" w:sz="4" w:space="0" w:color="auto"/>
              <w:right w:val="single" w:sz="4" w:space="0" w:color="auto"/>
            </w:tcBorders>
            <w:shd w:val="clear" w:color="auto" w:fill="auto"/>
            <w:vAlign w:val="center"/>
            <w:hideMark/>
          </w:tcPr>
          <w:p w14:paraId="57ED37A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w:t>
            </w:r>
          </w:p>
        </w:tc>
      </w:tr>
      <w:tr w:rsidR="00794EB9" w:rsidRPr="00794EB9" w14:paraId="579DFD5C"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266E80F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785713F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1.5.7</w:t>
            </w:r>
          </w:p>
        </w:tc>
        <w:tc>
          <w:tcPr>
            <w:tcW w:w="794" w:type="pct"/>
            <w:tcBorders>
              <w:top w:val="nil"/>
              <w:left w:val="nil"/>
              <w:bottom w:val="single" w:sz="4" w:space="0" w:color="auto"/>
              <w:right w:val="single" w:sz="4" w:space="0" w:color="auto"/>
            </w:tcBorders>
            <w:shd w:val="clear" w:color="auto" w:fill="auto"/>
            <w:vAlign w:val="center"/>
            <w:hideMark/>
          </w:tcPr>
          <w:p w14:paraId="3FA500E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1.5.7 Otorgar subsidios para la adquisición de equipos para la eficiencia del riego agrícola</w:t>
            </w:r>
          </w:p>
        </w:tc>
        <w:tc>
          <w:tcPr>
            <w:tcW w:w="731" w:type="pct"/>
            <w:tcBorders>
              <w:top w:val="nil"/>
              <w:left w:val="nil"/>
              <w:bottom w:val="single" w:sz="4" w:space="0" w:color="auto"/>
              <w:right w:val="single" w:sz="4" w:space="0" w:color="auto"/>
            </w:tcBorders>
            <w:shd w:val="clear" w:color="auto" w:fill="auto"/>
            <w:vAlign w:val="center"/>
            <w:hideMark/>
          </w:tcPr>
          <w:p w14:paraId="3821986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subsidios otorgados respecto del total</w:t>
            </w:r>
          </w:p>
        </w:tc>
        <w:tc>
          <w:tcPr>
            <w:tcW w:w="762" w:type="pct"/>
            <w:tcBorders>
              <w:top w:val="nil"/>
              <w:left w:val="nil"/>
              <w:bottom w:val="single" w:sz="4" w:space="0" w:color="auto"/>
              <w:right w:val="single" w:sz="4" w:space="0" w:color="auto"/>
            </w:tcBorders>
            <w:shd w:val="clear" w:color="auto" w:fill="auto"/>
            <w:vAlign w:val="center"/>
            <w:hideMark/>
          </w:tcPr>
          <w:p w14:paraId="7BDFACF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Otorgar subsidios al 100% de acuerdo al presupuesto disponible para eficientar el riego agrícola anualmente.</w:t>
            </w:r>
          </w:p>
        </w:tc>
        <w:tc>
          <w:tcPr>
            <w:tcW w:w="335" w:type="pct"/>
            <w:tcBorders>
              <w:top w:val="nil"/>
              <w:left w:val="nil"/>
              <w:bottom w:val="single" w:sz="4" w:space="0" w:color="auto"/>
              <w:right w:val="single" w:sz="4" w:space="0" w:color="auto"/>
            </w:tcBorders>
            <w:shd w:val="clear" w:color="auto" w:fill="auto"/>
            <w:vAlign w:val="center"/>
            <w:hideMark/>
          </w:tcPr>
          <w:p w14:paraId="4EFC210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398BEF8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88" w:type="pct"/>
            <w:tcBorders>
              <w:top w:val="nil"/>
              <w:left w:val="nil"/>
              <w:bottom w:val="single" w:sz="4" w:space="0" w:color="auto"/>
              <w:right w:val="single" w:sz="4" w:space="0" w:color="auto"/>
            </w:tcBorders>
            <w:shd w:val="clear" w:color="auto" w:fill="auto"/>
            <w:vAlign w:val="center"/>
            <w:hideMark/>
          </w:tcPr>
          <w:p w14:paraId="4870A35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5" w:type="pct"/>
            <w:tcBorders>
              <w:top w:val="nil"/>
              <w:left w:val="nil"/>
              <w:bottom w:val="single" w:sz="4" w:space="0" w:color="auto"/>
              <w:right w:val="single" w:sz="4" w:space="0" w:color="auto"/>
            </w:tcBorders>
            <w:shd w:val="clear" w:color="auto" w:fill="auto"/>
            <w:vAlign w:val="center"/>
            <w:hideMark/>
          </w:tcPr>
          <w:p w14:paraId="2436711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5BFE1ACD"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630DA97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1E2BC59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1.5.8</w:t>
            </w:r>
          </w:p>
        </w:tc>
        <w:tc>
          <w:tcPr>
            <w:tcW w:w="794" w:type="pct"/>
            <w:tcBorders>
              <w:top w:val="nil"/>
              <w:left w:val="nil"/>
              <w:bottom w:val="single" w:sz="4" w:space="0" w:color="auto"/>
              <w:right w:val="single" w:sz="4" w:space="0" w:color="auto"/>
            </w:tcBorders>
            <w:shd w:val="clear" w:color="auto" w:fill="auto"/>
            <w:vAlign w:val="center"/>
            <w:hideMark/>
          </w:tcPr>
          <w:p w14:paraId="104775D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1.5.8 Implementar acciones y apoyos para la captación de agua de lluvia en comunidades rurales.</w:t>
            </w:r>
          </w:p>
        </w:tc>
        <w:tc>
          <w:tcPr>
            <w:tcW w:w="731" w:type="pct"/>
            <w:tcBorders>
              <w:top w:val="nil"/>
              <w:left w:val="nil"/>
              <w:bottom w:val="single" w:sz="4" w:space="0" w:color="auto"/>
              <w:right w:val="single" w:sz="4" w:space="0" w:color="auto"/>
            </w:tcBorders>
            <w:shd w:val="clear" w:color="auto" w:fill="auto"/>
            <w:vAlign w:val="center"/>
            <w:hideMark/>
          </w:tcPr>
          <w:p w14:paraId="20807FF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subsidios otorgados respecto del total</w:t>
            </w:r>
          </w:p>
        </w:tc>
        <w:tc>
          <w:tcPr>
            <w:tcW w:w="762" w:type="pct"/>
            <w:tcBorders>
              <w:top w:val="nil"/>
              <w:left w:val="nil"/>
              <w:bottom w:val="single" w:sz="4" w:space="0" w:color="auto"/>
              <w:right w:val="single" w:sz="4" w:space="0" w:color="auto"/>
            </w:tcBorders>
            <w:shd w:val="clear" w:color="auto" w:fill="auto"/>
            <w:vAlign w:val="center"/>
            <w:hideMark/>
          </w:tcPr>
          <w:p w14:paraId="7CBAE04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Implementar al 100% acciones entregando apoyos para la captación de lluvia para el 2023</w:t>
            </w:r>
          </w:p>
        </w:tc>
        <w:tc>
          <w:tcPr>
            <w:tcW w:w="335" w:type="pct"/>
            <w:tcBorders>
              <w:top w:val="nil"/>
              <w:left w:val="nil"/>
              <w:bottom w:val="single" w:sz="4" w:space="0" w:color="auto"/>
              <w:right w:val="single" w:sz="4" w:space="0" w:color="auto"/>
            </w:tcBorders>
            <w:shd w:val="clear" w:color="auto" w:fill="auto"/>
            <w:vAlign w:val="center"/>
            <w:hideMark/>
          </w:tcPr>
          <w:p w14:paraId="283BF08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1E87E70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60%</w:t>
            </w:r>
          </w:p>
        </w:tc>
        <w:tc>
          <w:tcPr>
            <w:tcW w:w="388" w:type="pct"/>
            <w:tcBorders>
              <w:top w:val="nil"/>
              <w:left w:val="nil"/>
              <w:bottom w:val="single" w:sz="4" w:space="0" w:color="auto"/>
              <w:right w:val="single" w:sz="4" w:space="0" w:color="auto"/>
            </w:tcBorders>
            <w:shd w:val="clear" w:color="auto" w:fill="auto"/>
            <w:vAlign w:val="center"/>
            <w:hideMark/>
          </w:tcPr>
          <w:p w14:paraId="5EB6CBE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35" w:type="pct"/>
            <w:tcBorders>
              <w:top w:val="nil"/>
              <w:left w:val="nil"/>
              <w:bottom w:val="single" w:sz="4" w:space="0" w:color="auto"/>
              <w:right w:val="single" w:sz="4" w:space="0" w:color="auto"/>
            </w:tcBorders>
            <w:shd w:val="clear" w:color="auto" w:fill="auto"/>
            <w:vAlign w:val="center"/>
            <w:hideMark/>
          </w:tcPr>
          <w:p w14:paraId="25B997B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5402F5D3"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3E5703B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2B3643C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1.5.8</w:t>
            </w:r>
          </w:p>
        </w:tc>
        <w:tc>
          <w:tcPr>
            <w:tcW w:w="794" w:type="pct"/>
            <w:tcBorders>
              <w:top w:val="nil"/>
              <w:left w:val="nil"/>
              <w:bottom w:val="single" w:sz="4" w:space="0" w:color="auto"/>
              <w:right w:val="single" w:sz="4" w:space="0" w:color="auto"/>
            </w:tcBorders>
            <w:shd w:val="clear" w:color="auto" w:fill="auto"/>
            <w:vAlign w:val="center"/>
            <w:hideMark/>
          </w:tcPr>
          <w:p w14:paraId="5BD2B08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1.5.8 Implementar acciones y apoyos para la captación de agua de lluvia en comunidades rurales.</w:t>
            </w:r>
          </w:p>
        </w:tc>
        <w:tc>
          <w:tcPr>
            <w:tcW w:w="731" w:type="pct"/>
            <w:tcBorders>
              <w:top w:val="nil"/>
              <w:left w:val="nil"/>
              <w:bottom w:val="single" w:sz="4" w:space="0" w:color="auto"/>
              <w:right w:val="single" w:sz="4" w:space="0" w:color="auto"/>
            </w:tcBorders>
            <w:shd w:val="clear" w:color="auto" w:fill="auto"/>
            <w:vAlign w:val="center"/>
            <w:hideMark/>
          </w:tcPr>
          <w:p w14:paraId="3CCC4F8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acciones realizadas respecto del total establecido como meta</w:t>
            </w:r>
          </w:p>
        </w:tc>
        <w:tc>
          <w:tcPr>
            <w:tcW w:w="762" w:type="pct"/>
            <w:tcBorders>
              <w:top w:val="nil"/>
              <w:left w:val="nil"/>
              <w:bottom w:val="single" w:sz="4" w:space="0" w:color="auto"/>
              <w:right w:val="single" w:sz="4" w:space="0" w:color="auto"/>
            </w:tcBorders>
            <w:shd w:val="clear" w:color="auto" w:fill="auto"/>
            <w:vAlign w:val="center"/>
            <w:hideMark/>
          </w:tcPr>
          <w:p w14:paraId="1113EDAC" w14:textId="77777777" w:rsidR="00794EB9" w:rsidRDefault="0046746F" w:rsidP="00C307FB">
            <w:pPr>
              <w:jc w:val="center"/>
              <w:rPr>
                <w:rFonts w:ascii="Arial" w:hAnsi="Arial" w:cs="Arial"/>
                <w:sz w:val="22"/>
                <w:szCs w:val="22"/>
                <w:lang w:eastAsia="es-MX"/>
              </w:rPr>
            </w:pPr>
            <w:r>
              <w:rPr>
                <w:rFonts w:ascii="Arial" w:hAnsi="Arial" w:cs="Arial"/>
                <w:sz w:val="22"/>
                <w:szCs w:val="22"/>
                <w:lang w:eastAsia="es-MX"/>
              </w:rPr>
              <w:t>Realizar 7</w:t>
            </w:r>
            <w:r w:rsidR="00794EB9" w:rsidRPr="00794EB9">
              <w:rPr>
                <w:rFonts w:ascii="Arial" w:hAnsi="Arial" w:cs="Arial"/>
                <w:sz w:val="22"/>
                <w:szCs w:val="22"/>
                <w:lang w:eastAsia="es-MX"/>
              </w:rPr>
              <w:t xml:space="preserve">0 acciones de bordería para almacenamiento de agua pluvial durante el trienio </w:t>
            </w:r>
          </w:p>
          <w:p w14:paraId="05144910" w14:textId="48915E9C" w:rsidR="0046746F" w:rsidRPr="0046746F" w:rsidRDefault="0046746F" w:rsidP="0069081C">
            <w:pPr>
              <w:jc w:val="center"/>
              <w:rPr>
                <w:rFonts w:ascii="Arial" w:hAnsi="Arial" w:cs="Arial"/>
                <w:b/>
                <w:sz w:val="18"/>
                <w:szCs w:val="18"/>
                <w:lang w:eastAsia="es-MX"/>
              </w:rPr>
            </w:pPr>
            <w:r w:rsidRPr="0046746F">
              <w:rPr>
                <w:rFonts w:ascii="Arial" w:hAnsi="Arial" w:cs="Arial"/>
                <w:b/>
                <w:color w:val="002060"/>
                <w:sz w:val="18"/>
                <w:szCs w:val="18"/>
                <w:lang w:eastAsia="es-MX"/>
              </w:rPr>
              <w:t xml:space="preserve">Meta </w:t>
            </w:r>
            <w:r w:rsidR="0069081C">
              <w:rPr>
                <w:rFonts w:ascii="Arial" w:hAnsi="Arial" w:cs="Arial"/>
                <w:b/>
                <w:color w:val="002060"/>
                <w:sz w:val="18"/>
                <w:szCs w:val="18"/>
                <w:lang w:eastAsia="es-MX"/>
              </w:rPr>
              <w:t>disminuida</w:t>
            </w:r>
            <w:r w:rsidRPr="0046746F">
              <w:rPr>
                <w:rFonts w:ascii="Arial" w:hAnsi="Arial" w:cs="Arial"/>
                <w:b/>
                <w:color w:val="002060"/>
                <w:sz w:val="18"/>
                <w:szCs w:val="18"/>
                <w:lang w:eastAsia="es-MX"/>
              </w:rPr>
              <w:t xml:space="preserve"> P.O. 27-12-2022</w:t>
            </w:r>
          </w:p>
        </w:tc>
        <w:tc>
          <w:tcPr>
            <w:tcW w:w="335" w:type="pct"/>
            <w:tcBorders>
              <w:top w:val="nil"/>
              <w:left w:val="nil"/>
              <w:bottom w:val="single" w:sz="4" w:space="0" w:color="auto"/>
              <w:right w:val="single" w:sz="4" w:space="0" w:color="auto"/>
            </w:tcBorders>
            <w:shd w:val="clear" w:color="auto" w:fill="auto"/>
            <w:vAlign w:val="center"/>
            <w:hideMark/>
          </w:tcPr>
          <w:p w14:paraId="76439BD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1ABD72D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88" w:type="pct"/>
            <w:tcBorders>
              <w:top w:val="nil"/>
              <w:left w:val="nil"/>
              <w:bottom w:val="single" w:sz="4" w:space="0" w:color="auto"/>
              <w:right w:val="single" w:sz="4" w:space="0" w:color="auto"/>
            </w:tcBorders>
            <w:shd w:val="clear" w:color="auto" w:fill="auto"/>
            <w:vAlign w:val="center"/>
            <w:hideMark/>
          </w:tcPr>
          <w:p w14:paraId="70EAD0A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5" w:type="pct"/>
            <w:tcBorders>
              <w:top w:val="nil"/>
              <w:left w:val="nil"/>
              <w:bottom w:val="single" w:sz="4" w:space="0" w:color="auto"/>
              <w:right w:val="single" w:sz="4" w:space="0" w:color="auto"/>
            </w:tcBorders>
            <w:shd w:val="clear" w:color="auto" w:fill="auto"/>
            <w:vAlign w:val="center"/>
            <w:hideMark/>
          </w:tcPr>
          <w:p w14:paraId="7B53AC3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14E8D27B"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109D87E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06728F9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1.5.9</w:t>
            </w:r>
          </w:p>
        </w:tc>
        <w:tc>
          <w:tcPr>
            <w:tcW w:w="794" w:type="pct"/>
            <w:tcBorders>
              <w:top w:val="nil"/>
              <w:left w:val="nil"/>
              <w:bottom w:val="single" w:sz="4" w:space="0" w:color="auto"/>
              <w:right w:val="single" w:sz="4" w:space="0" w:color="auto"/>
            </w:tcBorders>
            <w:shd w:val="clear" w:color="auto" w:fill="auto"/>
            <w:vAlign w:val="center"/>
            <w:hideMark/>
          </w:tcPr>
          <w:p w14:paraId="73FC61C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1.5.9 Realizar obras de infraestructura hidráulica en zonas rurales.</w:t>
            </w:r>
          </w:p>
        </w:tc>
        <w:tc>
          <w:tcPr>
            <w:tcW w:w="731" w:type="pct"/>
            <w:tcBorders>
              <w:top w:val="nil"/>
              <w:left w:val="nil"/>
              <w:bottom w:val="single" w:sz="4" w:space="0" w:color="auto"/>
              <w:right w:val="single" w:sz="4" w:space="0" w:color="auto"/>
            </w:tcBorders>
            <w:shd w:val="clear" w:color="auto" w:fill="auto"/>
            <w:vAlign w:val="center"/>
            <w:hideMark/>
          </w:tcPr>
          <w:p w14:paraId="344131F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obras de infraestructura hidráulica en zona rural realizadas respecto del total previsto</w:t>
            </w:r>
          </w:p>
        </w:tc>
        <w:tc>
          <w:tcPr>
            <w:tcW w:w="762" w:type="pct"/>
            <w:tcBorders>
              <w:top w:val="nil"/>
              <w:left w:val="nil"/>
              <w:bottom w:val="single" w:sz="4" w:space="0" w:color="auto"/>
              <w:right w:val="single" w:sz="4" w:space="0" w:color="auto"/>
            </w:tcBorders>
            <w:shd w:val="clear" w:color="auto" w:fill="auto"/>
            <w:vAlign w:val="center"/>
            <w:hideMark/>
          </w:tcPr>
          <w:p w14:paraId="12AB9733" w14:textId="77777777" w:rsidR="00794EB9" w:rsidRDefault="007F7470" w:rsidP="00C307FB">
            <w:pPr>
              <w:jc w:val="center"/>
              <w:rPr>
                <w:rFonts w:ascii="Arial" w:hAnsi="Arial" w:cs="Arial"/>
                <w:sz w:val="22"/>
                <w:szCs w:val="22"/>
                <w:lang w:eastAsia="es-MX"/>
              </w:rPr>
            </w:pPr>
            <w:r>
              <w:rPr>
                <w:rFonts w:ascii="Arial" w:hAnsi="Arial" w:cs="Arial"/>
                <w:sz w:val="22"/>
                <w:szCs w:val="22"/>
                <w:lang w:eastAsia="es-MX"/>
              </w:rPr>
              <w:t>Realizar 4</w:t>
            </w:r>
            <w:r w:rsidR="00794EB9" w:rsidRPr="00794EB9">
              <w:rPr>
                <w:rFonts w:ascii="Arial" w:hAnsi="Arial" w:cs="Arial"/>
                <w:sz w:val="22"/>
                <w:szCs w:val="22"/>
                <w:lang w:eastAsia="es-MX"/>
              </w:rPr>
              <w:t xml:space="preserve"> obras de infraestructura hidráulica en zona rural para 2023</w:t>
            </w:r>
          </w:p>
          <w:p w14:paraId="5BD431BA" w14:textId="77777777" w:rsidR="007F7470" w:rsidRDefault="007F7470" w:rsidP="00C307FB">
            <w:pPr>
              <w:jc w:val="center"/>
              <w:rPr>
                <w:rFonts w:ascii="Arial" w:hAnsi="Arial" w:cs="Arial"/>
                <w:sz w:val="22"/>
                <w:szCs w:val="22"/>
                <w:lang w:eastAsia="es-MX"/>
              </w:rPr>
            </w:pPr>
          </w:p>
          <w:p w14:paraId="6E51FBEC" w14:textId="15F87766" w:rsidR="00255030" w:rsidRDefault="00FB4DF0" w:rsidP="00C307FB">
            <w:pPr>
              <w:jc w:val="center"/>
              <w:rPr>
                <w:rFonts w:ascii="Arial" w:hAnsi="Arial" w:cs="Arial"/>
                <w:b/>
                <w:color w:val="002060"/>
                <w:sz w:val="16"/>
                <w:szCs w:val="16"/>
                <w:lang w:eastAsia="es-MX"/>
              </w:rPr>
            </w:pPr>
            <w:r>
              <w:rPr>
                <w:rFonts w:ascii="Arial" w:hAnsi="Arial" w:cs="Arial"/>
                <w:b/>
                <w:color w:val="002060"/>
                <w:sz w:val="16"/>
                <w:szCs w:val="16"/>
                <w:lang w:eastAsia="es-MX"/>
              </w:rPr>
              <w:t>Meta</w:t>
            </w:r>
            <w:r w:rsidR="007F7470" w:rsidRPr="007F7470">
              <w:rPr>
                <w:rFonts w:ascii="Arial" w:hAnsi="Arial" w:cs="Arial"/>
                <w:b/>
                <w:color w:val="002060"/>
                <w:sz w:val="16"/>
                <w:szCs w:val="16"/>
                <w:lang w:eastAsia="es-MX"/>
              </w:rPr>
              <w:t xml:space="preserve"> y metas anuales </w:t>
            </w:r>
            <w:r w:rsidR="00F17E23">
              <w:rPr>
                <w:rFonts w:ascii="Arial" w:hAnsi="Arial" w:cs="Arial"/>
                <w:b/>
                <w:color w:val="002060"/>
                <w:sz w:val="16"/>
                <w:szCs w:val="16"/>
                <w:lang w:eastAsia="es-MX"/>
              </w:rPr>
              <w:t>incrementadas</w:t>
            </w:r>
            <w:r w:rsidR="007F7470" w:rsidRPr="007F7470">
              <w:rPr>
                <w:rFonts w:ascii="Arial" w:hAnsi="Arial" w:cs="Arial"/>
                <w:b/>
                <w:color w:val="002060"/>
                <w:sz w:val="16"/>
                <w:szCs w:val="16"/>
                <w:lang w:eastAsia="es-MX"/>
              </w:rPr>
              <w:t xml:space="preserve"> </w:t>
            </w:r>
          </w:p>
          <w:p w14:paraId="4427B76A" w14:textId="5A3A8571" w:rsidR="007F7470" w:rsidRPr="007F7470" w:rsidRDefault="007F7470" w:rsidP="00C307FB">
            <w:pPr>
              <w:jc w:val="center"/>
              <w:rPr>
                <w:rFonts w:ascii="Arial" w:hAnsi="Arial" w:cs="Arial"/>
                <w:b/>
                <w:sz w:val="16"/>
                <w:szCs w:val="16"/>
                <w:lang w:eastAsia="es-MX"/>
              </w:rPr>
            </w:pPr>
            <w:r w:rsidRPr="007F7470">
              <w:rPr>
                <w:rFonts w:ascii="Arial" w:hAnsi="Arial" w:cs="Arial"/>
                <w:b/>
                <w:color w:val="002060"/>
                <w:sz w:val="16"/>
                <w:szCs w:val="16"/>
                <w:lang w:eastAsia="es-MX"/>
              </w:rPr>
              <w:t>27-12-2022</w:t>
            </w:r>
          </w:p>
        </w:tc>
        <w:tc>
          <w:tcPr>
            <w:tcW w:w="335" w:type="pct"/>
            <w:tcBorders>
              <w:top w:val="nil"/>
              <w:left w:val="nil"/>
              <w:bottom w:val="single" w:sz="4" w:space="0" w:color="auto"/>
              <w:right w:val="single" w:sz="4" w:space="0" w:color="auto"/>
            </w:tcBorders>
            <w:shd w:val="clear" w:color="auto" w:fill="auto"/>
            <w:vAlign w:val="center"/>
            <w:hideMark/>
          </w:tcPr>
          <w:p w14:paraId="42B424B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13F0633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88" w:type="pct"/>
            <w:tcBorders>
              <w:top w:val="nil"/>
              <w:left w:val="nil"/>
              <w:bottom w:val="single" w:sz="4" w:space="0" w:color="auto"/>
              <w:right w:val="single" w:sz="4" w:space="0" w:color="auto"/>
            </w:tcBorders>
            <w:shd w:val="clear" w:color="auto" w:fill="auto"/>
            <w:vAlign w:val="center"/>
            <w:hideMark/>
          </w:tcPr>
          <w:p w14:paraId="081AB7FB" w14:textId="2EF7AFF3" w:rsidR="00794EB9" w:rsidRPr="00794EB9" w:rsidRDefault="007F7470" w:rsidP="00C307FB">
            <w:pPr>
              <w:jc w:val="center"/>
              <w:rPr>
                <w:rFonts w:ascii="Arial" w:hAnsi="Arial" w:cs="Arial"/>
                <w:sz w:val="22"/>
                <w:szCs w:val="22"/>
                <w:lang w:eastAsia="es-MX"/>
              </w:rPr>
            </w:pPr>
            <w:r>
              <w:rPr>
                <w:rFonts w:ascii="Arial" w:hAnsi="Arial" w:cs="Arial"/>
                <w:sz w:val="22"/>
                <w:szCs w:val="22"/>
                <w:lang w:eastAsia="es-MX"/>
              </w:rPr>
              <w:t>25</w:t>
            </w:r>
            <w:r w:rsidR="00794EB9" w:rsidRPr="00794EB9">
              <w:rPr>
                <w:rFonts w:ascii="Arial" w:hAnsi="Arial" w:cs="Arial"/>
                <w:sz w:val="22"/>
                <w:szCs w:val="22"/>
                <w:lang w:eastAsia="es-MX"/>
              </w:rPr>
              <w:t>%</w:t>
            </w:r>
          </w:p>
        </w:tc>
        <w:tc>
          <w:tcPr>
            <w:tcW w:w="335" w:type="pct"/>
            <w:tcBorders>
              <w:top w:val="nil"/>
              <w:left w:val="nil"/>
              <w:bottom w:val="single" w:sz="4" w:space="0" w:color="auto"/>
              <w:right w:val="single" w:sz="4" w:space="0" w:color="auto"/>
            </w:tcBorders>
            <w:shd w:val="clear" w:color="auto" w:fill="auto"/>
            <w:vAlign w:val="center"/>
            <w:hideMark/>
          </w:tcPr>
          <w:p w14:paraId="0410D5DB" w14:textId="15705CFA" w:rsidR="00794EB9" w:rsidRPr="00794EB9" w:rsidRDefault="007F7470" w:rsidP="00C307FB">
            <w:pPr>
              <w:jc w:val="center"/>
              <w:rPr>
                <w:rFonts w:ascii="Arial" w:hAnsi="Arial" w:cs="Arial"/>
                <w:sz w:val="22"/>
                <w:szCs w:val="22"/>
                <w:lang w:eastAsia="es-MX"/>
              </w:rPr>
            </w:pPr>
            <w:r>
              <w:rPr>
                <w:rFonts w:ascii="Arial" w:hAnsi="Arial" w:cs="Arial"/>
                <w:sz w:val="22"/>
                <w:szCs w:val="22"/>
                <w:lang w:eastAsia="es-MX"/>
              </w:rPr>
              <w:t>25</w:t>
            </w:r>
            <w:r w:rsidR="00794EB9" w:rsidRPr="00794EB9">
              <w:rPr>
                <w:rFonts w:ascii="Arial" w:hAnsi="Arial" w:cs="Arial"/>
                <w:sz w:val="22"/>
                <w:szCs w:val="22"/>
                <w:lang w:eastAsia="es-MX"/>
              </w:rPr>
              <w:t>%</w:t>
            </w:r>
          </w:p>
        </w:tc>
      </w:tr>
      <w:tr w:rsidR="00794EB9" w:rsidRPr="00794EB9" w14:paraId="0F8270EE"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42DF7AB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1272D97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1.5.10.</w:t>
            </w:r>
          </w:p>
        </w:tc>
        <w:tc>
          <w:tcPr>
            <w:tcW w:w="794" w:type="pct"/>
            <w:tcBorders>
              <w:top w:val="nil"/>
              <w:left w:val="nil"/>
              <w:bottom w:val="single" w:sz="4" w:space="0" w:color="auto"/>
              <w:right w:val="single" w:sz="4" w:space="0" w:color="auto"/>
            </w:tcBorders>
            <w:shd w:val="clear" w:color="auto" w:fill="auto"/>
            <w:vAlign w:val="center"/>
            <w:hideMark/>
          </w:tcPr>
          <w:p w14:paraId="5B0DFCD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1.5.10. Incorporar a comunidades rurales prioritarias y con disponibilidad social al Sistema Operativo de SAPAL para la dotación del Servicio de Agua Potable y Drenaje Sanitario. </w:t>
            </w:r>
          </w:p>
        </w:tc>
        <w:tc>
          <w:tcPr>
            <w:tcW w:w="731" w:type="pct"/>
            <w:tcBorders>
              <w:top w:val="nil"/>
              <w:left w:val="nil"/>
              <w:bottom w:val="single" w:sz="4" w:space="0" w:color="auto"/>
              <w:right w:val="single" w:sz="4" w:space="0" w:color="auto"/>
            </w:tcBorders>
            <w:shd w:val="clear" w:color="auto" w:fill="auto"/>
            <w:vAlign w:val="center"/>
            <w:hideMark/>
          </w:tcPr>
          <w:p w14:paraId="42AA27B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comunidades incorporadas al SAPAL</w:t>
            </w:r>
          </w:p>
        </w:tc>
        <w:tc>
          <w:tcPr>
            <w:tcW w:w="762" w:type="pct"/>
            <w:tcBorders>
              <w:top w:val="nil"/>
              <w:left w:val="nil"/>
              <w:bottom w:val="single" w:sz="4" w:space="0" w:color="auto"/>
              <w:right w:val="single" w:sz="4" w:space="0" w:color="auto"/>
            </w:tcBorders>
            <w:shd w:val="clear" w:color="auto" w:fill="auto"/>
            <w:vAlign w:val="center"/>
            <w:hideMark/>
          </w:tcPr>
          <w:p w14:paraId="14C350C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Incorporar a las comunidades Rurales prioritarias y con disponibilidad social al Sistema Operativo de SAPAL para la dotación del Servicio de Agua Potable y Drenaje Sanitario para 2023. </w:t>
            </w:r>
          </w:p>
        </w:tc>
        <w:tc>
          <w:tcPr>
            <w:tcW w:w="335" w:type="pct"/>
            <w:tcBorders>
              <w:top w:val="nil"/>
              <w:left w:val="nil"/>
              <w:bottom w:val="single" w:sz="4" w:space="0" w:color="auto"/>
              <w:right w:val="single" w:sz="4" w:space="0" w:color="auto"/>
            </w:tcBorders>
            <w:shd w:val="clear" w:color="auto" w:fill="auto"/>
            <w:vAlign w:val="center"/>
            <w:hideMark/>
          </w:tcPr>
          <w:p w14:paraId="23FDE6D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5E8C863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88" w:type="pct"/>
            <w:tcBorders>
              <w:top w:val="nil"/>
              <w:left w:val="nil"/>
              <w:bottom w:val="single" w:sz="4" w:space="0" w:color="auto"/>
              <w:right w:val="single" w:sz="4" w:space="0" w:color="auto"/>
            </w:tcBorders>
            <w:shd w:val="clear" w:color="auto" w:fill="auto"/>
            <w:vAlign w:val="center"/>
            <w:hideMark/>
          </w:tcPr>
          <w:p w14:paraId="5005BED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35" w:type="pct"/>
            <w:tcBorders>
              <w:top w:val="nil"/>
              <w:left w:val="nil"/>
              <w:bottom w:val="single" w:sz="4" w:space="0" w:color="auto"/>
              <w:right w:val="single" w:sz="4" w:space="0" w:color="auto"/>
            </w:tcBorders>
            <w:shd w:val="clear" w:color="auto" w:fill="auto"/>
            <w:vAlign w:val="center"/>
            <w:hideMark/>
          </w:tcPr>
          <w:p w14:paraId="077786F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1AC769F8"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1A3305D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32740FD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1.5.11</w:t>
            </w:r>
          </w:p>
        </w:tc>
        <w:tc>
          <w:tcPr>
            <w:tcW w:w="794" w:type="pct"/>
            <w:tcBorders>
              <w:top w:val="nil"/>
              <w:left w:val="nil"/>
              <w:bottom w:val="single" w:sz="4" w:space="0" w:color="auto"/>
              <w:right w:val="single" w:sz="4" w:space="0" w:color="auto"/>
            </w:tcBorders>
            <w:shd w:val="clear" w:color="auto" w:fill="auto"/>
            <w:vAlign w:val="center"/>
            <w:hideMark/>
          </w:tcPr>
          <w:p w14:paraId="2990021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1.5.11  Implementar un programa para fomentar la cultura del cuidado y reutilización del agua dirigida a la población de mayor consumo.</w:t>
            </w:r>
          </w:p>
        </w:tc>
        <w:tc>
          <w:tcPr>
            <w:tcW w:w="731" w:type="pct"/>
            <w:tcBorders>
              <w:top w:val="nil"/>
              <w:left w:val="nil"/>
              <w:bottom w:val="single" w:sz="4" w:space="0" w:color="auto"/>
              <w:right w:val="single" w:sz="4" w:space="0" w:color="auto"/>
            </w:tcBorders>
            <w:shd w:val="clear" w:color="auto" w:fill="auto"/>
            <w:vAlign w:val="center"/>
            <w:hideMark/>
          </w:tcPr>
          <w:p w14:paraId="14AE2B6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personas que impacta el programa y las campañas de cultura del agua </w:t>
            </w:r>
          </w:p>
        </w:tc>
        <w:tc>
          <w:tcPr>
            <w:tcW w:w="762" w:type="pct"/>
            <w:tcBorders>
              <w:top w:val="nil"/>
              <w:left w:val="nil"/>
              <w:bottom w:val="single" w:sz="4" w:space="0" w:color="auto"/>
              <w:right w:val="single" w:sz="4" w:space="0" w:color="auto"/>
            </w:tcBorders>
            <w:shd w:val="clear" w:color="auto" w:fill="auto"/>
            <w:vAlign w:val="center"/>
            <w:hideMark/>
          </w:tcPr>
          <w:p w14:paraId="78C363C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Implementar el programa para fomentar la cultura del cuidado del agua y reutilización para impactar a la población que más consumo genera para 2023.</w:t>
            </w:r>
          </w:p>
        </w:tc>
        <w:tc>
          <w:tcPr>
            <w:tcW w:w="335" w:type="pct"/>
            <w:tcBorders>
              <w:top w:val="nil"/>
              <w:left w:val="nil"/>
              <w:bottom w:val="single" w:sz="4" w:space="0" w:color="auto"/>
              <w:right w:val="single" w:sz="4" w:space="0" w:color="auto"/>
            </w:tcBorders>
            <w:shd w:val="clear" w:color="auto" w:fill="auto"/>
            <w:vAlign w:val="center"/>
            <w:hideMark/>
          </w:tcPr>
          <w:p w14:paraId="7AD7E24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4711542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88" w:type="pct"/>
            <w:tcBorders>
              <w:top w:val="nil"/>
              <w:left w:val="nil"/>
              <w:bottom w:val="single" w:sz="4" w:space="0" w:color="auto"/>
              <w:right w:val="single" w:sz="4" w:space="0" w:color="auto"/>
            </w:tcBorders>
            <w:shd w:val="clear" w:color="auto" w:fill="auto"/>
            <w:vAlign w:val="center"/>
            <w:hideMark/>
          </w:tcPr>
          <w:p w14:paraId="7ED62E3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35" w:type="pct"/>
            <w:tcBorders>
              <w:top w:val="nil"/>
              <w:left w:val="nil"/>
              <w:bottom w:val="single" w:sz="4" w:space="0" w:color="auto"/>
              <w:right w:val="single" w:sz="4" w:space="0" w:color="auto"/>
            </w:tcBorders>
            <w:shd w:val="clear" w:color="auto" w:fill="auto"/>
            <w:vAlign w:val="center"/>
            <w:hideMark/>
          </w:tcPr>
          <w:p w14:paraId="79B7C9D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50108B60"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6F39045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1.6 León siempre limpio</w:t>
            </w:r>
          </w:p>
        </w:tc>
        <w:tc>
          <w:tcPr>
            <w:tcW w:w="604" w:type="pct"/>
            <w:tcBorders>
              <w:top w:val="nil"/>
              <w:left w:val="nil"/>
              <w:bottom w:val="single" w:sz="4" w:space="0" w:color="auto"/>
              <w:right w:val="single" w:sz="4" w:space="0" w:color="auto"/>
            </w:tcBorders>
            <w:shd w:val="clear" w:color="auto" w:fill="auto"/>
            <w:vAlign w:val="center"/>
            <w:hideMark/>
          </w:tcPr>
          <w:p w14:paraId="7969699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1.6.1</w:t>
            </w:r>
          </w:p>
        </w:tc>
        <w:tc>
          <w:tcPr>
            <w:tcW w:w="794" w:type="pct"/>
            <w:tcBorders>
              <w:top w:val="nil"/>
              <w:left w:val="nil"/>
              <w:bottom w:val="single" w:sz="4" w:space="0" w:color="auto"/>
              <w:right w:val="single" w:sz="4" w:space="0" w:color="auto"/>
            </w:tcBorders>
            <w:shd w:val="clear" w:color="auto" w:fill="auto"/>
            <w:vAlign w:val="center"/>
            <w:hideMark/>
          </w:tcPr>
          <w:p w14:paraId="5C05490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1.6.1 Promover la cultura ambiental para la separación de residuos sólidos urbanos a través de la campaña Basura que no es basura.</w:t>
            </w:r>
          </w:p>
        </w:tc>
        <w:tc>
          <w:tcPr>
            <w:tcW w:w="731" w:type="pct"/>
            <w:tcBorders>
              <w:top w:val="nil"/>
              <w:left w:val="nil"/>
              <w:bottom w:val="single" w:sz="4" w:space="0" w:color="auto"/>
              <w:right w:val="single" w:sz="4" w:space="0" w:color="auto"/>
            </w:tcBorders>
            <w:shd w:val="clear" w:color="auto" w:fill="auto"/>
            <w:vAlign w:val="center"/>
            <w:hideMark/>
          </w:tcPr>
          <w:p w14:paraId="51CF9D2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construcción del espacio para separación y tratamiento de residuos sólidos aprovechables</w:t>
            </w:r>
          </w:p>
        </w:tc>
        <w:tc>
          <w:tcPr>
            <w:tcW w:w="762" w:type="pct"/>
            <w:tcBorders>
              <w:top w:val="nil"/>
              <w:left w:val="nil"/>
              <w:bottom w:val="single" w:sz="4" w:space="0" w:color="auto"/>
              <w:right w:val="single" w:sz="4" w:space="0" w:color="auto"/>
            </w:tcBorders>
            <w:shd w:val="clear" w:color="auto" w:fill="auto"/>
            <w:vAlign w:val="center"/>
            <w:hideMark/>
          </w:tcPr>
          <w:p w14:paraId="24CC0A6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Construcción de un espacio para separación y tratamiento de los residuos sólidos aprovechables</w:t>
            </w:r>
          </w:p>
        </w:tc>
        <w:tc>
          <w:tcPr>
            <w:tcW w:w="335" w:type="pct"/>
            <w:tcBorders>
              <w:top w:val="nil"/>
              <w:left w:val="nil"/>
              <w:bottom w:val="single" w:sz="4" w:space="0" w:color="auto"/>
              <w:right w:val="single" w:sz="4" w:space="0" w:color="auto"/>
            </w:tcBorders>
            <w:shd w:val="clear" w:color="auto" w:fill="auto"/>
            <w:vAlign w:val="center"/>
            <w:hideMark/>
          </w:tcPr>
          <w:p w14:paraId="42B7DE3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22D4EB2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5D4E04B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35" w:type="pct"/>
            <w:tcBorders>
              <w:top w:val="nil"/>
              <w:left w:val="nil"/>
              <w:bottom w:val="single" w:sz="4" w:space="0" w:color="auto"/>
              <w:right w:val="single" w:sz="4" w:space="0" w:color="auto"/>
            </w:tcBorders>
            <w:shd w:val="clear" w:color="auto" w:fill="auto"/>
            <w:vAlign w:val="center"/>
            <w:hideMark/>
          </w:tcPr>
          <w:p w14:paraId="1517E09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6A60C853"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25BFBF6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1.6 León siempre limpio</w:t>
            </w:r>
          </w:p>
        </w:tc>
        <w:tc>
          <w:tcPr>
            <w:tcW w:w="604" w:type="pct"/>
            <w:tcBorders>
              <w:top w:val="nil"/>
              <w:left w:val="nil"/>
              <w:bottom w:val="single" w:sz="4" w:space="0" w:color="auto"/>
              <w:right w:val="single" w:sz="4" w:space="0" w:color="auto"/>
            </w:tcBorders>
            <w:shd w:val="clear" w:color="auto" w:fill="auto"/>
            <w:vAlign w:val="center"/>
            <w:hideMark/>
          </w:tcPr>
          <w:p w14:paraId="481E06D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1.6.1</w:t>
            </w:r>
          </w:p>
        </w:tc>
        <w:tc>
          <w:tcPr>
            <w:tcW w:w="794" w:type="pct"/>
            <w:tcBorders>
              <w:top w:val="nil"/>
              <w:left w:val="nil"/>
              <w:bottom w:val="single" w:sz="4" w:space="0" w:color="auto"/>
              <w:right w:val="single" w:sz="4" w:space="0" w:color="auto"/>
            </w:tcBorders>
            <w:shd w:val="clear" w:color="auto" w:fill="auto"/>
            <w:vAlign w:val="center"/>
            <w:hideMark/>
          </w:tcPr>
          <w:p w14:paraId="42F84F3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1.6.1 Promover la cultura ambiental para la separación de residuos sólidos urbanos a través de la campaña Basura que no es basura.</w:t>
            </w:r>
          </w:p>
        </w:tc>
        <w:tc>
          <w:tcPr>
            <w:tcW w:w="731" w:type="pct"/>
            <w:tcBorders>
              <w:top w:val="nil"/>
              <w:left w:val="nil"/>
              <w:bottom w:val="single" w:sz="4" w:space="0" w:color="auto"/>
              <w:right w:val="single" w:sz="4" w:space="0" w:color="auto"/>
            </w:tcBorders>
            <w:shd w:val="clear" w:color="auto" w:fill="auto"/>
            <w:vAlign w:val="center"/>
            <w:hideMark/>
          </w:tcPr>
          <w:p w14:paraId="4B03381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en la ejecución de la campaña para la separación de residuos sólidos urbanos respecto de la meta anual que se establezca</w:t>
            </w:r>
          </w:p>
        </w:tc>
        <w:tc>
          <w:tcPr>
            <w:tcW w:w="762" w:type="pct"/>
            <w:tcBorders>
              <w:top w:val="nil"/>
              <w:left w:val="nil"/>
              <w:bottom w:val="single" w:sz="4" w:space="0" w:color="auto"/>
              <w:right w:val="single" w:sz="4" w:space="0" w:color="auto"/>
            </w:tcBorders>
            <w:shd w:val="clear" w:color="auto" w:fill="auto"/>
            <w:vAlign w:val="center"/>
            <w:hideMark/>
          </w:tcPr>
          <w:p w14:paraId="558C692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una campaña de cultura ambiental para la separación de residuos sólidos urbanos en el año 2022.</w:t>
            </w:r>
          </w:p>
        </w:tc>
        <w:tc>
          <w:tcPr>
            <w:tcW w:w="335" w:type="pct"/>
            <w:tcBorders>
              <w:top w:val="nil"/>
              <w:left w:val="nil"/>
              <w:bottom w:val="single" w:sz="4" w:space="0" w:color="auto"/>
              <w:right w:val="single" w:sz="4" w:space="0" w:color="auto"/>
            </w:tcBorders>
            <w:shd w:val="clear" w:color="auto" w:fill="auto"/>
            <w:vAlign w:val="center"/>
            <w:hideMark/>
          </w:tcPr>
          <w:p w14:paraId="06ABEFD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0D1CD4B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88" w:type="pct"/>
            <w:tcBorders>
              <w:top w:val="nil"/>
              <w:left w:val="nil"/>
              <w:bottom w:val="single" w:sz="4" w:space="0" w:color="auto"/>
              <w:right w:val="single" w:sz="4" w:space="0" w:color="auto"/>
            </w:tcBorders>
            <w:shd w:val="clear" w:color="auto" w:fill="auto"/>
            <w:vAlign w:val="center"/>
            <w:hideMark/>
          </w:tcPr>
          <w:p w14:paraId="261825A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5" w:type="pct"/>
            <w:tcBorders>
              <w:top w:val="nil"/>
              <w:left w:val="nil"/>
              <w:bottom w:val="single" w:sz="4" w:space="0" w:color="auto"/>
              <w:right w:val="single" w:sz="4" w:space="0" w:color="auto"/>
            </w:tcBorders>
            <w:shd w:val="clear" w:color="auto" w:fill="auto"/>
            <w:vAlign w:val="center"/>
            <w:hideMark/>
          </w:tcPr>
          <w:p w14:paraId="0769369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189706FB"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1DF2073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1.6 León siempre limpio</w:t>
            </w:r>
          </w:p>
        </w:tc>
        <w:tc>
          <w:tcPr>
            <w:tcW w:w="604" w:type="pct"/>
            <w:tcBorders>
              <w:top w:val="nil"/>
              <w:left w:val="nil"/>
              <w:bottom w:val="single" w:sz="4" w:space="0" w:color="auto"/>
              <w:right w:val="single" w:sz="4" w:space="0" w:color="auto"/>
            </w:tcBorders>
            <w:shd w:val="clear" w:color="auto" w:fill="auto"/>
            <w:vAlign w:val="center"/>
            <w:hideMark/>
          </w:tcPr>
          <w:p w14:paraId="690AEA5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VS.1.6.2 </w:t>
            </w:r>
          </w:p>
        </w:tc>
        <w:tc>
          <w:tcPr>
            <w:tcW w:w="794" w:type="pct"/>
            <w:tcBorders>
              <w:top w:val="nil"/>
              <w:left w:val="nil"/>
              <w:bottom w:val="single" w:sz="4" w:space="0" w:color="auto"/>
              <w:right w:val="single" w:sz="4" w:space="0" w:color="auto"/>
            </w:tcBorders>
            <w:shd w:val="clear" w:color="auto" w:fill="auto"/>
            <w:vAlign w:val="center"/>
            <w:hideMark/>
          </w:tcPr>
          <w:p w14:paraId="62CD225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VS.1.6.2 Realizar acciones en materia de limpieza integral de la ciudad. </w:t>
            </w:r>
          </w:p>
        </w:tc>
        <w:tc>
          <w:tcPr>
            <w:tcW w:w="731" w:type="pct"/>
            <w:tcBorders>
              <w:top w:val="nil"/>
              <w:left w:val="nil"/>
              <w:bottom w:val="single" w:sz="4" w:space="0" w:color="auto"/>
              <w:right w:val="single" w:sz="4" w:space="0" w:color="auto"/>
            </w:tcBorders>
            <w:shd w:val="clear" w:color="auto" w:fill="auto"/>
            <w:vAlign w:val="center"/>
            <w:hideMark/>
          </w:tcPr>
          <w:p w14:paraId="72AC0EF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acciones implementadas en la ciudad en materia de limpieza</w:t>
            </w:r>
          </w:p>
        </w:tc>
        <w:tc>
          <w:tcPr>
            <w:tcW w:w="762" w:type="pct"/>
            <w:tcBorders>
              <w:top w:val="nil"/>
              <w:left w:val="nil"/>
              <w:bottom w:val="single" w:sz="4" w:space="0" w:color="auto"/>
              <w:right w:val="single" w:sz="4" w:space="0" w:color="auto"/>
            </w:tcBorders>
            <w:shd w:val="clear" w:color="auto" w:fill="auto"/>
            <w:vAlign w:val="center"/>
            <w:hideMark/>
          </w:tcPr>
          <w:p w14:paraId="4DC6267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Realizar la recolección de residuos en la ciudad de León </w:t>
            </w:r>
          </w:p>
        </w:tc>
        <w:tc>
          <w:tcPr>
            <w:tcW w:w="335" w:type="pct"/>
            <w:tcBorders>
              <w:top w:val="nil"/>
              <w:left w:val="nil"/>
              <w:bottom w:val="single" w:sz="4" w:space="0" w:color="auto"/>
              <w:right w:val="single" w:sz="4" w:space="0" w:color="auto"/>
            </w:tcBorders>
            <w:shd w:val="clear" w:color="auto" w:fill="auto"/>
            <w:vAlign w:val="center"/>
            <w:hideMark/>
          </w:tcPr>
          <w:p w14:paraId="45BF7BD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5DFE358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88" w:type="pct"/>
            <w:tcBorders>
              <w:top w:val="nil"/>
              <w:left w:val="nil"/>
              <w:bottom w:val="single" w:sz="4" w:space="0" w:color="auto"/>
              <w:right w:val="single" w:sz="4" w:space="0" w:color="auto"/>
            </w:tcBorders>
            <w:shd w:val="clear" w:color="auto" w:fill="auto"/>
            <w:vAlign w:val="center"/>
            <w:hideMark/>
          </w:tcPr>
          <w:p w14:paraId="7C57664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5" w:type="pct"/>
            <w:tcBorders>
              <w:top w:val="nil"/>
              <w:left w:val="nil"/>
              <w:bottom w:val="single" w:sz="4" w:space="0" w:color="auto"/>
              <w:right w:val="single" w:sz="4" w:space="0" w:color="auto"/>
            </w:tcBorders>
            <w:shd w:val="clear" w:color="auto" w:fill="auto"/>
            <w:vAlign w:val="center"/>
            <w:hideMark/>
          </w:tcPr>
          <w:p w14:paraId="3FFAEE5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327E17BE"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74F3909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1.6 León siempre limpio</w:t>
            </w:r>
          </w:p>
        </w:tc>
        <w:tc>
          <w:tcPr>
            <w:tcW w:w="604" w:type="pct"/>
            <w:tcBorders>
              <w:top w:val="nil"/>
              <w:left w:val="nil"/>
              <w:bottom w:val="single" w:sz="4" w:space="0" w:color="auto"/>
              <w:right w:val="single" w:sz="4" w:space="0" w:color="auto"/>
            </w:tcBorders>
            <w:shd w:val="clear" w:color="auto" w:fill="auto"/>
            <w:vAlign w:val="center"/>
            <w:hideMark/>
          </w:tcPr>
          <w:p w14:paraId="3EFDEC2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1.6.3</w:t>
            </w:r>
          </w:p>
        </w:tc>
        <w:tc>
          <w:tcPr>
            <w:tcW w:w="794" w:type="pct"/>
            <w:tcBorders>
              <w:top w:val="nil"/>
              <w:left w:val="nil"/>
              <w:bottom w:val="single" w:sz="4" w:space="0" w:color="auto"/>
              <w:right w:val="single" w:sz="4" w:space="0" w:color="auto"/>
            </w:tcBorders>
            <w:shd w:val="clear" w:color="auto" w:fill="auto"/>
            <w:vAlign w:val="center"/>
            <w:hideMark/>
          </w:tcPr>
          <w:p w14:paraId="2E59A08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1.6.3 Diseñar y poner en marcha el proyecto de SIAP Al 100 que integre acciones especiales de recolección, separación, transporte, confinamiento y aprovechamiento de residuos valorizables.</w:t>
            </w:r>
          </w:p>
        </w:tc>
        <w:tc>
          <w:tcPr>
            <w:tcW w:w="731" w:type="pct"/>
            <w:tcBorders>
              <w:top w:val="nil"/>
              <w:left w:val="nil"/>
              <w:bottom w:val="single" w:sz="4" w:space="0" w:color="auto"/>
              <w:right w:val="single" w:sz="4" w:space="0" w:color="auto"/>
            </w:tcBorders>
            <w:shd w:val="clear" w:color="auto" w:fill="auto"/>
            <w:vAlign w:val="center"/>
            <w:hideMark/>
          </w:tcPr>
          <w:p w14:paraId="3F6F7D3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1a etapa de cierre y clausura de La Reserva</w:t>
            </w:r>
          </w:p>
        </w:tc>
        <w:tc>
          <w:tcPr>
            <w:tcW w:w="762" w:type="pct"/>
            <w:tcBorders>
              <w:top w:val="nil"/>
              <w:left w:val="nil"/>
              <w:bottom w:val="single" w:sz="4" w:space="0" w:color="auto"/>
              <w:right w:val="single" w:sz="4" w:space="0" w:color="auto"/>
            </w:tcBorders>
            <w:shd w:val="clear" w:color="auto" w:fill="auto"/>
            <w:vAlign w:val="center"/>
            <w:hideMark/>
          </w:tcPr>
          <w:p w14:paraId="332430C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 etapa de cierre y clausura de La Reserva</w:t>
            </w:r>
          </w:p>
        </w:tc>
        <w:tc>
          <w:tcPr>
            <w:tcW w:w="335" w:type="pct"/>
            <w:tcBorders>
              <w:top w:val="nil"/>
              <w:left w:val="nil"/>
              <w:bottom w:val="single" w:sz="4" w:space="0" w:color="auto"/>
              <w:right w:val="single" w:sz="4" w:space="0" w:color="auto"/>
            </w:tcBorders>
            <w:shd w:val="clear" w:color="auto" w:fill="auto"/>
            <w:vAlign w:val="center"/>
            <w:hideMark/>
          </w:tcPr>
          <w:p w14:paraId="0E6F1A4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5750F30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88" w:type="pct"/>
            <w:tcBorders>
              <w:top w:val="nil"/>
              <w:left w:val="nil"/>
              <w:bottom w:val="single" w:sz="4" w:space="0" w:color="auto"/>
              <w:right w:val="single" w:sz="4" w:space="0" w:color="auto"/>
            </w:tcBorders>
            <w:shd w:val="clear" w:color="auto" w:fill="auto"/>
            <w:vAlign w:val="center"/>
            <w:hideMark/>
          </w:tcPr>
          <w:p w14:paraId="57886BC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5" w:type="pct"/>
            <w:tcBorders>
              <w:top w:val="nil"/>
              <w:left w:val="nil"/>
              <w:bottom w:val="single" w:sz="4" w:space="0" w:color="auto"/>
              <w:right w:val="single" w:sz="4" w:space="0" w:color="auto"/>
            </w:tcBorders>
            <w:shd w:val="clear" w:color="auto" w:fill="auto"/>
            <w:vAlign w:val="center"/>
            <w:hideMark/>
          </w:tcPr>
          <w:p w14:paraId="279C4E8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618880DA" w14:textId="77777777" w:rsidTr="00C307FB">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2A61A76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1.6 León siempre limpio</w:t>
            </w:r>
          </w:p>
        </w:tc>
        <w:tc>
          <w:tcPr>
            <w:tcW w:w="604" w:type="pct"/>
            <w:tcBorders>
              <w:top w:val="nil"/>
              <w:left w:val="nil"/>
              <w:bottom w:val="single" w:sz="4" w:space="0" w:color="auto"/>
              <w:right w:val="single" w:sz="4" w:space="0" w:color="auto"/>
            </w:tcBorders>
            <w:shd w:val="clear" w:color="auto" w:fill="auto"/>
            <w:vAlign w:val="center"/>
            <w:hideMark/>
          </w:tcPr>
          <w:p w14:paraId="7F60941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1.6.3</w:t>
            </w:r>
          </w:p>
        </w:tc>
        <w:tc>
          <w:tcPr>
            <w:tcW w:w="794" w:type="pct"/>
            <w:tcBorders>
              <w:top w:val="nil"/>
              <w:left w:val="nil"/>
              <w:bottom w:val="single" w:sz="4" w:space="0" w:color="auto"/>
              <w:right w:val="single" w:sz="4" w:space="0" w:color="auto"/>
            </w:tcBorders>
            <w:shd w:val="clear" w:color="auto" w:fill="auto"/>
            <w:vAlign w:val="center"/>
            <w:hideMark/>
          </w:tcPr>
          <w:p w14:paraId="371DA5C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1.6.3 Diseñar y poner en marcha el proyecto de SIAP Al 100 que integre acciones especiales de recolección, separación, transporte, confinamiento y aprovechamiento de residuos valorizables.</w:t>
            </w:r>
          </w:p>
        </w:tc>
        <w:tc>
          <w:tcPr>
            <w:tcW w:w="731" w:type="pct"/>
            <w:tcBorders>
              <w:top w:val="nil"/>
              <w:left w:val="nil"/>
              <w:bottom w:val="single" w:sz="4" w:space="0" w:color="auto"/>
              <w:right w:val="single" w:sz="4" w:space="0" w:color="auto"/>
            </w:tcBorders>
            <w:shd w:val="clear" w:color="auto" w:fill="auto"/>
            <w:vAlign w:val="center"/>
            <w:hideMark/>
          </w:tcPr>
          <w:p w14:paraId="076E578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implementación de SIAP al 100</w:t>
            </w:r>
          </w:p>
        </w:tc>
        <w:tc>
          <w:tcPr>
            <w:tcW w:w="762" w:type="pct"/>
            <w:tcBorders>
              <w:top w:val="nil"/>
              <w:left w:val="nil"/>
              <w:bottom w:val="single" w:sz="4" w:space="0" w:color="auto"/>
              <w:right w:val="single" w:sz="4" w:space="0" w:color="auto"/>
            </w:tcBorders>
            <w:shd w:val="clear" w:color="auto" w:fill="auto"/>
            <w:vAlign w:val="center"/>
            <w:hideMark/>
          </w:tcPr>
          <w:p w14:paraId="2F21B14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Implementar el programa de cuadrillas 24/7 de atención inmediata para responder reportes ciudadanos, rescate de monumentos, tratamientos de residuos valorizables</w:t>
            </w:r>
          </w:p>
        </w:tc>
        <w:tc>
          <w:tcPr>
            <w:tcW w:w="335" w:type="pct"/>
            <w:tcBorders>
              <w:top w:val="nil"/>
              <w:left w:val="nil"/>
              <w:bottom w:val="single" w:sz="4" w:space="0" w:color="auto"/>
              <w:right w:val="single" w:sz="4" w:space="0" w:color="auto"/>
            </w:tcBorders>
            <w:shd w:val="clear" w:color="auto" w:fill="auto"/>
            <w:vAlign w:val="center"/>
            <w:hideMark/>
          </w:tcPr>
          <w:p w14:paraId="3A9A268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46C555B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88" w:type="pct"/>
            <w:tcBorders>
              <w:top w:val="nil"/>
              <w:left w:val="nil"/>
              <w:bottom w:val="single" w:sz="4" w:space="0" w:color="auto"/>
              <w:right w:val="single" w:sz="4" w:space="0" w:color="auto"/>
            </w:tcBorders>
            <w:shd w:val="clear" w:color="auto" w:fill="auto"/>
            <w:vAlign w:val="center"/>
            <w:hideMark/>
          </w:tcPr>
          <w:p w14:paraId="1B77638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5" w:type="pct"/>
            <w:tcBorders>
              <w:top w:val="nil"/>
              <w:left w:val="nil"/>
              <w:bottom w:val="single" w:sz="4" w:space="0" w:color="auto"/>
              <w:right w:val="single" w:sz="4" w:space="0" w:color="auto"/>
            </w:tcBorders>
            <w:shd w:val="clear" w:color="auto" w:fill="auto"/>
            <w:vAlign w:val="center"/>
            <w:hideMark/>
          </w:tcPr>
          <w:p w14:paraId="4E31A4B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bl>
    <w:p w14:paraId="4CC427E0" w14:textId="77777777" w:rsidR="00794EB9" w:rsidRPr="00794EB9" w:rsidRDefault="00794EB9" w:rsidP="00794EB9">
      <w:pPr>
        <w:ind w:leftChars="-194" w:left="-388" w:firstLine="1"/>
        <w:rPr>
          <w:rFonts w:ascii="Arial" w:hAnsi="Arial" w:cs="Arial"/>
          <w:sz w:val="22"/>
          <w:szCs w:val="22"/>
        </w:rPr>
      </w:pPr>
    </w:p>
    <w:p w14:paraId="1C3A9FCF"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BANDERA. VIVIR SANO</w:t>
      </w:r>
    </w:p>
    <w:p w14:paraId="10117D1A"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Estrategia 4.  BIENESTAR PARA LA POBLACIÓN.</w:t>
      </w:r>
    </w:p>
    <w:p w14:paraId="09F90B11"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PROGRAMA: VS2. LEÓN SIN HAMBRE</w:t>
      </w:r>
    </w:p>
    <w:p w14:paraId="322A3CA1" w14:textId="77777777" w:rsidR="00794EB9" w:rsidRPr="00794EB9" w:rsidRDefault="00794EB9" w:rsidP="00794EB9">
      <w:pPr>
        <w:spacing w:line="259" w:lineRule="auto"/>
        <w:jc w:val="both"/>
        <w:rPr>
          <w:rFonts w:ascii="Arial" w:hAnsi="Arial" w:cs="Arial"/>
          <w:sz w:val="22"/>
          <w:szCs w:val="22"/>
          <w:lang w:eastAsia="es-MX"/>
        </w:rPr>
      </w:pPr>
      <w:r w:rsidRPr="00794EB9">
        <w:rPr>
          <w:rFonts w:ascii="Arial" w:hAnsi="Arial" w:cs="Arial"/>
          <w:i/>
          <w:iCs/>
          <w:sz w:val="22"/>
          <w:szCs w:val="22"/>
          <w:lang w:eastAsia="es-MX"/>
        </w:rPr>
        <w:t xml:space="preserve">Objetivo del programa: </w:t>
      </w:r>
      <w:r w:rsidRPr="00794EB9">
        <w:rPr>
          <w:rFonts w:ascii="Arial" w:hAnsi="Arial" w:cs="Arial"/>
          <w:sz w:val="22"/>
          <w:szCs w:val="22"/>
          <w:lang w:eastAsia="es-MX"/>
        </w:rPr>
        <w:t>Disminuir la pobreza alimentaria en la población en situación de vulnerabilidad mediante apoyos alimenticios, alianzas institucionales y un proyecto integral de asistencia social.</w:t>
      </w:r>
    </w:p>
    <w:p w14:paraId="1964C1D6" w14:textId="77777777" w:rsidR="00794EB9" w:rsidRPr="00794EB9" w:rsidRDefault="00794EB9" w:rsidP="00794EB9">
      <w:pPr>
        <w:spacing w:line="259" w:lineRule="auto"/>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228"/>
        <w:gridCol w:w="1122"/>
        <w:gridCol w:w="1276"/>
        <w:gridCol w:w="1315"/>
        <w:gridCol w:w="1363"/>
        <w:gridCol w:w="631"/>
        <w:gridCol w:w="631"/>
        <w:gridCol w:w="631"/>
        <w:gridCol w:w="631"/>
      </w:tblGrid>
      <w:tr w:rsidR="00794EB9" w:rsidRPr="00794EB9" w14:paraId="0D1182ED" w14:textId="77777777" w:rsidTr="00C307FB">
        <w:trPr>
          <w:cantSplit/>
          <w:trHeight w:val="20"/>
          <w:tblHeader/>
        </w:trPr>
        <w:tc>
          <w:tcPr>
            <w:tcW w:w="6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6CDDF2"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PROYECTOS </w:t>
            </w:r>
          </w:p>
        </w:tc>
        <w:tc>
          <w:tcPr>
            <w:tcW w:w="63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08B7762"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72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16FEF13"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74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E338B23"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77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A6D9263"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5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8959D2F"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35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EBBD6EA"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5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7308362"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5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B2D1F2A"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68B9D422" w14:textId="77777777" w:rsidTr="00C307FB">
        <w:trPr>
          <w:cantSplit/>
          <w:trHeight w:val="20"/>
        </w:trPr>
        <w:tc>
          <w:tcPr>
            <w:tcW w:w="698" w:type="pct"/>
            <w:tcBorders>
              <w:top w:val="nil"/>
              <w:left w:val="single" w:sz="4" w:space="0" w:color="auto"/>
              <w:bottom w:val="single" w:sz="4" w:space="0" w:color="auto"/>
              <w:right w:val="single" w:sz="4" w:space="0" w:color="auto"/>
            </w:tcBorders>
            <w:shd w:val="clear" w:color="auto" w:fill="auto"/>
            <w:vAlign w:val="center"/>
            <w:hideMark/>
          </w:tcPr>
          <w:p w14:paraId="73D86A8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2.1 Comedores comunitarios</w:t>
            </w:r>
          </w:p>
        </w:tc>
        <w:tc>
          <w:tcPr>
            <w:tcW w:w="637" w:type="pct"/>
            <w:tcBorders>
              <w:top w:val="nil"/>
              <w:left w:val="nil"/>
              <w:bottom w:val="single" w:sz="4" w:space="0" w:color="auto"/>
              <w:right w:val="single" w:sz="4" w:space="0" w:color="auto"/>
            </w:tcBorders>
            <w:shd w:val="clear" w:color="auto" w:fill="auto"/>
            <w:vAlign w:val="center"/>
            <w:hideMark/>
          </w:tcPr>
          <w:p w14:paraId="507BB23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2.1.1</w:t>
            </w:r>
          </w:p>
        </w:tc>
        <w:tc>
          <w:tcPr>
            <w:tcW w:w="726" w:type="pct"/>
            <w:tcBorders>
              <w:top w:val="nil"/>
              <w:left w:val="nil"/>
              <w:bottom w:val="single" w:sz="4" w:space="0" w:color="auto"/>
              <w:right w:val="single" w:sz="4" w:space="0" w:color="auto"/>
            </w:tcBorders>
            <w:shd w:val="clear" w:color="auto" w:fill="auto"/>
            <w:vAlign w:val="center"/>
            <w:hideMark/>
          </w:tcPr>
          <w:p w14:paraId="34715E9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2.1.1 Implementar espacios fijos y móviles para el fomento de la sana alimentación, así como el mantenimiento preventivo y correctivo a los diferentes comedores, para prestar un mejor servicio a la población.  </w:t>
            </w:r>
          </w:p>
        </w:tc>
        <w:tc>
          <w:tcPr>
            <w:tcW w:w="749" w:type="pct"/>
            <w:tcBorders>
              <w:top w:val="nil"/>
              <w:left w:val="nil"/>
              <w:bottom w:val="single" w:sz="4" w:space="0" w:color="auto"/>
              <w:right w:val="single" w:sz="4" w:space="0" w:color="auto"/>
            </w:tcBorders>
            <w:shd w:val="clear" w:color="auto" w:fill="auto"/>
            <w:vAlign w:val="center"/>
            <w:hideMark/>
          </w:tcPr>
          <w:p w14:paraId="7C45D86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espacios implementados para el fomento de la sana alimentación respecto de la meta anual establecida </w:t>
            </w:r>
          </w:p>
        </w:tc>
        <w:tc>
          <w:tcPr>
            <w:tcW w:w="776" w:type="pct"/>
            <w:tcBorders>
              <w:top w:val="nil"/>
              <w:left w:val="nil"/>
              <w:bottom w:val="single" w:sz="4" w:space="0" w:color="auto"/>
              <w:right w:val="single" w:sz="4" w:space="0" w:color="auto"/>
            </w:tcBorders>
            <w:shd w:val="clear" w:color="auto" w:fill="auto"/>
            <w:vAlign w:val="center"/>
            <w:hideMark/>
          </w:tcPr>
          <w:p w14:paraId="1E8C180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Implementación espacios fijos y  móviles para el fomento de la sana alimentación y mantenimiento preventivo y correctivo a los diferentes comedores, para prestar un mejor servicio a la población</w:t>
            </w:r>
          </w:p>
        </w:tc>
        <w:tc>
          <w:tcPr>
            <w:tcW w:w="354" w:type="pct"/>
            <w:tcBorders>
              <w:top w:val="nil"/>
              <w:left w:val="nil"/>
              <w:bottom w:val="single" w:sz="4" w:space="0" w:color="auto"/>
              <w:right w:val="single" w:sz="4" w:space="0" w:color="auto"/>
            </w:tcBorders>
            <w:shd w:val="clear" w:color="auto" w:fill="auto"/>
            <w:vAlign w:val="center"/>
            <w:hideMark/>
          </w:tcPr>
          <w:p w14:paraId="7F827CF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54" w:type="pct"/>
            <w:tcBorders>
              <w:top w:val="nil"/>
              <w:left w:val="nil"/>
              <w:bottom w:val="single" w:sz="4" w:space="0" w:color="auto"/>
              <w:right w:val="single" w:sz="4" w:space="0" w:color="auto"/>
            </w:tcBorders>
            <w:shd w:val="clear" w:color="auto" w:fill="auto"/>
            <w:vAlign w:val="center"/>
            <w:hideMark/>
          </w:tcPr>
          <w:p w14:paraId="4C00E0F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c>
          <w:tcPr>
            <w:tcW w:w="354" w:type="pct"/>
            <w:tcBorders>
              <w:top w:val="nil"/>
              <w:left w:val="nil"/>
              <w:bottom w:val="single" w:sz="4" w:space="0" w:color="auto"/>
              <w:right w:val="single" w:sz="4" w:space="0" w:color="auto"/>
            </w:tcBorders>
            <w:shd w:val="clear" w:color="auto" w:fill="auto"/>
            <w:vAlign w:val="center"/>
            <w:hideMark/>
          </w:tcPr>
          <w:p w14:paraId="58C2C69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c>
          <w:tcPr>
            <w:tcW w:w="354" w:type="pct"/>
            <w:tcBorders>
              <w:top w:val="nil"/>
              <w:left w:val="nil"/>
              <w:bottom w:val="single" w:sz="4" w:space="0" w:color="auto"/>
              <w:right w:val="single" w:sz="4" w:space="0" w:color="auto"/>
            </w:tcBorders>
            <w:shd w:val="clear" w:color="auto" w:fill="auto"/>
            <w:vAlign w:val="center"/>
            <w:hideMark/>
          </w:tcPr>
          <w:p w14:paraId="4349291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32%</w:t>
            </w:r>
          </w:p>
        </w:tc>
      </w:tr>
      <w:tr w:rsidR="00794EB9" w:rsidRPr="00794EB9" w14:paraId="43D8D6CF" w14:textId="77777777" w:rsidTr="00C307FB">
        <w:trPr>
          <w:cantSplit/>
          <w:trHeight w:val="20"/>
        </w:trPr>
        <w:tc>
          <w:tcPr>
            <w:tcW w:w="698" w:type="pct"/>
            <w:tcBorders>
              <w:top w:val="nil"/>
              <w:left w:val="single" w:sz="4" w:space="0" w:color="auto"/>
              <w:bottom w:val="single" w:sz="4" w:space="0" w:color="auto"/>
              <w:right w:val="single" w:sz="4" w:space="0" w:color="auto"/>
            </w:tcBorders>
            <w:shd w:val="clear" w:color="auto" w:fill="auto"/>
            <w:vAlign w:val="center"/>
            <w:hideMark/>
          </w:tcPr>
          <w:p w14:paraId="3C0BFD7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2.2 Alianzas por un León sin hambre</w:t>
            </w:r>
          </w:p>
        </w:tc>
        <w:tc>
          <w:tcPr>
            <w:tcW w:w="637" w:type="pct"/>
            <w:tcBorders>
              <w:top w:val="nil"/>
              <w:left w:val="nil"/>
              <w:bottom w:val="single" w:sz="4" w:space="0" w:color="auto"/>
              <w:right w:val="single" w:sz="4" w:space="0" w:color="auto"/>
            </w:tcBorders>
            <w:shd w:val="clear" w:color="auto" w:fill="auto"/>
            <w:vAlign w:val="center"/>
            <w:hideMark/>
          </w:tcPr>
          <w:p w14:paraId="33075AE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2.2.1</w:t>
            </w:r>
          </w:p>
        </w:tc>
        <w:tc>
          <w:tcPr>
            <w:tcW w:w="726" w:type="pct"/>
            <w:tcBorders>
              <w:top w:val="nil"/>
              <w:left w:val="nil"/>
              <w:bottom w:val="single" w:sz="4" w:space="0" w:color="auto"/>
              <w:right w:val="single" w:sz="4" w:space="0" w:color="auto"/>
            </w:tcBorders>
            <w:shd w:val="clear" w:color="auto" w:fill="auto"/>
            <w:vAlign w:val="center"/>
            <w:hideMark/>
          </w:tcPr>
          <w:p w14:paraId="3C3825B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2.2.1 Fortalecer la red de asociaciones dedicadas a la asistencia social a través de comedores y distribución de alimentos.</w:t>
            </w:r>
          </w:p>
        </w:tc>
        <w:tc>
          <w:tcPr>
            <w:tcW w:w="749" w:type="pct"/>
            <w:tcBorders>
              <w:top w:val="nil"/>
              <w:left w:val="nil"/>
              <w:bottom w:val="single" w:sz="4" w:space="0" w:color="auto"/>
              <w:right w:val="single" w:sz="4" w:space="0" w:color="auto"/>
            </w:tcBorders>
            <w:shd w:val="clear" w:color="auto" w:fill="auto"/>
            <w:vAlign w:val="center"/>
            <w:hideMark/>
          </w:tcPr>
          <w:p w14:paraId="510CB63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comedores habilitados respecto de la meta anual establecida </w:t>
            </w:r>
          </w:p>
        </w:tc>
        <w:tc>
          <w:tcPr>
            <w:tcW w:w="776" w:type="pct"/>
            <w:tcBorders>
              <w:top w:val="nil"/>
              <w:left w:val="nil"/>
              <w:bottom w:val="single" w:sz="4" w:space="0" w:color="auto"/>
              <w:right w:val="single" w:sz="4" w:space="0" w:color="auto"/>
            </w:tcBorders>
            <w:shd w:val="clear" w:color="auto" w:fill="auto"/>
            <w:vAlign w:val="center"/>
            <w:hideMark/>
          </w:tcPr>
          <w:p w14:paraId="6FB79E7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Fortalecer la red de asociaciones dedicadas a la asistencia social a través de comedores y distribución de alimentos durante el trienio</w:t>
            </w:r>
          </w:p>
        </w:tc>
        <w:tc>
          <w:tcPr>
            <w:tcW w:w="354" w:type="pct"/>
            <w:tcBorders>
              <w:top w:val="nil"/>
              <w:left w:val="nil"/>
              <w:bottom w:val="single" w:sz="4" w:space="0" w:color="auto"/>
              <w:right w:val="single" w:sz="4" w:space="0" w:color="auto"/>
            </w:tcBorders>
            <w:shd w:val="clear" w:color="auto" w:fill="auto"/>
            <w:vAlign w:val="center"/>
            <w:hideMark/>
          </w:tcPr>
          <w:p w14:paraId="7248364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54" w:type="pct"/>
            <w:tcBorders>
              <w:top w:val="nil"/>
              <w:left w:val="nil"/>
              <w:bottom w:val="single" w:sz="4" w:space="0" w:color="auto"/>
              <w:right w:val="single" w:sz="4" w:space="0" w:color="auto"/>
            </w:tcBorders>
            <w:shd w:val="clear" w:color="auto" w:fill="auto"/>
            <w:vAlign w:val="center"/>
            <w:hideMark/>
          </w:tcPr>
          <w:p w14:paraId="5757B21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c>
          <w:tcPr>
            <w:tcW w:w="354" w:type="pct"/>
            <w:tcBorders>
              <w:top w:val="nil"/>
              <w:left w:val="nil"/>
              <w:bottom w:val="single" w:sz="4" w:space="0" w:color="auto"/>
              <w:right w:val="single" w:sz="4" w:space="0" w:color="auto"/>
            </w:tcBorders>
            <w:shd w:val="clear" w:color="auto" w:fill="auto"/>
            <w:vAlign w:val="center"/>
            <w:hideMark/>
          </w:tcPr>
          <w:p w14:paraId="5A57E3E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c>
          <w:tcPr>
            <w:tcW w:w="354" w:type="pct"/>
            <w:tcBorders>
              <w:top w:val="nil"/>
              <w:left w:val="nil"/>
              <w:bottom w:val="single" w:sz="4" w:space="0" w:color="auto"/>
              <w:right w:val="single" w:sz="4" w:space="0" w:color="auto"/>
            </w:tcBorders>
            <w:shd w:val="clear" w:color="auto" w:fill="auto"/>
            <w:vAlign w:val="center"/>
            <w:hideMark/>
          </w:tcPr>
          <w:p w14:paraId="78CF4D6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32%</w:t>
            </w:r>
          </w:p>
        </w:tc>
      </w:tr>
      <w:tr w:rsidR="00794EB9" w:rsidRPr="00794EB9" w14:paraId="7E0F5792" w14:textId="77777777" w:rsidTr="00C307FB">
        <w:trPr>
          <w:cantSplit/>
          <w:trHeight w:val="20"/>
        </w:trPr>
        <w:tc>
          <w:tcPr>
            <w:tcW w:w="6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B5A92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2.3 Proyecto integral de asistencia social</w:t>
            </w:r>
          </w:p>
        </w:tc>
        <w:tc>
          <w:tcPr>
            <w:tcW w:w="637" w:type="pct"/>
            <w:tcBorders>
              <w:top w:val="single" w:sz="4" w:space="0" w:color="auto"/>
              <w:left w:val="nil"/>
              <w:bottom w:val="single" w:sz="4" w:space="0" w:color="auto"/>
              <w:right w:val="single" w:sz="4" w:space="0" w:color="auto"/>
            </w:tcBorders>
            <w:shd w:val="clear" w:color="auto" w:fill="auto"/>
            <w:vAlign w:val="center"/>
            <w:hideMark/>
          </w:tcPr>
          <w:p w14:paraId="0428055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2.3.1</w:t>
            </w:r>
          </w:p>
        </w:tc>
        <w:tc>
          <w:tcPr>
            <w:tcW w:w="726" w:type="pct"/>
            <w:tcBorders>
              <w:top w:val="single" w:sz="4" w:space="0" w:color="auto"/>
              <w:left w:val="nil"/>
              <w:bottom w:val="single" w:sz="4" w:space="0" w:color="auto"/>
              <w:right w:val="single" w:sz="4" w:space="0" w:color="auto"/>
            </w:tcBorders>
            <w:shd w:val="clear" w:color="auto" w:fill="auto"/>
            <w:vAlign w:val="center"/>
            <w:hideMark/>
          </w:tcPr>
          <w:p w14:paraId="0E623E0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2.3.1  Otorgar apoyos alimentarios a las personas y realizar diagnósticos de la situación de vida de los involucrados para favorecer a los sectores que más lo necesitan.</w:t>
            </w:r>
          </w:p>
        </w:tc>
        <w:tc>
          <w:tcPr>
            <w:tcW w:w="749" w:type="pct"/>
            <w:tcBorders>
              <w:top w:val="single" w:sz="4" w:space="0" w:color="auto"/>
              <w:left w:val="nil"/>
              <w:bottom w:val="single" w:sz="4" w:space="0" w:color="auto"/>
              <w:right w:val="single" w:sz="4" w:space="0" w:color="auto"/>
            </w:tcBorders>
            <w:shd w:val="clear" w:color="auto" w:fill="auto"/>
            <w:vAlign w:val="center"/>
            <w:hideMark/>
          </w:tcPr>
          <w:p w14:paraId="69F1DDA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entrega de apoyos alimentarios otorgados respecto de lo previsto</w:t>
            </w:r>
          </w:p>
        </w:tc>
        <w:tc>
          <w:tcPr>
            <w:tcW w:w="776" w:type="pct"/>
            <w:tcBorders>
              <w:top w:val="single" w:sz="4" w:space="0" w:color="auto"/>
              <w:left w:val="nil"/>
              <w:bottom w:val="single" w:sz="4" w:space="0" w:color="auto"/>
              <w:right w:val="single" w:sz="4" w:space="0" w:color="auto"/>
            </w:tcBorders>
            <w:shd w:val="clear" w:color="auto" w:fill="auto"/>
            <w:vAlign w:val="center"/>
            <w:hideMark/>
          </w:tcPr>
          <w:p w14:paraId="7ED0D3A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Otorgar apoyos alimentarios, realizando diagnósticos de la situación de vida de los involucrados para favorecer a los sectores que más lo necesitan de manera anual</w:t>
            </w:r>
          </w:p>
        </w:tc>
        <w:tc>
          <w:tcPr>
            <w:tcW w:w="354" w:type="pct"/>
            <w:tcBorders>
              <w:top w:val="single" w:sz="4" w:space="0" w:color="auto"/>
              <w:left w:val="nil"/>
              <w:bottom w:val="single" w:sz="4" w:space="0" w:color="auto"/>
              <w:right w:val="single" w:sz="4" w:space="0" w:color="auto"/>
            </w:tcBorders>
            <w:shd w:val="clear" w:color="auto" w:fill="auto"/>
            <w:vAlign w:val="center"/>
            <w:hideMark/>
          </w:tcPr>
          <w:p w14:paraId="2C54061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54" w:type="pct"/>
            <w:tcBorders>
              <w:top w:val="single" w:sz="4" w:space="0" w:color="auto"/>
              <w:left w:val="nil"/>
              <w:bottom w:val="single" w:sz="4" w:space="0" w:color="auto"/>
              <w:right w:val="single" w:sz="4" w:space="0" w:color="auto"/>
            </w:tcBorders>
            <w:shd w:val="clear" w:color="auto" w:fill="auto"/>
            <w:vAlign w:val="center"/>
            <w:hideMark/>
          </w:tcPr>
          <w:p w14:paraId="2E7B173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54" w:type="pct"/>
            <w:tcBorders>
              <w:top w:val="single" w:sz="4" w:space="0" w:color="auto"/>
              <w:left w:val="nil"/>
              <w:bottom w:val="single" w:sz="4" w:space="0" w:color="auto"/>
              <w:right w:val="single" w:sz="4" w:space="0" w:color="auto"/>
            </w:tcBorders>
            <w:shd w:val="clear" w:color="auto" w:fill="auto"/>
            <w:vAlign w:val="center"/>
            <w:hideMark/>
          </w:tcPr>
          <w:p w14:paraId="433792C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54" w:type="pct"/>
            <w:tcBorders>
              <w:top w:val="single" w:sz="4" w:space="0" w:color="auto"/>
              <w:left w:val="nil"/>
              <w:bottom w:val="single" w:sz="4" w:space="0" w:color="auto"/>
              <w:right w:val="single" w:sz="4" w:space="0" w:color="auto"/>
            </w:tcBorders>
            <w:shd w:val="clear" w:color="auto" w:fill="auto"/>
            <w:vAlign w:val="center"/>
            <w:hideMark/>
          </w:tcPr>
          <w:p w14:paraId="460662F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bl>
    <w:p w14:paraId="2D9F84EF" w14:textId="77777777" w:rsidR="00794EB9" w:rsidRPr="00794EB9" w:rsidRDefault="00794EB9" w:rsidP="00794EB9">
      <w:pPr>
        <w:rPr>
          <w:rFonts w:ascii="Arial" w:hAnsi="Arial" w:cs="Arial"/>
          <w:sz w:val="22"/>
          <w:szCs w:val="22"/>
        </w:rPr>
      </w:pPr>
    </w:p>
    <w:p w14:paraId="5BBB9944" w14:textId="77777777" w:rsidR="00794EB9" w:rsidRPr="00794EB9" w:rsidRDefault="00794EB9" w:rsidP="00794EB9">
      <w:pPr>
        <w:rPr>
          <w:rFonts w:ascii="Arial" w:hAnsi="Arial" w:cs="Arial"/>
          <w:sz w:val="22"/>
          <w:szCs w:val="22"/>
        </w:rPr>
      </w:pPr>
    </w:p>
    <w:p w14:paraId="46F3BABE" w14:textId="77777777" w:rsidR="00794EB9" w:rsidRPr="00794EB9" w:rsidRDefault="00794EB9" w:rsidP="00794EB9">
      <w:pPr>
        <w:jc w:val="both"/>
        <w:rPr>
          <w:rFonts w:ascii="Arial" w:hAnsi="Arial" w:cs="Arial"/>
          <w:b/>
          <w:bCs/>
          <w:sz w:val="22"/>
          <w:szCs w:val="22"/>
          <w:lang w:eastAsia="es-MX"/>
        </w:rPr>
      </w:pPr>
      <w:r w:rsidRPr="00794EB9">
        <w:rPr>
          <w:rFonts w:ascii="Arial" w:hAnsi="Arial" w:cs="Arial"/>
          <w:b/>
          <w:bCs/>
          <w:sz w:val="22"/>
          <w:szCs w:val="22"/>
          <w:lang w:eastAsia="es-MX"/>
        </w:rPr>
        <w:t>BANDERA. VIVIR SANO</w:t>
      </w:r>
    </w:p>
    <w:p w14:paraId="0F4FDA3A" w14:textId="77777777" w:rsidR="00794EB9" w:rsidRPr="00794EB9" w:rsidRDefault="00794EB9" w:rsidP="00794EB9">
      <w:pPr>
        <w:ind w:hanging="2"/>
        <w:jc w:val="both"/>
        <w:rPr>
          <w:rFonts w:ascii="Arial" w:hAnsi="Arial" w:cs="Arial"/>
          <w:b/>
          <w:bCs/>
          <w:sz w:val="22"/>
          <w:szCs w:val="22"/>
          <w:lang w:eastAsia="es-MX"/>
        </w:rPr>
      </w:pPr>
      <w:r w:rsidRPr="00794EB9">
        <w:rPr>
          <w:rFonts w:ascii="Arial" w:hAnsi="Arial" w:cs="Arial"/>
          <w:b/>
          <w:bCs/>
          <w:sz w:val="22"/>
          <w:szCs w:val="22"/>
          <w:lang w:eastAsia="es-MX"/>
        </w:rPr>
        <w:t>Estrategia 4.  BIENESTAR PARA LA POBLACIÓN.</w:t>
      </w:r>
    </w:p>
    <w:p w14:paraId="05739653" w14:textId="77777777" w:rsidR="00794EB9" w:rsidRPr="00794EB9" w:rsidRDefault="00794EB9" w:rsidP="00794EB9">
      <w:pPr>
        <w:jc w:val="both"/>
        <w:rPr>
          <w:rFonts w:ascii="Arial" w:hAnsi="Arial" w:cs="Arial"/>
          <w:b/>
          <w:bCs/>
          <w:sz w:val="22"/>
          <w:szCs w:val="22"/>
          <w:lang w:eastAsia="es-MX"/>
        </w:rPr>
      </w:pPr>
      <w:r w:rsidRPr="00794EB9">
        <w:rPr>
          <w:rFonts w:ascii="Arial" w:hAnsi="Arial" w:cs="Arial"/>
          <w:b/>
          <w:bCs/>
          <w:sz w:val="22"/>
          <w:szCs w:val="22"/>
          <w:lang w:eastAsia="es-MX"/>
        </w:rPr>
        <w:t>PROGRAMA: VS3. LEÓN SALUDABLE</w:t>
      </w:r>
    </w:p>
    <w:p w14:paraId="3E5AAAEB" w14:textId="77777777" w:rsidR="00794EB9" w:rsidRPr="00794EB9" w:rsidRDefault="00794EB9" w:rsidP="00794EB9">
      <w:pPr>
        <w:jc w:val="both"/>
        <w:rPr>
          <w:rFonts w:ascii="Arial" w:hAnsi="Arial" w:cs="Arial"/>
          <w:sz w:val="22"/>
          <w:szCs w:val="22"/>
          <w:lang w:eastAsia="es-MX"/>
        </w:rPr>
      </w:pPr>
      <w:r w:rsidRPr="00794EB9">
        <w:rPr>
          <w:rFonts w:ascii="Arial" w:hAnsi="Arial" w:cs="Arial"/>
          <w:i/>
          <w:iCs/>
          <w:sz w:val="22"/>
          <w:szCs w:val="22"/>
          <w:lang w:eastAsia="es-MX"/>
        </w:rPr>
        <w:t xml:space="preserve">Objetivo del programa: </w:t>
      </w:r>
      <w:r w:rsidRPr="00794EB9">
        <w:rPr>
          <w:rFonts w:ascii="Arial" w:hAnsi="Arial" w:cs="Arial"/>
          <w:sz w:val="22"/>
          <w:szCs w:val="22"/>
          <w:lang w:eastAsia="es-MX"/>
        </w:rPr>
        <w:t>Apoyar a población</w:t>
      </w:r>
      <w:r w:rsidRPr="00794EB9">
        <w:rPr>
          <w:rFonts w:ascii="Arial" w:hAnsi="Arial" w:cs="Arial"/>
          <w:sz w:val="22"/>
          <w:szCs w:val="22"/>
        </w:rPr>
        <w:t xml:space="preserve"> </w:t>
      </w:r>
      <w:r w:rsidRPr="00794EB9">
        <w:rPr>
          <w:rFonts w:ascii="Arial" w:hAnsi="Arial" w:cs="Arial"/>
          <w:sz w:val="22"/>
          <w:szCs w:val="22"/>
          <w:lang w:eastAsia="es-MX"/>
        </w:rPr>
        <w:t>en situación de vulnerabilidad, en especial adultos mayores, personas con discapacidad o con movilidad comprometida con unidades móviles de atención médica, así como acciones preventivas en materia de hábitos saludables y nutricionales, que sean complementados con cuadros básicos de medicamentos.</w:t>
      </w:r>
    </w:p>
    <w:p w14:paraId="375BDF20" w14:textId="77777777" w:rsidR="00794EB9" w:rsidRPr="00794EB9" w:rsidRDefault="00794EB9" w:rsidP="00794EB9">
      <w:pPr>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282"/>
        <w:gridCol w:w="1109"/>
        <w:gridCol w:w="1252"/>
        <w:gridCol w:w="1338"/>
        <w:gridCol w:w="1347"/>
        <w:gridCol w:w="625"/>
        <w:gridCol w:w="625"/>
        <w:gridCol w:w="625"/>
        <w:gridCol w:w="625"/>
      </w:tblGrid>
      <w:tr w:rsidR="00794EB9" w:rsidRPr="00794EB9" w14:paraId="1C5E4D55" w14:textId="77777777" w:rsidTr="00C307FB">
        <w:trPr>
          <w:cantSplit/>
          <w:trHeight w:val="502"/>
          <w:tblHeader/>
        </w:trPr>
        <w:tc>
          <w:tcPr>
            <w:tcW w:w="72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8B9BBA"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lastRenderedPageBreak/>
              <w:t xml:space="preserve"> PROYECTOS </w:t>
            </w:r>
          </w:p>
        </w:tc>
        <w:tc>
          <w:tcPr>
            <w:tcW w:w="63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8E204E3"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71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1E25BE5"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76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3EC3B74"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76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8B1B41F"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5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457E127"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35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A65717B"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5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0BF4D22"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5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5FED5D7"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057B9D04" w14:textId="77777777" w:rsidTr="00C307FB">
        <w:trPr>
          <w:cantSplit/>
          <w:trHeight w:val="2381"/>
        </w:trPr>
        <w:tc>
          <w:tcPr>
            <w:tcW w:w="729" w:type="pct"/>
            <w:tcBorders>
              <w:top w:val="nil"/>
              <w:left w:val="single" w:sz="4" w:space="0" w:color="auto"/>
              <w:bottom w:val="single" w:sz="4" w:space="0" w:color="auto"/>
              <w:right w:val="single" w:sz="4" w:space="0" w:color="auto"/>
            </w:tcBorders>
            <w:shd w:val="clear" w:color="auto" w:fill="auto"/>
            <w:vAlign w:val="center"/>
            <w:hideMark/>
          </w:tcPr>
          <w:p w14:paraId="68C9808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3.1 Médico en tu casa</w:t>
            </w:r>
          </w:p>
        </w:tc>
        <w:tc>
          <w:tcPr>
            <w:tcW w:w="630" w:type="pct"/>
            <w:tcBorders>
              <w:top w:val="nil"/>
              <w:left w:val="nil"/>
              <w:bottom w:val="single" w:sz="4" w:space="0" w:color="auto"/>
              <w:right w:val="single" w:sz="4" w:space="0" w:color="auto"/>
            </w:tcBorders>
            <w:shd w:val="clear" w:color="auto" w:fill="auto"/>
            <w:vAlign w:val="center"/>
            <w:hideMark/>
          </w:tcPr>
          <w:p w14:paraId="1553D1C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3.1.1</w:t>
            </w:r>
          </w:p>
        </w:tc>
        <w:tc>
          <w:tcPr>
            <w:tcW w:w="713" w:type="pct"/>
            <w:tcBorders>
              <w:top w:val="nil"/>
              <w:left w:val="nil"/>
              <w:bottom w:val="single" w:sz="4" w:space="0" w:color="auto"/>
              <w:right w:val="single" w:sz="4" w:space="0" w:color="auto"/>
            </w:tcBorders>
            <w:shd w:val="clear" w:color="auto" w:fill="auto"/>
            <w:vAlign w:val="center"/>
            <w:hideMark/>
          </w:tcPr>
          <w:p w14:paraId="4BA3448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3.1.1 Establecer un esquema de atención con un primer enfoque a adultos mayores personas con discapacidad o personas con movilidad comprometida a través de unidades móviles.</w:t>
            </w:r>
          </w:p>
        </w:tc>
        <w:tc>
          <w:tcPr>
            <w:tcW w:w="762" w:type="pct"/>
            <w:tcBorders>
              <w:top w:val="nil"/>
              <w:left w:val="nil"/>
              <w:bottom w:val="single" w:sz="4" w:space="0" w:color="auto"/>
              <w:right w:val="single" w:sz="4" w:space="0" w:color="auto"/>
            </w:tcBorders>
            <w:shd w:val="clear" w:color="auto" w:fill="auto"/>
            <w:vAlign w:val="center"/>
            <w:hideMark/>
          </w:tcPr>
          <w:p w14:paraId="5189310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consultas médicas otorgadas de manera anual conforme a lo previsto.</w:t>
            </w:r>
          </w:p>
        </w:tc>
        <w:tc>
          <w:tcPr>
            <w:tcW w:w="767" w:type="pct"/>
            <w:tcBorders>
              <w:top w:val="nil"/>
              <w:left w:val="nil"/>
              <w:bottom w:val="single" w:sz="4" w:space="0" w:color="auto"/>
              <w:right w:val="single" w:sz="4" w:space="0" w:color="auto"/>
            </w:tcBorders>
            <w:shd w:val="clear" w:color="auto" w:fill="auto"/>
            <w:vAlign w:val="center"/>
            <w:hideMark/>
          </w:tcPr>
          <w:p w14:paraId="172AE40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Brindar atención a  9,360 personas trianual, a la puerta de su casa a adultos mayores, personas con discapacidad o personas con movilidad comprometida a través de unidades móviles</w:t>
            </w:r>
          </w:p>
        </w:tc>
        <w:tc>
          <w:tcPr>
            <w:tcW w:w="350" w:type="pct"/>
            <w:tcBorders>
              <w:top w:val="nil"/>
              <w:left w:val="nil"/>
              <w:bottom w:val="single" w:sz="4" w:space="0" w:color="auto"/>
              <w:right w:val="single" w:sz="4" w:space="0" w:color="auto"/>
            </w:tcBorders>
            <w:shd w:val="clear" w:color="auto" w:fill="auto"/>
            <w:vAlign w:val="center"/>
            <w:hideMark/>
          </w:tcPr>
          <w:p w14:paraId="637A145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5D6B31D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17%</w:t>
            </w:r>
          </w:p>
        </w:tc>
        <w:tc>
          <w:tcPr>
            <w:tcW w:w="350" w:type="pct"/>
            <w:tcBorders>
              <w:top w:val="nil"/>
              <w:left w:val="nil"/>
              <w:bottom w:val="single" w:sz="4" w:space="0" w:color="auto"/>
              <w:right w:val="single" w:sz="4" w:space="0" w:color="auto"/>
            </w:tcBorders>
            <w:shd w:val="clear" w:color="auto" w:fill="auto"/>
            <w:vAlign w:val="center"/>
            <w:hideMark/>
          </w:tcPr>
          <w:p w14:paraId="7464A01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535F2E2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r>
      <w:tr w:rsidR="00794EB9" w:rsidRPr="00794EB9" w14:paraId="45FF5BE8" w14:textId="77777777" w:rsidTr="00C307FB">
        <w:trPr>
          <w:cantSplit/>
          <w:trHeight w:val="2131"/>
        </w:trPr>
        <w:tc>
          <w:tcPr>
            <w:tcW w:w="729" w:type="pct"/>
            <w:tcBorders>
              <w:top w:val="nil"/>
              <w:left w:val="single" w:sz="4" w:space="0" w:color="auto"/>
              <w:bottom w:val="single" w:sz="4" w:space="0" w:color="auto"/>
              <w:right w:val="single" w:sz="4" w:space="0" w:color="auto"/>
            </w:tcBorders>
            <w:shd w:val="clear" w:color="auto" w:fill="auto"/>
            <w:vAlign w:val="center"/>
            <w:hideMark/>
          </w:tcPr>
          <w:p w14:paraId="7243510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3.2 Prevención de enfermedades, Adicciones y Educación Nutricional</w:t>
            </w:r>
          </w:p>
        </w:tc>
        <w:tc>
          <w:tcPr>
            <w:tcW w:w="630" w:type="pct"/>
            <w:tcBorders>
              <w:top w:val="nil"/>
              <w:left w:val="nil"/>
              <w:bottom w:val="single" w:sz="4" w:space="0" w:color="auto"/>
              <w:right w:val="single" w:sz="4" w:space="0" w:color="auto"/>
            </w:tcBorders>
            <w:shd w:val="clear" w:color="auto" w:fill="auto"/>
            <w:vAlign w:val="center"/>
            <w:hideMark/>
          </w:tcPr>
          <w:p w14:paraId="1B89858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3.2.1</w:t>
            </w:r>
          </w:p>
        </w:tc>
        <w:tc>
          <w:tcPr>
            <w:tcW w:w="713" w:type="pct"/>
            <w:tcBorders>
              <w:top w:val="nil"/>
              <w:left w:val="nil"/>
              <w:bottom w:val="single" w:sz="4" w:space="0" w:color="auto"/>
              <w:right w:val="single" w:sz="4" w:space="0" w:color="auto"/>
            </w:tcBorders>
            <w:shd w:val="clear" w:color="auto" w:fill="auto"/>
            <w:vAlign w:val="center"/>
            <w:hideMark/>
          </w:tcPr>
          <w:p w14:paraId="05D4D7E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3.2.1 Implementar campañas para la prevención de enfermedades mediante un esquema de tamizajes preventivos, así como intervención correctiva inicial.</w:t>
            </w:r>
          </w:p>
        </w:tc>
        <w:tc>
          <w:tcPr>
            <w:tcW w:w="762" w:type="pct"/>
            <w:tcBorders>
              <w:top w:val="nil"/>
              <w:left w:val="nil"/>
              <w:bottom w:val="single" w:sz="4" w:space="0" w:color="auto"/>
              <w:right w:val="single" w:sz="4" w:space="0" w:color="auto"/>
            </w:tcBorders>
            <w:shd w:val="clear" w:color="auto" w:fill="auto"/>
            <w:vAlign w:val="center"/>
            <w:hideMark/>
          </w:tcPr>
          <w:p w14:paraId="516C5BF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de las campañas realizadas respecto de años anteriores conforme a la meta anual que establezca la unidad municipal responsable</w:t>
            </w:r>
          </w:p>
        </w:tc>
        <w:tc>
          <w:tcPr>
            <w:tcW w:w="767" w:type="pct"/>
            <w:tcBorders>
              <w:top w:val="nil"/>
              <w:left w:val="nil"/>
              <w:bottom w:val="single" w:sz="4" w:space="0" w:color="auto"/>
              <w:right w:val="single" w:sz="4" w:space="0" w:color="auto"/>
            </w:tcBorders>
            <w:shd w:val="clear" w:color="auto" w:fill="auto"/>
            <w:vAlign w:val="center"/>
            <w:hideMark/>
          </w:tcPr>
          <w:p w14:paraId="450FF2E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Cumplimiento de las campañas programadas para los tamizajes preventivos de manera anual durante el trienio </w:t>
            </w:r>
          </w:p>
        </w:tc>
        <w:tc>
          <w:tcPr>
            <w:tcW w:w="350" w:type="pct"/>
            <w:tcBorders>
              <w:top w:val="nil"/>
              <w:left w:val="nil"/>
              <w:bottom w:val="single" w:sz="4" w:space="0" w:color="auto"/>
              <w:right w:val="single" w:sz="4" w:space="0" w:color="auto"/>
            </w:tcBorders>
            <w:shd w:val="clear" w:color="auto" w:fill="auto"/>
            <w:vAlign w:val="center"/>
            <w:hideMark/>
          </w:tcPr>
          <w:p w14:paraId="0FE69DA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1D39D9D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4F6606D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1821066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6D13F6B9" w14:textId="77777777" w:rsidTr="00C307FB">
        <w:trPr>
          <w:cantSplit/>
          <w:trHeight w:val="2120"/>
        </w:trPr>
        <w:tc>
          <w:tcPr>
            <w:tcW w:w="729" w:type="pct"/>
            <w:tcBorders>
              <w:top w:val="nil"/>
              <w:left w:val="single" w:sz="4" w:space="0" w:color="auto"/>
              <w:bottom w:val="single" w:sz="4" w:space="0" w:color="auto"/>
              <w:right w:val="single" w:sz="4" w:space="0" w:color="auto"/>
            </w:tcBorders>
            <w:shd w:val="clear" w:color="auto" w:fill="auto"/>
            <w:vAlign w:val="center"/>
            <w:hideMark/>
          </w:tcPr>
          <w:p w14:paraId="7075BFD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3.2 Prevención de enfermedades, Adicciones y Educación Nutricional</w:t>
            </w:r>
          </w:p>
        </w:tc>
        <w:tc>
          <w:tcPr>
            <w:tcW w:w="630" w:type="pct"/>
            <w:tcBorders>
              <w:top w:val="nil"/>
              <w:left w:val="nil"/>
              <w:bottom w:val="single" w:sz="4" w:space="0" w:color="auto"/>
              <w:right w:val="single" w:sz="4" w:space="0" w:color="auto"/>
            </w:tcBorders>
            <w:shd w:val="clear" w:color="auto" w:fill="auto"/>
            <w:vAlign w:val="center"/>
            <w:hideMark/>
          </w:tcPr>
          <w:p w14:paraId="704DEF9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3.2.1</w:t>
            </w:r>
          </w:p>
        </w:tc>
        <w:tc>
          <w:tcPr>
            <w:tcW w:w="713" w:type="pct"/>
            <w:tcBorders>
              <w:top w:val="nil"/>
              <w:left w:val="nil"/>
              <w:bottom w:val="single" w:sz="4" w:space="0" w:color="auto"/>
              <w:right w:val="single" w:sz="4" w:space="0" w:color="auto"/>
            </w:tcBorders>
            <w:shd w:val="clear" w:color="auto" w:fill="auto"/>
            <w:vAlign w:val="center"/>
            <w:hideMark/>
          </w:tcPr>
          <w:p w14:paraId="78EDC5E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3.2.1 Implementar campañas para la prevención de enfermedades mediante un esquema de tamizajes preventivos, así como intervención correctiva inicial.</w:t>
            </w:r>
          </w:p>
        </w:tc>
        <w:tc>
          <w:tcPr>
            <w:tcW w:w="762" w:type="pct"/>
            <w:tcBorders>
              <w:top w:val="nil"/>
              <w:left w:val="nil"/>
              <w:bottom w:val="single" w:sz="4" w:space="0" w:color="auto"/>
              <w:right w:val="single" w:sz="4" w:space="0" w:color="auto"/>
            </w:tcBorders>
            <w:shd w:val="clear" w:color="auto" w:fill="auto"/>
            <w:vAlign w:val="center"/>
            <w:hideMark/>
          </w:tcPr>
          <w:p w14:paraId="54CD27F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de las campañas realizadas respecto de años anteriores conforme a la meta anual que establezca la unidad municipal responsable</w:t>
            </w:r>
          </w:p>
        </w:tc>
        <w:tc>
          <w:tcPr>
            <w:tcW w:w="767" w:type="pct"/>
            <w:tcBorders>
              <w:top w:val="nil"/>
              <w:left w:val="nil"/>
              <w:bottom w:val="single" w:sz="4" w:space="0" w:color="auto"/>
              <w:right w:val="single" w:sz="4" w:space="0" w:color="auto"/>
            </w:tcBorders>
            <w:shd w:val="clear" w:color="auto" w:fill="auto"/>
            <w:vAlign w:val="center"/>
            <w:hideMark/>
          </w:tcPr>
          <w:p w14:paraId="5D83503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Cumplimiento de las campañas programadas para los tamizajes preventivos de manera anual durante el trienio </w:t>
            </w:r>
          </w:p>
        </w:tc>
        <w:tc>
          <w:tcPr>
            <w:tcW w:w="350" w:type="pct"/>
            <w:tcBorders>
              <w:top w:val="nil"/>
              <w:left w:val="nil"/>
              <w:bottom w:val="single" w:sz="4" w:space="0" w:color="auto"/>
              <w:right w:val="single" w:sz="4" w:space="0" w:color="auto"/>
            </w:tcBorders>
            <w:shd w:val="clear" w:color="auto" w:fill="auto"/>
            <w:vAlign w:val="center"/>
            <w:hideMark/>
          </w:tcPr>
          <w:p w14:paraId="11A89F1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0CEB80F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41BFF84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7CA550A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248BE3E3" w14:textId="77777777" w:rsidTr="00C307FB">
        <w:trPr>
          <w:cantSplit/>
          <w:trHeight w:val="2295"/>
        </w:trPr>
        <w:tc>
          <w:tcPr>
            <w:tcW w:w="729" w:type="pct"/>
            <w:tcBorders>
              <w:top w:val="nil"/>
              <w:left w:val="single" w:sz="4" w:space="0" w:color="auto"/>
              <w:bottom w:val="single" w:sz="4" w:space="0" w:color="auto"/>
              <w:right w:val="single" w:sz="4" w:space="0" w:color="auto"/>
            </w:tcBorders>
            <w:shd w:val="clear" w:color="auto" w:fill="auto"/>
            <w:vAlign w:val="center"/>
            <w:hideMark/>
          </w:tcPr>
          <w:p w14:paraId="31ED125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3.2 Prevención de enfermedades, Adicciones y Educación Nutricional</w:t>
            </w:r>
          </w:p>
        </w:tc>
        <w:tc>
          <w:tcPr>
            <w:tcW w:w="630" w:type="pct"/>
            <w:tcBorders>
              <w:top w:val="nil"/>
              <w:left w:val="nil"/>
              <w:bottom w:val="single" w:sz="4" w:space="0" w:color="auto"/>
              <w:right w:val="single" w:sz="4" w:space="0" w:color="auto"/>
            </w:tcBorders>
            <w:shd w:val="clear" w:color="auto" w:fill="auto"/>
            <w:vAlign w:val="center"/>
            <w:hideMark/>
          </w:tcPr>
          <w:p w14:paraId="6EE471A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3.2.2</w:t>
            </w:r>
          </w:p>
        </w:tc>
        <w:tc>
          <w:tcPr>
            <w:tcW w:w="713" w:type="pct"/>
            <w:tcBorders>
              <w:top w:val="nil"/>
              <w:left w:val="nil"/>
              <w:bottom w:val="single" w:sz="4" w:space="0" w:color="auto"/>
              <w:right w:val="single" w:sz="4" w:space="0" w:color="auto"/>
            </w:tcBorders>
            <w:shd w:val="clear" w:color="auto" w:fill="auto"/>
            <w:vAlign w:val="center"/>
            <w:hideMark/>
          </w:tcPr>
          <w:p w14:paraId="4CEA329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3.2.2 Coadyuvar con los centros de rehabilitación existentes para ampliar la cobertura de los programas de atención. </w:t>
            </w:r>
          </w:p>
        </w:tc>
        <w:tc>
          <w:tcPr>
            <w:tcW w:w="762" w:type="pct"/>
            <w:tcBorders>
              <w:top w:val="nil"/>
              <w:left w:val="nil"/>
              <w:bottom w:val="single" w:sz="4" w:space="0" w:color="auto"/>
              <w:right w:val="single" w:sz="4" w:space="0" w:color="auto"/>
            </w:tcBorders>
            <w:shd w:val="clear" w:color="auto" w:fill="auto"/>
            <w:vAlign w:val="center"/>
            <w:hideMark/>
          </w:tcPr>
          <w:p w14:paraId="4FA4D4E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personas atendidas respecto de la meta anual establecida</w:t>
            </w:r>
          </w:p>
        </w:tc>
        <w:tc>
          <w:tcPr>
            <w:tcW w:w="767" w:type="pct"/>
            <w:tcBorders>
              <w:top w:val="nil"/>
              <w:left w:val="nil"/>
              <w:bottom w:val="single" w:sz="4" w:space="0" w:color="auto"/>
              <w:right w:val="single" w:sz="4" w:space="0" w:color="auto"/>
            </w:tcBorders>
            <w:shd w:val="clear" w:color="auto" w:fill="auto"/>
            <w:vAlign w:val="center"/>
            <w:hideMark/>
          </w:tcPr>
          <w:p w14:paraId="0188854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Atender a 2,400 personas de manera trianual</w:t>
            </w:r>
          </w:p>
        </w:tc>
        <w:tc>
          <w:tcPr>
            <w:tcW w:w="350" w:type="pct"/>
            <w:tcBorders>
              <w:top w:val="nil"/>
              <w:left w:val="nil"/>
              <w:bottom w:val="single" w:sz="4" w:space="0" w:color="auto"/>
              <w:right w:val="single" w:sz="4" w:space="0" w:color="auto"/>
            </w:tcBorders>
            <w:shd w:val="clear" w:color="auto" w:fill="auto"/>
            <w:vAlign w:val="center"/>
            <w:hideMark/>
          </w:tcPr>
          <w:p w14:paraId="6D6DA2B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22087A5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3A490BA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1F51EA0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7FC1C4A9" w14:textId="77777777" w:rsidTr="00C307FB">
        <w:trPr>
          <w:cantSplit/>
          <w:trHeight w:val="1886"/>
        </w:trPr>
        <w:tc>
          <w:tcPr>
            <w:tcW w:w="729" w:type="pct"/>
            <w:tcBorders>
              <w:top w:val="nil"/>
              <w:left w:val="single" w:sz="4" w:space="0" w:color="auto"/>
              <w:bottom w:val="single" w:sz="4" w:space="0" w:color="auto"/>
              <w:right w:val="single" w:sz="4" w:space="0" w:color="auto"/>
            </w:tcBorders>
            <w:shd w:val="clear" w:color="auto" w:fill="auto"/>
            <w:vAlign w:val="center"/>
            <w:hideMark/>
          </w:tcPr>
          <w:p w14:paraId="25B2510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3.2 Prevención de enfermedades, Adicciones y Educación Nutricional</w:t>
            </w:r>
          </w:p>
        </w:tc>
        <w:tc>
          <w:tcPr>
            <w:tcW w:w="630" w:type="pct"/>
            <w:tcBorders>
              <w:top w:val="nil"/>
              <w:left w:val="nil"/>
              <w:bottom w:val="single" w:sz="4" w:space="0" w:color="auto"/>
              <w:right w:val="single" w:sz="4" w:space="0" w:color="auto"/>
            </w:tcBorders>
            <w:shd w:val="clear" w:color="auto" w:fill="auto"/>
            <w:vAlign w:val="center"/>
            <w:hideMark/>
          </w:tcPr>
          <w:p w14:paraId="44DB8A6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3.2.3</w:t>
            </w:r>
          </w:p>
        </w:tc>
        <w:tc>
          <w:tcPr>
            <w:tcW w:w="713" w:type="pct"/>
            <w:tcBorders>
              <w:top w:val="nil"/>
              <w:left w:val="nil"/>
              <w:bottom w:val="single" w:sz="4" w:space="0" w:color="auto"/>
              <w:right w:val="single" w:sz="4" w:space="0" w:color="auto"/>
            </w:tcBorders>
            <w:shd w:val="clear" w:color="auto" w:fill="auto"/>
            <w:vAlign w:val="center"/>
            <w:hideMark/>
          </w:tcPr>
          <w:p w14:paraId="3558895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3.2.3 Implementar un programa basado en el modelo islandés "Planet Youth" para la prevención de adicciones en todo el municipio de León.</w:t>
            </w:r>
          </w:p>
        </w:tc>
        <w:tc>
          <w:tcPr>
            <w:tcW w:w="762" w:type="pct"/>
            <w:tcBorders>
              <w:top w:val="nil"/>
              <w:left w:val="nil"/>
              <w:bottom w:val="single" w:sz="4" w:space="0" w:color="auto"/>
              <w:right w:val="single" w:sz="4" w:space="0" w:color="auto"/>
            </w:tcBorders>
            <w:shd w:val="clear" w:color="auto" w:fill="auto"/>
            <w:vAlign w:val="center"/>
            <w:hideMark/>
          </w:tcPr>
          <w:p w14:paraId="2099FA9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avance en la implementación del programa respecto del total </w:t>
            </w:r>
          </w:p>
        </w:tc>
        <w:tc>
          <w:tcPr>
            <w:tcW w:w="767" w:type="pct"/>
            <w:tcBorders>
              <w:top w:val="nil"/>
              <w:left w:val="nil"/>
              <w:bottom w:val="single" w:sz="4" w:space="0" w:color="auto"/>
              <w:right w:val="single" w:sz="4" w:space="0" w:color="auto"/>
            </w:tcBorders>
            <w:shd w:val="clear" w:color="auto" w:fill="auto"/>
            <w:vAlign w:val="center"/>
            <w:hideMark/>
          </w:tcPr>
          <w:p w14:paraId="4E2E615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Implementación del programa con base en el modelo islandés "Planet Youth" para la prevención de adicciones en todo el municipio de León durante el trienio.</w:t>
            </w:r>
          </w:p>
        </w:tc>
        <w:tc>
          <w:tcPr>
            <w:tcW w:w="350" w:type="pct"/>
            <w:tcBorders>
              <w:top w:val="nil"/>
              <w:left w:val="nil"/>
              <w:bottom w:val="single" w:sz="4" w:space="0" w:color="auto"/>
              <w:right w:val="single" w:sz="4" w:space="0" w:color="auto"/>
            </w:tcBorders>
            <w:shd w:val="clear" w:color="auto" w:fill="auto"/>
            <w:vAlign w:val="center"/>
            <w:hideMark/>
          </w:tcPr>
          <w:p w14:paraId="6459508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5173F40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6866BE2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489B100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71BF8137" w14:textId="77777777" w:rsidTr="00C307FB">
        <w:trPr>
          <w:cantSplit/>
          <w:trHeight w:val="2550"/>
        </w:trPr>
        <w:tc>
          <w:tcPr>
            <w:tcW w:w="729" w:type="pct"/>
            <w:tcBorders>
              <w:top w:val="nil"/>
              <w:left w:val="single" w:sz="4" w:space="0" w:color="auto"/>
              <w:bottom w:val="single" w:sz="4" w:space="0" w:color="auto"/>
              <w:right w:val="single" w:sz="4" w:space="0" w:color="auto"/>
            </w:tcBorders>
            <w:shd w:val="clear" w:color="auto" w:fill="auto"/>
            <w:vAlign w:val="center"/>
            <w:hideMark/>
          </w:tcPr>
          <w:p w14:paraId="47A2807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3.2 Prevención de enfermedades, Adicciones y Educación Nutricional</w:t>
            </w:r>
          </w:p>
        </w:tc>
        <w:tc>
          <w:tcPr>
            <w:tcW w:w="630" w:type="pct"/>
            <w:tcBorders>
              <w:top w:val="nil"/>
              <w:left w:val="nil"/>
              <w:bottom w:val="single" w:sz="4" w:space="0" w:color="auto"/>
              <w:right w:val="single" w:sz="4" w:space="0" w:color="auto"/>
            </w:tcBorders>
            <w:shd w:val="clear" w:color="auto" w:fill="auto"/>
            <w:vAlign w:val="center"/>
            <w:hideMark/>
          </w:tcPr>
          <w:p w14:paraId="4027B68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3.2.4</w:t>
            </w:r>
          </w:p>
        </w:tc>
        <w:tc>
          <w:tcPr>
            <w:tcW w:w="713" w:type="pct"/>
            <w:tcBorders>
              <w:top w:val="nil"/>
              <w:left w:val="nil"/>
              <w:bottom w:val="single" w:sz="4" w:space="0" w:color="auto"/>
              <w:right w:val="single" w:sz="4" w:space="0" w:color="auto"/>
            </w:tcBorders>
            <w:shd w:val="clear" w:color="auto" w:fill="auto"/>
            <w:vAlign w:val="center"/>
            <w:hideMark/>
          </w:tcPr>
          <w:p w14:paraId="4E92AD6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3.2.4 Implementar el Programa "Parque Kinder Joy of Moving" con base en el modelo de prevención de adicciones enfocada a la activación física.</w:t>
            </w:r>
          </w:p>
        </w:tc>
        <w:tc>
          <w:tcPr>
            <w:tcW w:w="762" w:type="pct"/>
            <w:tcBorders>
              <w:top w:val="nil"/>
              <w:left w:val="nil"/>
              <w:bottom w:val="single" w:sz="4" w:space="0" w:color="auto"/>
              <w:right w:val="single" w:sz="4" w:space="0" w:color="auto"/>
            </w:tcBorders>
            <w:shd w:val="clear" w:color="auto" w:fill="auto"/>
            <w:vAlign w:val="center"/>
            <w:hideMark/>
          </w:tcPr>
          <w:p w14:paraId="6C12A65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implementación del programa respecto del total</w:t>
            </w:r>
          </w:p>
        </w:tc>
        <w:tc>
          <w:tcPr>
            <w:tcW w:w="767" w:type="pct"/>
            <w:tcBorders>
              <w:top w:val="nil"/>
              <w:left w:val="nil"/>
              <w:bottom w:val="single" w:sz="4" w:space="0" w:color="auto"/>
              <w:right w:val="single" w:sz="4" w:space="0" w:color="auto"/>
            </w:tcBorders>
            <w:shd w:val="clear" w:color="auto" w:fill="auto"/>
            <w:vAlign w:val="center"/>
            <w:hideMark/>
          </w:tcPr>
          <w:p w14:paraId="2283A58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Implementar el Programa y "Parque Kinder Joy of Moving" durante el trienio.</w:t>
            </w:r>
          </w:p>
        </w:tc>
        <w:tc>
          <w:tcPr>
            <w:tcW w:w="350" w:type="pct"/>
            <w:tcBorders>
              <w:top w:val="nil"/>
              <w:left w:val="nil"/>
              <w:bottom w:val="single" w:sz="4" w:space="0" w:color="auto"/>
              <w:right w:val="single" w:sz="4" w:space="0" w:color="auto"/>
            </w:tcBorders>
            <w:shd w:val="clear" w:color="auto" w:fill="auto"/>
            <w:vAlign w:val="center"/>
            <w:hideMark/>
          </w:tcPr>
          <w:p w14:paraId="2F73058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6AA8478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54CC584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3E62DCD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5F2C81ED" w14:textId="77777777" w:rsidTr="00C307FB">
        <w:trPr>
          <w:cantSplit/>
          <w:trHeight w:val="1538"/>
        </w:trPr>
        <w:tc>
          <w:tcPr>
            <w:tcW w:w="729" w:type="pct"/>
            <w:tcBorders>
              <w:top w:val="nil"/>
              <w:left w:val="single" w:sz="4" w:space="0" w:color="auto"/>
              <w:bottom w:val="single" w:sz="4" w:space="0" w:color="auto"/>
              <w:right w:val="single" w:sz="4" w:space="0" w:color="auto"/>
            </w:tcBorders>
            <w:shd w:val="clear" w:color="auto" w:fill="auto"/>
            <w:vAlign w:val="center"/>
            <w:hideMark/>
          </w:tcPr>
          <w:p w14:paraId="5ACD1C0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3.2 Prevención de enfermedades, Adicciones y Educación Nutricional</w:t>
            </w:r>
          </w:p>
        </w:tc>
        <w:tc>
          <w:tcPr>
            <w:tcW w:w="630" w:type="pct"/>
            <w:tcBorders>
              <w:top w:val="nil"/>
              <w:left w:val="nil"/>
              <w:bottom w:val="single" w:sz="4" w:space="0" w:color="auto"/>
              <w:right w:val="single" w:sz="4" w:space="0" w:color="auto"/>
            </w:tcBorders>
            <w:shd w:val="clear" w:color="auto" w:fill="auto"/>
            <w:vAlign w:val="center"/>
            <w:hideMark/>
          </w:tcPr>
          <w:p w14:paraId="09B84A7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3.2.5</w:t>
            </w:r>
          </w:p>
        </w:tc>
        <w:tc>
          <w:tcPr>
            <w:tcW w:w="713" w:type="pct"/>
            <w:tcBorders>
              <w:top w:val="nil"/>
              <w:left w:val="nil"/>
              <w:bottom w:val="single" w:sz="4" w:space="0" w:color="auto"/>
              <w:right w:val="single" w:sz="4" w:space="0" w:color="auto"/>
            </w:tcBorders>
            <w:shd w:val="clear" w:color="auto" w:fill="auto"/>
            <w:vAlign w:val="center"/>
            <w:hideMark/>
          </w:tcPr>
          <w:p w14:paraId="7E0DE45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 VS. 3.2.5 Impartir talleres entre los jóvenes para fomentar hábitos saludables</w:t>
            </w:r>
          </w:p>
        </w:tc>
        <w:tc>
          <w:tcPr>
            <w:tcW w:w="762" w:type="pct"/>
            <w:tcBorders>
              <w:top w:val="nil"/>
              <w:left w:val="nil"/>
              <w:bottom w:val="single" w:sz="4" w:space="0" w:color="auto"/>
              <w:right w:val="single" w:sz="4" w:space="0" w:color="auto"/>
            </w:tcBorders>
            <w:shd w:val="clear" w:color="auto" w:fill="auto"/>
            <w:vAlign w:val="center"/>
            <w:hideMark/>
          </w:tcPr>
          <w:p w14:paraId="75FCC18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talleres realizados respecto de la meta anual planteada por la unidad responsable</w:t>
            </w:r>
          </w:p>
        </w:tc>
        <w:tc>
          <w:tcPr>
            <w:tcW w:w="767" w:type="pct"/>
            <w:tcBorders>
              <w:top w:val="nil"/>
              <w:left w:val="nil"/>
              <w:bottom w:val="single" w:sz="4" w:space="0" w:color="auto"/>
              <w:right w:val="single" w:sz="4" w:space="0" w:color="auto"/>
            </w:tcBorders>
            <w:shd w:val="clear" w:color="auto" w:fill="auto"/>
            <w:vAlign w:val="center"/>
            <w:hideMark/>
          </w:tcPr>
          <w:p w14:paraId="7C994A9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 Realizar 120 talleres trianuales responsable entre los jóvenes para fomentar la alimentación saludable.</w:t>
            </w:r>
          </w:p>
        </w:tc>
        <w:tc>
          <w:tcPr>
            <w:tcW w:w="350" w:type="pct"/>
            <w:tcBorders>
              <w:top w:val="nil"/>
              <w:left w:val="nil"/>
              <w:bottom w:val="single" w:sz="4" w:space="0" w:color="auto"/>
              <w:right w:val="single" w:sz="4" w:space="0" w:color="auto"/>
            </w:tcBorders>
            <w:shd w:val="clear" w:color="auto" w:fill="auto"/>
            <w:vAlign w:val="center"/>
            <w:hideMark/>
          </w:tcPr>
          <w:p w14:paraId="1FD0122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0C55F13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50" w:type="pct"/>
            <w:tcBorders>
              <w:top w:val="nil"/>
              <w:left w:val="nil"/>
              <w:bottom w:val="single" w:sz="4" w:space="0" w:color="auto"/>
              <w:right w:val="single" w:sz="4" w:space="0" w:color="auto"/>
            </w:tcBorders>
            <w:shd w:val="clear" w:color="auto" w:fill="auto"/>
            <w:vAlign w:val="center"/>
            <w:hideMark/>
          </w:tcPr>
          <w:p w14:paraId="581271B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29%</w:t>
            </w:r>
          </w:p>
        </w:tc>
        <w:tc>
          <w:tcPr>
            <w:tcW w:w="350" w:type="pct"/>
            <w:tcBorders>
              <w:top w:val="nil"/>
              <w:left w:val="nil"/>
              <w:bottom w:val="single" w:sz="4" w:space="0" w:color="auto"/>
              <w:right w:val="single" w:sz="4" w:space="0" w:color="auto"/>
            </w:tcBorders>
            <w:shd w:val="clear" w:color="auto" w:fill="auto"/>
            <w:vAlign w:val="center"/>
            <w:hideMark/>
          </w:tcPr>
          <w:p w14:paraId="56A0501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31%</w:t>
            </w:r>
          </w:p>
        </w:tc>
      </w:tr>
      <w:tr w:rsidR="00794EB9" w:rsidRPr="00794EB9" w14:paraId="7551BD48" w14:textId="77777777" w:rsidTr="00C307FB">
        <w:trPr>
          <w:cantSplit/>
          <w:trHeight w:val="1546"/>
        </w:trPr>
        <w:tc>
          <w:tcPr>
            <w:tcW w:w="729" w:type="pct"/>
            <w:tcBorders>
              <w:top w:val="nil"/>
              <w:left w:val="single" w:sz="4" w:space="0" w:color="auto"/>
              <w:bottom w:val="single" w:sz="4" w:space="0" w:color="auto"/>
              <w:right w:val="single" w:sz="4" w:space="0" w:color="auto"/>
            </w:tcBorders>
            <w:shd w:val="clear" w:color="auto" w:fill="auto"/>
            <w:vAlign w:val="center"/>
            <w:hideMark/>
          </w:tcPr>
          <w:p w14:paraId="4981549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3.3 Apoyos para la salud familiar</w:t>
            </w:r>
          </w:p>
        </w:tc>
        <w:tc>
          <w:tcPr>
            <w:tcW w:w="630" w:type="pct"/>
            <w:tcBorders>
              <w:top w:val="nil"/>
              <w:left w:val="nil"/>
              <w:bottom w:val="single" w:sz="4" w:space="0" w:color="auto"/>
              <w:right w:val="single" w:sz="4" w:space="0" w:color="auto"/>
            </w:tcBorders>
            <w:shd w:val="clear" w:color="auto" w:fill="auto"/>
            <w:vAlign w:val="center"/>
            <w:hideMark/>
          </w:tcPr>
          <w:p w14:paraId="0195EEA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3.3.1</w:t>
            </w:r>
          </w:p>
        </w:tc>
        <w:tc>
          <w:tcPr>
            <w:tcW w:w="713" w:type="pct"/>
            <w:tcBorders>
              <w:top w:val="nil"/>
              <w:left w:val="nil"/>
              <w:bottom w:val="single" w:sz="4" w:space="0" w:color="auto"/>
              <w:right w:val="single" w:sz="4" w:space="0" w:color="auto"/>
            </w:tcBorders>
            <w:shd w:val="clear" w:color="auto" w:fill="auto"/>
            <w:vAlign w:val="center"/>
            <w:hideMark/>
          </w:tcPr>
          <w:p w14:paraId="6FF079E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3.3.1 Implementar una plataforma de asistencia médica y dotación de cuadro básico de medicamentos </w:t>
            </w:r>
          </w:p>
        </w:tc>
        <w:tc>
          <w:tcPr>
            <w:tcW w:w="762" w:type="pct"/>
            <w:tcBorders>
              <w:top w:val="nil"/>
              <w:left w:val="nil"/>
              <w:bottom w:val="single" w:sz="4" w:space="0" w:color="auto"/>
              <w:right w:val="single" w:sz="4" w:space="0" w:color="auto"/>
            </w:tcBorders>
            <w:shd w:val="clear" w:color="auto" w:fill="auto"/>
            <w:vAlign w:val="center"/>
            <w:hideMark/>
          </w:tcPr>
          <w:p w14:paraId="778207A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implementación de la plataforma respecto del total </w:t>
            </w:r>
          </w:p>
        </w:tc>
        <w:tc>
          <w:tcPr>
            <w:tcW w:w="767" w:type="pct"/>
            <w:tcBorders>
              <w:top w:val="nil"/>
              <w:left w:val="nil"/>
              <w:bottom w:val="single" w:sz="4" w:space="0" w:color="auto"/>
              <w:right w:val="single" w:sz="4" w:space="0" w:color="auto"/>
            </w:tcBorders>
            <w:shd w:val="clear" w:color="auto" w:fill="auto"/>
            <w:vAlign w:val="center"/>
            <w:hideMark/>
          </w:tcPr>
          <w:p w14:paraId="526BC05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Implementar la plataforma de asistencia médica y cuadro básico de medicamentos para el 2023. </w:t>
            </w:r>
          </w:p>
        </w:tc>
        <w:tc>
          <w:tcPr>
            <w:tcW w:w="350" w:type="pct"/>
            <w:tcBorders>
              <w:top w:val="nil"/>
              <w:left w:val="nil"/>
              <w:bottom w:val="single" w:sz="4" w:space="0" w:color="auto"/>
              <w:right w:val="single" w:sz="4" w:space="0" w:color="auto"/>
            </w:tcBorders>
            <w:shd w:val="clear" w:color="auto" w:fill="auto"/>
            <w:vAlign w:val="center"/>
            <w:hideMark/>
          </w:tcPr>
          <w:p w14:paraId="0ABFD35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7C1C118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50" w:type="pct"/>
            <w:tcBorders>
              <w:top w:val="nil"/>
              <w:left w:val="nil"/>
              <w:bottom w:val="single" w:sz="4" w:space="0" w:color="auto"/>
              <w:right w:val="single" w:sz="4" w:space="0" w:color="auto"/>
            </w:tcBorders>
            <w:shd w:val="clear" w:color="auto" w:fill="auto"/>
            <w:vAlign w:val="center"/>
            <w:hideMark/>
          </w:tcPr>
          <w:p w14:paraId="5BD9BFE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50" w:type="pct"/>
            <w:tcBorders>
              <w:top w:val="nil"/>
              <w:left w:val="nil"/>
              <w:bottom w:val="single" w:sz="4" w:space="0" w:color="auto"/>
              <w:right w:val="single" w:sz="4" w:space="0" w:color="auto"/>
            </w:tcBorders>
            <w:shd w:val="clear" w:color="auto" w:fill="auto"/>
            <w:vAlign w:val="center"/>
            <w:hideMark/>
          </w:tcPr>
          <w:p w14:paraId="4BA4335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20%</w:t>
            </w:r>
          </w:p>
        </w:tc>
      </w:tr>
    </w:tbl>
    <w:p w14:paraId="5BD773F5" w14:textId="77777777" w:rsidR="00794EB9" w:rsidRPr="00794EB9" w:rsidRDefault="00794EB9" w:rsidP="00794EB9">
      <w:pPr>
        <w:spacing w:after="160" w:line="259" w:lineRule="auto"/>
        <w:rPr>
          <w:rFonts w:ascii="Arial" w:hAnsi="Arial" w:cs="Arial"/>
          <w:sz w:val="22"/>
          <w:szCs w:val="22"/>
        </w:rPr>
      </w:pPr>
      <w:r w:rsidRPr="00794EB9">
        <w:rPr>
          <w:rFonts w:ascii="Arial" w:hAnsi="Arial" w:cs="Arial"/>
          <w:sz w:val="22"/>
          <w:szCs w:val="22"/>
        </w:rPr>
        <w:br w:type="page"/>
      </w:r>
    </w:p>
    <w:p w14:paraId="73886122"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lastRenderedPageBreak/>
        <w:t>BANDERA. VIVIR SANO</w:t>
      </w:r>
    </w:p>
    <w:p w14:paraId="52033B1A"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Estrategia 4.  BIENESTAR PARA LA POBLACIÓN.</w:t>
      </w:r>
    </w:p>
    <w:p w14:paraId="60FF480F"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PROGRAMA: VS4. LEÓN PARA TODOS</w:t>
      </w:r>
    </w:p>
    <w:p w14:paraId="3C7C4BB4" w14:textId="77777777" w:rsidR="00794EB9" w:rsidRPr="00794EB9" w:rsidRDefault="00794EB9" w:rsidP="00794EB9">
      <w:pPr>
        <w:spacing w:line="259" w:lineRule="auto"/>
        <w:jc w:val="both"/>
        <w:rPr>
          <w:rFonts w:ascii="Arial" w:hAnsi="Arial" w:cs="Arial"/>
          <w:sz w:val="22"/>
          <w:szCs w:val="22"/>
          <w:lang w:eastAsia="es-MX"/>
        </w:rPr>
      </w:pPr>
      <w:r w:rsidRPr="00794EB9">
        <w:rPr>
          <w:rFonts w:ascii="Arial" w:hAnsi="Arial" w:cs="Arial"/>
          <w:i/>
          <w:iCs/>
          <w:sz w:val="22"/>
          <w:szCs w:val="22"/>
          <w:lang w:eastAsia="es-MX"/>
        </w:rPr>
        <w:t xml:space="preserve">Objetivo del programa: </w:t>
      </w:r>
      <w:r w:rsidRPr="00794EB9">
        <w:rPr>
          <w:rFonts w:ascii="Arial" w:hAnsi="Arial" w:cs="Arial"/>
          <w:sz w:val="22"/>
          <w:szCs w:val="22"/>
          <w:lang w:eastAsia="es-MX"/>
        </w:rPr>
        <w:t>Brindar protección a mujeres en situación de riesgo, así como a jóvenes y otros grupos</w:t>
      </w:r>
      <w:r w:rsidRPr="00794EB9">
        <w:rPr>
          <w:rFonts w:ascii="Arial" w:hAnsi="Arial" w:cs="Arial"/>
          <w:sz w:val="22"/>
          <w:szCs w:val="22"/>
        </w:rPr>
        <w:t xml:space="preserve"> </w:t>
      </w:r>
      <w:r w:rsidRPr="00794EB9">
        <w:rPr>
          <w:rFonts w:ascii="Arial" w:hAnsi="Arial" w:cs="Arial"/>
          <w:sz w:val="22"/>
          <w:szCs w:val="22"/>
          <w:lang w:eastAsia="es-MX"/>
        </w:rPr>
        <w:t>en situación de vulnerabilidad mediante acciones integrales para el desarrollo humano y la inclusión social.</w:t>
      </w:r>
    </w:p>
    <w:p w14:paraId="07711395" w14:textId="77777777" w:rsidR="00794EB9" w:rsidRPr="00794EB9" w:rsidRDefault="00794EB9" w:rsidP="00794EB9">
      <w:pPr>
        <w:spacing w:line="259" w:lineRule="auto"/>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122"/>
        <w:gridCol w:w="1026"/>
        <w:gridCol w:w="1765"/>
        <w:gridCol w:w="1235"/>
        <w:gridCol w:w="1348"/>
        <w:gridCol w:w="583"/>
        <w:gridCol w:w="583"/>
        <w:gridCol w:w="583"/>
        <w:gridCol w:w="583"/>
      </w:tblGrid>
      <w:tr w:rsidR="00794EB9" w:rsidRPr="00794EB9" w14:paraId="7FF60825" w14:textId="77777777" w:rsidTr="00C307FB">
        <w:trPr>
          <w:cantSplit/>
          <w:trHeight w:val="20"/>
          <w:tblHeader/>
        </w:trPr>
        <w:tc>
          <w:tcPr>
            <w:tcW w:w="66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08F0C8"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PROYECTOS </w:t>
            </w:r>
          </w:p>
        </w:tc>
        <w:tc>
          <w:tcPr>
            <w:tcW w:w="61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A09DE3B"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106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79F5267"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64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6291283"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61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0B7DDF1"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3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8CA42C9"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39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27109DD"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3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5942BE4"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3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064A40C"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3291CB32"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1CA35E9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4.1 Red de espacios seguros para mujeres en situación de riesgo</w:t>
            </w:r>
          </w:p>
        </w:tc>
        <w:tc>
          <w:tcPr>
            <w:tcW w:w="610" w:type="pct"/>
            <w:tcBorders>
              <w:top w:val="nil"/>
              <w:left w:val="nil"/>
              <w:bottom w:val="single" w:sz="4" w:space="0" w:color="auto"/>
              <w:right w:val="single" w:sz="4" w:space="0" w:color="auto"/>
            </w:tcBorders>
            <w:shd w:val="clear" w:color="auto" w:fill="auto"/>
            <w:vAlign w:val="center"/>
            <w:hideMark/>
          </w:tcPr>
          <w:p w14:paraId="4270971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4.1.1</w:t>
            </w:r>
          </w:p>
        </w:tc>
        <w:tc>
          <w:tcPr>
            <w:tcW w:w="1062" w:type="pct"/>
            <w:tcBorders>
              <w:top w:val="nil"/>
              <w:left w:val="nil"/>
              <w:bottom w:val="single" w:sz="4" w:space="0" w:color="auto"/>
              <w:right w:val="single" w:sz="4" w:space="0" w:color="auto"/>
            </w:tcBorders>
            <w:shd w:val="clear" w:color="auto" w:fill="auto"/>
            <w:vAlign w:val="center"/>
            <w:hideMark/>
          </w:tcPr>
          <w:p w14:paraId="7461AEE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4.1.1 Instalar una unidad fija de atención en la Presidencia Municipal y una unidad móvil de atención en las delegaciones, como parte del proyecto de Mujer a Salvo.</w:t>
            </w:r>
          </w:p>
        </w:tc>
        <w:tc>
          <w:tcPr>
            <w:tcW w:w="645" w:type="pct"/>
            <w:tcBorders>
              <w:top w:val="nil"/>
              <w:left w:val="nil"/>
              <w:bottom w:val="single" w:sz="4" w:space="0" w:color="auto"/>
              <w:right w:val="single" w:sz="4" w:space="0" w:color="auto"/>
            </w:tcBorders>
            <w:shd w:val="clear" w:color="auto" w:fill="auto"/>
            <w:vAlign w:val="center"/>
            <w:hideMark/>
          </w:tcPr>
          <w:p w14:paraId="627F30A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instalación del número de unidades previstas</w:t>
            </w:r>
          </w:p>
        </w:tc>
        <w:tc>
          <w:tcPr>
            <w:tcW w:w="610" w:type="pct"/>
            <w:tcBorders>
              <w:top w:val="nil"/>
              <w:left w:val="nil"/>
              <w:bottom w:val="single" w:sz="4" w:space="0" w:color="auto"/>
              <w:right w:val="single" w:sz="4" w:space="0" w:color="auto"/>
            </w:tcBorders>
            <w:shd w:val="clear" w:color="auto" w:fill="auto"/>
            <w:vAlign w:val="center"/>
            <w:hideMark/>
          </w:tcPr>
          <w:p w14:paraId="4479553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Instalar 2 unidades, 1 fija y 1 móvil.</w:t>
            </w:r>
          </w:p>
        </w:tc>
        <w:tc>
          <w:tcPr>
            <w:tcW w:w="338" w:type="pct"/>
            <w:tcBorders>
              <w:top w:val="nil"/>
              <w:left w:val="nil"/>
              <w:bottom w:val="single" w:sz="4" w:space="0" w:color="auto"/>
              <w:right w:val="single" w:sz="4" w:space="0" w:color="auto"/>
            </w:tcBorders>
            <w:shd w:val="clear" w:color="auto" w:fill="auto"/>
            <w:vAlign w:val="center"/>
            <w:hideMark/>
          </w:tcPr>
          <w:p w14:paraId="7DC64EA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w:t>
            </w:r>
          </w:p>
        </w:tc>
        <w:tc>
          <w:tcPr>
            <w:tcW w:w="390" w:type="pct"/>
            <w:tcBorders>
              <w:top w:val="nil"/>
              <w:left w:val="nil"/>
              <w:bottom w:val="single" w:sz="4" w:space="0" w:color="auto"/>
              <w:right w:val="single" w:sz="4" w:space="0" w:color="auto"/>
            </w:tcBorders>
            <w:shd w:val="clear" w:color="auto" w:fill="auto"/>
            <w:vAlign w:val="center"/>
            <w:hideMark/>
          </w:tcPr>
          <w:p w14:paraId="3BC467A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38" w:type="pct"/>
            <w:tcBorders>
              <w:top w:val="nil"/>
              <w:left w:val="nil"/>
              <w:bottom w:val="single" w:sz="4" w:space="0" w:color="auto"/>
              <w:right w:val="single" w:sz="4" w:space="0" w:color="auto"/>
            </w:tcBorders>
            <w:shd w:val="clear" w:color="auto" w:fill="auto"/>
            <w:vAlign w:val="center"/>
            <w:hideMark/>
          </w:tcPr>
          <w:p w14:paraId="78C9962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38" w:type="pct"/>
            <w:tcBorders>
              <w:top w:val="nil"/>
              <w:left w:val="nil"/>
              <w:bottom w:val="single" w:sz="4" w:space="0" w:color="auto"/>
              <w:right w:val="single" w:sz="4" w:space="0" w:color="auto"/>
            </w:tcBorders>
            <w:shd w:val="clear" w:color="auto" w:fill="auto"/>
            <w:vAlign w:val="center"/>
            <w:hideMark/>
          </w:tcPr>
          <w:p w14:paraId="68918B1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6200187E"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1E2D0ED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4.1 Red de espacios seguros para mujeres en situación de riesgo</w:t>
            </w:r>
          </w:p>
        </w:tc>
        <w:tc>
          <w:tcPr>
            <w:tcW w:w="610" w:type="pct"/>
            <w:tcBorders>
              <w:top w:val="nil"/>
              <w:left w:val="nil"/>
              <w:bottom w:val="single" w:sz="4" w:space="0" w:color="auto"/>
              <w:right w:val="single" w:sz="4" w:space="0" w:color="auto"/>
            </w:tcBorders>
            <w:shd w:val="clear" w:color="auto" w:fill="auto"/>
            <w:vAlign w:val="center"/>
            <w:hideMark/>
          </w:tcPr>
          <w:p w14:paraId="419F012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4.1.2</w:t>
            </w:r>
          </w:p>
        </w:tc>
        <w:tc>
          <w:tcPr>
            <w:tcW w:w="1062" w:type="pct"/>
            <w:tcBorders>
              <w:top w:val="nil"/>
              <w:left w:val="nil"/>
              <w:bottom w:val="single" w:sz="4" w:space="0" w:color="auto"/>
              <w:right w:val="single" w:sz="4" w:space="0" w:color="auto"/>
            </w:tcBorders>
            <w:shd w:val="clear" w:color="auto" w:fill="auto"/>
            <w:vAlign w:val="center"/>
            <w:hideMark/>
          </w:tcPr>
          <w:p w14:paraId="0BFB439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4.1.2 Promover la vinculación con sociedad civil organizada para la creación de una red de espacios seguros para mujeres en situación de violencia.</w:t>
            </w:r>
          </w:p>
        </w:tc>
        <w:tc>
          <w:tcPr>
            <w:tcW w:w="645" w:type="pct"/>
            <w:tcBorders>
              <w:top w:val="nil"/>
              <w:left w:val="nil"/>
              <w:bottom w:val="single" w:sz="4" w:space="0" w:color="auto"/>
              <w:right w:val="single" w:sz="4" w:space="0" w:color="auto"/>
            </w:tcBorders>
            <w:shd w:val="clear" w:color="auto" w:fill="auto"/>
            <w:vAlign w:val="center"/>
            <w:hideMark/>
          </w:tcPr>
          <w:p w14:paraId="415C508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implementación de la campaña espacios seguros</w:t>
            </w:r>
          </w:p>
        </w:tc>
        <w:tc>
          <w:tcPr>
            <w:tcW w:w="610" w:type="pct"/>
            <w:tcBorders>
              <w:top w:val="nil"/>
              <w:left w:val="nil"/>
              <w:bottom w:val="single" w:sz="4" w:space="0" w:color="auto"/>
              <w:right w:val="single" w:sz="4" w:space="0" w:color="auto"/>
            </w:tcBorders>
            <w:shd w:val="clear" w:color="auto" w:fill="auto"/>
            <w:vAlign w:val="center"/>
            <w:hideMark/>
          </w:tcPr>
          <w:p w14:paraId="0D89CA4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Implementar 10 campañas anuales en coordinación con la sociedad civil para ampliar la red de espacios seguros para mujeres en situación de violencia durante el trienio</w:t>
            </w:r>
          </w:p>
        </w:tc>
        <w:tc>
          <w:tcPr>
            <w:tcW w:w="338" w:type="pct"/>
            <w:tcBorders>
              <w:top w:val="nil"/>
              <w:left w:val="nil"/>
              <w:bottom w:val="single" w:sz="4" w:space="0" w:color="auto"/>
              <w:right w:val="single" w:sz="4" w:space="0" w:color="auto"/>
            </w:tcBorders>
            <w:shd w:val="clear" w:color="auto" w:fill="auto"/>
            <w:vAlign w:val="center"/>
            <w:hideMark/>
          </w:tcPr>
          <w:p w14:paraId="7A22802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189A468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718FBED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329A3C1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616E61A5"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38B8875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4.2 Modelo de casas de transición para mujeres víctimas de la violencia</w:t>
            </w:r>
          </w:p>
        </w:tc>
        <w:tc>
          <w:tcPr>
            <w:tcW w:w="610" w:type="pct"/>
            <w:tcBorders>
              <w:top w:val="nil"/>
              <w:left w:val="nil"/>
              <w:bottom w:val="single" w:sz="4" w:space="0" w:color="auto"/>
              <w:right w:val="single" w:sz="4" w:space="0" w:color="auto"/>
            </w:tcBorders>
            <w:shd w:val="clear" w:color="auto" w:fill="auto"/>
            <w:vAlign w:val="center"/>
            <w:hideMark/>
          </w:tcPr>
          <w:p w14:paraId="1A2C1DB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4.2.1</w:t>
            </w:r>
          </w:p>
        </w:tc>
        <w:tc>
          <w:tcPr>
            <w:tcW w:w="1062" w:type="pct"/>
            <w:tcBorders>
              <w:top w:val="nil"/>
              <w:left w:val="nil"/>
              <w:bottom w:val="single" w:sz="4" w:space="0" w:color="auto"/>
              <w:right w:val="single" w:sz="4" w:space="0" w:color="auto"/>
            </w:tcBorders>
            <w:shd w:val="clear" w:color="auto" w:fill="auto"/>
            <w:vAlign w:val="center"/>
            <w:hideMark/>
          </w:tcPr>
          <w:p w14:paraId="297C056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4.2.1 Adecuar espacios para la instalación de casas de transición.</w:t>
            </w:r>
          </w:p>
        </w:tc>
        <w:tc>
          <w:tcPr>
            <w:tcW w:w="645" w:type="pct"/>
            <w:tcBorders>
              <w:top w:val="nil"/>
              <w:left w:val="nil"/>
              <w:bottom w:val="single" w:sz="4" w:space="0" w:color="auto"/>
              <w:right w:val="single" w:sz="4" w:space="0" w:color="auto"/>
            </w:tcBorders>
            <w:shd w:val="clear" w:color="auto" w:fill="auto"/>
            <w:vAlign w:val="center"/>
            <w:hideMark/>
          </w:tcPr>
          <w:p w14:paraId="15E78AF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implementación de casa de transición</w:t>
            </w:r>
          </w:p>
        </w:tc>
        <w:tc>
          <w:tcPr>
            <w:tcW w:w="610" w:type="pct"/>
            <w:tcBorders>
              <w:top w:val="nil"/>
              <w:left w:val="nil"/>
              <w:bottom w:val="single" w:sz="4" w:space="0" w:color="auto"/>
              <w:right w:val="single" w:sz="4" w:space="0" w:color="auto"/>
            </w:tcBorders>
            <w:shd w:val="clear" w:color="auto" w:fill="auto"/>
            <w:vAlign w:val="center"/>
            <w:hideMark/>
          </w:tcPr>
          <w:p w14:paraId="6ECC1EE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Operar una casa de transición para 2022.</w:t>
            </w:r>
          </w:p>
        </w:tc>
        <w:tc>
          <w:tcPr>
            <w:tcW w:w="338" w:type="pct"/>
            <w:tcBorders>
              <w:top w:val="nil"/>
              <w:left w:val="nil"/>
              <w:bottom w:val="single" w:sz="4" w:space="0" w:color="auto"/>
              <w:right w:val="single" w:sz="4" w:space="0" w:color="auto"/>
            </w:tcBorders>
            <w:shd w:val="clear" w:color="auto" w:fill="auto"/>
            <w:vAlign w:val="center"/>
            <w:hideMark/>
          </w:tcPr>
          <w:p w14:paraId="27CB05B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32A84B4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38" w:type="pct"/>
            <w:tcBorders>
              <w:top w:val="nil"/>
              <w:left w:val="nil"/>
              <w:bottom w:val="single" w:sz="4" w:space="0" w:color="auto"/>
              <w:right w:val="single" w:sz="4" w:space="0" w:color="auto"/>
            </w:tcBorders>
            <w:shd w:val="clear" w:color="auto" w:fill="auto"/>
            <w:vAlign w:val="center"/>
            <w:hideMark/>
          </w:tcPr>
          <w:p w14:paraId="7D5CA2E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65E370E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4E1629E8"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62A4E51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4.2 Modelo de casas de transición para mujeres víctimas de la violencia</w:t>
            </w:r>
          </w:p>
        </w:tc>
        <w:tc>
          <w:tcPr>
            <w:tcW w:w="610" w:type="pct"/>
            <w:tcBorders>
              <w:top w:val="nil"/>
              <w:left w:val="nil"/>
              <w:bottom w:val="single" w:sz="4" w:space="0" w:color="auto"/>
              <w:right w:val="single" w:sz="4" w:space="0" w:color="auto"/>
            </w:tcBorders>
            <w:shd w:val="clear" w:color="auto" w:fill="auto"/>
            <w:vAlign w:val="center"/>
            <w:hideMark/>
          </w:tcPr>
          <w:p w14:paraId="6AF5574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4.2.2</w:t>
            </w:r>
          </w:p>
        </w:tc>
        <w:tc>
          <w:tcPr>
            <w:tcW w:w="1062" w:type="pct"/>
            <w:tcBorders>
              <w:top w:val="nil"/>
              <w:left w:val="nil"/>
              <w:bottom w:val="single" w:sz="4" w:space="0" w:color="auto"/>
              <w:right w:val="single" w:sz="4" w:space="0" w:color="auto"/>
            </w:tcBorders>
            <w:shd w:val="clear" w:color="auto" w:fill="auto"/>
            <w:vAlign w:val="center"/>
            <w:hideMark/>
          </w:tcPr>
          <w:p w14:paraId="61223A4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4.2.2 Poner en operación el modelo de atención integral a víctimas, para mujeres en situación de violencia.</w:t>
            </w:r>
          </w:p>
        </w:tc>
        <w:tc>
          <w:tcPr>
            <w:tcW w:w="645" w:type="pct"/>
            <w:tcBorders>
              <w:top w:val="nil"/>
              <w:left w:val="nil"/>
              <w:bottom w:val="single" w:sz="4" w:space="0" w:color="auto"/>
              <w:right w:val="single" w:sz="4" w:space="0" w:color="auto"/>
            </w:tcBorders>
            <w:shd w:val="clear" w:color="auto" w:fill="auto"/>
            <w:vAlign w:val="center"/>
            <w:hideMark/>
          </w:tcPr>
          <w:p w14:paraId="7922767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mujeres atendidas respecto de la meta anual establecida por la unidad responsable</w:t>
            </w:r>
          </w:p>
        </w:tc>
        <w:tc>
          <w:tcPr>
            <w:tcW w:w="610" w:type="pct"/>
            <w:tcBorders>
              <w:top w:val="nil"/>
              <w:left w:val="nil"/>
              <w:bottom w:val="single" w:sz="4" w:space="0" w:color="auto"/>
              <w:right w:val="single" w:sz="4" w:space="0" w:color="auto"/>
            </w:tcBorders>
            <w:shd w:val="clear" w:color="auto" w:fill="auto"/>
            <w:vAlign w:val="center"/>
            <w:hideMark/>
          </w:tcPr>
          <w:p w14:paraId="3A2736F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Garantizar atención para el 100% de mujeres violentadas </w:t>
            </w:r>
            <w:r w:rsidRPr="00794EB9">
              <w:rPr>
                <w:rFonts w:ascii="Arial" w:hAnsi="Arial" w:cs="Arial"/>
                <w:bCs/>
                <w:sz w:val="22"/>
                <w:szCs w:val="22"/>
                <w:lang w:eastAsia="es-MX"/>
              </w:rPr>
              <w:t xml:space="preserve">que lo soliciten </w:t>
            </w:r>
            <w:r w:rsidRPr="00794EB9">
              <w:rPr>
                <w:rFonts w:ascii="Arial" w:hAnsi="Arial" w:cs="Arial"/>
                <w:sz w:val="22"/>
                <w:szCs w:val="22"/>
                <w:lang w:eastAsia="es-MX"/>
              </w:rPr>
              <w:t>durante todo el trienio</w:t>
            </w:r>
          </w:p>
        </w:tc>
        <w:tc>
          <w:tcPr>
            <w:tcW w:w="338" w:type="pct"/>
            <w:tcBorders>
              <w:top w:val="nil"/>
              <w:left w:val="nil"/>
              <w:bottom w:val="single" w:sz="4" w:space="0" w:color="auto"/>
              <w:right w:val="single" w:sz="4" w:space="0" w:color="auto"/>
            </w:tcBorders>
            <w:shd w:val="clear" w:color="auto" w:fill="auto"/>
            <w:vAlign w:val="center"/>
            <w:hideMark/>
          </w:tcPr>
          <w:p w14:paraId="0D74F1F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5A73156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0C07E7C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2652B5D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576B283D"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4352835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4F85AD8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w:t>
            </w:r>
          </w:p>
        </w:tc>
        <w:tc>
          <w:tcPr>
            <w:tcW w:w="1062" w:type="pct"/>
            <w:tcBorders>
              <w:top w:val="nil"/>
              <w:left w:val="nil"/>
              <w:bottom w:val="single" w:sz="4" w:space="0" w:color="auto"/>
              <w:right w:val="single" w:sz="4" w:space="0" w:color="auto"/>
            </w:tcBorders>
            <w:shd w:val="clear" w:color="auto" w:fill="auto"/>
            <w:vAlign w:val="center"/>
            <w:hideMark/>
          </w:tcPr>
          <w:p w14:paraId="565FA0E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 Herramientas para el fortalecimiento de la inclusión social en el Municipio de León.</w:t>
            </w:r>
          </w:p>
        </w:tc>
        <w:tc>
          <w:tcPr>
            <w:tcW w:w="645" w:type="pct"/>
            <w:tcBorders>
              <w:top w:val="nil"/>
              <w:left w:val="nil"/>
              <w:bottom w:val="single" w:sz="4" w:space="0" w:color="auto"/>
              <w:right w:val="single" w:sz="4" w:space="0" w:color="auto"/>
            </w:tcBorders>
            <w:shd w:val="clear" w:color="auto" w:fill="auto"/>
            <w:vAlign w:val="center"/>
            <w:hideMark/>
          </w:tcPr>
          <w:p w14:paraId="2DABF3D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ejecución del convenio de colaboración con la UNESCO</w:t>
            </w:r>
          </w:p>
        </w:tc>
        <w:tc>
          <w:tcPr>
            <w:tcW w:w="610" w:type="pct"/>
            <w:tcBorders>
              <w:top w:val="nil"/>
              <w:left w:val="nil"/>
              <w:bottom w:val="single" w:sz="4" w:space="0" w:color="auto"/>
              <w:right w:val="single" w:sz="4" w:space="0" w:color="auto"/>
            </w:tcBorders>
            <w:shd w:val="clear" w:color="auto" w:fill="auto"/>
            <w:vAlign w:val="center"/>
            <w:hideMark/>
          </w:tcPr>
          <w:p w14:paraId="38B55A1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Ejecutar las acciones (medición, análisis y evaluación de programas y proyectos de desarrollo e inclusión social) derivadas del convenio de colaboración con la UNESCO durante el trienio. </w:t>
            </w:r>
          </w:p>
        </w:tc>
        <w:tc>
          <w:tcPr>
            <w:tcW w:w="338" w:type="pct"/>
            <w:tcBorders>
              <w:top w:val="nil"/>
              <w:left w:val="nil"/>
              <w:bottom w:val="single" w:sz="4" w:space="0" w:color="auto"/>
              <w:right w:val="single" w:sz="4" w:space="0" w:color="auto"/>
            </w:tcBorders>
            <w:shd w:val="clear" w:color="auto" w:fill="auto"/>
            <w:vAlign w:val="center"/>
            <w:hideMark/>
          </w:tcPr>
          <w:p w14:paraId="204EE56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0DC446B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3DDA86B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036F145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3DF67BAD"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44F38A9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4E17D7C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4.3.2</w:t>
            </w:r>
          </w:p>
        </w:tc>
        <w:tc>
          <w:tcPr>
            <w:tcW w:w="1062" w:type="pct"/>
            <w:tcBorders>
              <w:top w:val="nil"/>
              <w:left w:val="nil"/>
              <w:bottom w:val="single" w:sz="4" w:space="0" w:color="auto"/>
              <w:right w:val="single" w:sz="4" w:space="0" w:color="auto"/>
            </w:tcBorders>
            <w:shd w:val="clear" w:color="auto" w:fill="auto"/>
            <w:vAlign w:val="center"/>
            <w:hideMark/>
          </w:tcPr>
          <w:p w14:paraId="03BDFE3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4.3.2 Fortalecer el derecho a la participación de los estudiantes en la construcción de la ciudad "Red Internacional de las niñas y los niños".</w:t>
            </w:r>
          </w:p>
        </w:tc>
        <w:tc>
          <w:tcPr>
            <w:tcW w:w="645" w:type="pct"/>
            <w:tcBorders>
              <w:top w:val="nil"/>
              <w:left w:val="nil"/>
              <w:bottom w:val="single" w:sz="4" w:space="0" w:color="auto"/>
              <w:right w:val="single" w:sz="4" w:space="0" w:color="auto"/>
            </w:tcBorders>
            <w:shd w:val="clear" w:color="auto" w:fill="auto"/>
            <w:vAlign w:val="center"/>
            <w:hideMark/>
          </w:tcPr>
          <w:p w14:paraId="2ACDF5F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niñas y niños que participan respecto de la meta establecida</w:t>
            </w:r>
          </w:p>
        </w:tc>
        <w:tc>
          <w:tcPr>
            <w:tcW w:w="610" w:type="pct"/>
            <w:tcBorders>
              <w:top w:val="nil"/>
              <w:left w:val="nil"/>
              <w:bottom w:val="single" w:sz="4" w:space="0" w:color="auto"/>
              <w:right w:val="single" w:sz="4" w:space="0" w:color="auto"/>
            </w:tcBorders>
            <w:shd w:val="clear" w:color="auto" w:fill="auto"/>
            <w:vAlign w:val="center"/>
            <w:hideMark/>
          </w:tcPr>
          <w:p w14:paraId="3A62063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Implementar 3 proyectos de los propuestos por los consejos de niñas y niños de la ciudad</w:t>
            </w:r>
          </w:p>
        </w:tc>
        <w:tc>
          <w:tcPr>
            <w:tcW w:w="338" w:type="pct"/>
            <w:tcBorders>
              <w:top w:val="nil"/>
              <w:left w:val="nil"/>
              <w:bottom w:val="single" w:sz="4" w:space="0" w:color="auto"/>
              <w:right w:val="single" w:sz="4" w:space="0" w:color="auto"/>
            </w:tcBorders>
            <w:shd w:val="clear" w:color="auto" w:fill="auto"/>
            <w:vAlign w:val="center"/>
            <w:hideMark/>
          </w:tcPr>
          <w:p w14:paraId="5D94F44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w:t>
            </w:r>
          </w:p>
        </w:tc>
        <w:tc>
          <w:tcPr>
            <w:tcW w:w="390" w:type="pct"/>
            <w:tcBorders>
              <w:top w:val="nil"/>
              <w:left w:val="nil"/>
              <w:bottom w:val="single" w:sz="4" w:space="0" w:color="auto"/>
              <w:right w:val="single" w:sz="4" w:space="0" w:color="auto"/>
            </w:tcBorders>
            <w:shd w:val="clear" w:color="auto" w:fill="auto"/>
            <w:vAlign w:val="center"/>
            <w:hideMark/>
          </w:tcPr>
          <w:p w14:paraId="366CE7A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15%</w:t>
            </w:r>
          </w:p>
        </w:tc>
        <w:tc>
          <w:tcPr>
            <w:tcW w:w="338" w:type="pct"/>
            <w:tcBorders>
              <w:top w:val="nil"/>
              <w:left w:val="nil"/>
              <w:bottom w:val="single" w:sz="4" w:space="0" w:color="auto"/>
              <w:right w:val="single" w:sz="4" w:space="0" w:color="auto"/>
            </w:tcBorders>
            <w:shd w:val="clear" w:color="auto" w:fill="auto"/>
            <w:vAlign w:val="center"/>
            <w:hideMark/>
          </w:tcPr>
          <w:p w14:paraId="0B005FB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38" w:type="pct"/>
            <w:tcBorders>
              <w:top w:val="nil"/>
              <w:left w:val="nil"/>
              <w:bottom w:val="single" w:sz="4" w:space="0" w:color="auto"/>
              <w:right w:val="single" w:sz="4" w:space="0" w:color="auto"/>
            </w:tcBorders>
            <w:shd w:val="clear" w:color="auto" w:fill="auto"/>
            <w:vAlign w:val="center"/>
            <w:hideMark/>
          </w:tcPr>
          <w:p w14:paraId="2864CC1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r>
      <w:tr w:rsidR="00794EB9" w:rsidRPr="00794EB9" w14:paraId="1771E2F2"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33F3763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1E0AD1B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4.3.3</w:t>
            </w:r>
          </w:p>
        </w:tc>
        <w:tc>
          <w:tcPr>
            <w:tcW w:w="1062" w:type="pct"/>
            <w:tcBorders>
              <w:top w:val="nil"/>
              <w:left w:val="nil"/>
              <w:bottom w:val="single" w:sz="4" w:space="0" w:color="auto"/>
              <w:right w:val="single" w:sz="4" w:space="0" w:color="auto"/>
            </w:tcBorders>
            <w:shd w:val="clear" w:color="auto" w:fill="auto"/>
            <w:vAlign w:val="center"/>
            <w:hideMark/>
          </w:tcPr>
          <w:p w14:paraId="201BC94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4.3.3 Realizar la edición del libro digital de Embajadores de León.</w:t>
            </w:r>
          </w:p>
        </w:tc>
        <w:tc>
          <w:tcPr>
            <w:tcW w:w="645" w:type="pct"/>
            <w:tcBorders>
              <w:top w:val="nil"/>
              <w:left w:val="nil"/>
              <w:bottom w:val="single" w:sz="4" w:space="0" w:color="auto"/>
              <w:right w:val="single" w:sz="4" w:space="0" w:color="auto"/>
            </w:tcBorders>
            <w:shd w:val="clear" w:color="auto" w:fill="auto"/>
            <w:vAlign w:val="center"/>
            <w:hideMark/>
          </w:tcPr>
          <w:p w14:paraId="6506397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embajadores de León reconocidos con la Edición del Libro Digital.</w:t>
            </w:r>
          </w:p>
        </w:tc>
        <w:tc>
          <w:tcPr>
            <w:tcW w:w="610" w:type="pct"/>
            <w:tcBorders>
              <w:top w:val="nil"/>
              <w:left w:val="nil"/>
              <w:bottom w:val="single" w:sz="4" w:space="0" w:color="auto"/>
              <w:right w:val="single" w:sz="4" w:space="0" w:color="auto"/>
            </w:tcBorders>
            <w:shd w:val="clear" w:color="auto" w:fill="auto"/>
            <w:vAlign w:val="center"/>
            <w:hideMark/>
          </w:tcPr>
          <w:p w14:paraId="3AD716F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Edición de Libro Digital al 100% para el 2023.</w:t>
            </w:r>
          </w:p>
        </w:tc>
        <w:tc>
          <w:tcPr>
            <w:tcW w:w="338" w:type="pct"/>
            <w:tcBorders>
              <w:top w:val="nil"/>
              <w:left w:val="nil"/>
              <w:bottom w:val="single" w:sz="4" w:space="0" w:color="auto"/>
              <w:right w:val="single" w:sz="4" w:space="0" w:color="auto"/>
            </w:tcBorders>
            <w:shd w:val="clear" w:color="auto" w:fill="auto"/>
            <w:vAlign w:val="center"/>
            <w:hideMark/>
          </w:tcPr>
          <w:p w14:paraId="6898FD4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5039C78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53A7DF4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38" w:type="pct"/>
            <w:tcBorders>
              <w:top w:val="nil"/>
              <w:left w:val="nil"/>
              <w:bottom w:val="single" w:sz="4" w:space="0" w:color="auto"/>
              <w:right w:val="single" w:sz="4" w:space="0" w:color="auto"/>
            </w:tcBorders>
            <w:shd w:val="clear" w:color="auto" w:fill="auto"/>
            <w:vAlign w:val="center"/>
            <w:hideMark/>
          </w:tcPr>
          <w:p w14:paraId="6A2E90B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0991FBB9"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071C0F1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5A7ADF0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4.3.4</w:t>
            </w:r>
          </w:p>
        </w:tc>
        <w:tc>
          <w:tcPr>
            <w:tcW w:w="1062" w:type="pct"/>
            <w:tcBorders>
              <w:top w:val="nil"/>
              <w:left w:val="nil"/>
              <w:bottom w:val="single" w:sz="4" w:space="0" w:color="auto"/>
              <w:right w:val="single" w:sz="4" w:space="0" w:color="auto"/>
            </w:tcBorders>
            <w:shd w:val="clear" w:color="auto" w:fill="auto"/>
            <w:vAlign w:val="center"/>
            <w:hideMark/>
          </w:tcPr>
          <w:p w14:paraId="36CA35C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4.3.4 Reconocer y fortalecer proyectos de jóvenes o comunidades juveniles.</w:t>
            </w:r>
          </w:p>
        </w:tc>
        <w:tc>
          <w:tcPr>
            <w:tcW w:w="645" w:type="pct"/>
            <w:tcBorders>
              <w:top w:val="nil"/>
              <w:left w:val="nil"/>
              <w:bottom w:val="single" w:sz="4" w:space="0" w:color="auto"/>
              <w:right w:val="single" w:sz="4" w:space="0" w:color="auto"/>
            </w:tcBorders>
            <w:shd w:val="clear" w:color="auto" w:fill="auto"/>
            <w:vAlign w:val="center"/>
            <w:hideMark/>
          </w:tcPr>
          <w:p w14:paraId="067DFC4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personas reconocidas </w:t>
            </w:r>
          </w:p>
        </w:tc>
        <w:tc>
          <w:tcPr>
            <w:tcW w:w="610" w:type="pct"/>
            <w:tcBorders>
              <w:top w:val="nil"/>
              <w:left w:val="nil"/>
              <w:bottom w:val="single" w:sz="4" w:space="0" w:color="auto"/>
              <w:right w:val="single" w:sz="4" w:space="0" w:color="auto"/>
            </w:tcBorders>
            <w:shd w:val="clear" w:color="auto" w:fill="auto"/>
            <w:vAlign w:val="center"/>
            <w:hideMark/>
          </w:tcPr>
          <w:p w14:paraId="2A43A8E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Reconocer y fortalecer 60 proyectos de personas jóvenes o de comunidades juveniles al año</w:t>
            </w:r>
          </w:p>
        </w:tc>
        <w:tc>
          <w:tcPr>
            <w:tcW w:w="338" w:type="pct"/>
            <w:tcBorders>
              <w:top w:val="nil"/>
              <w:left w:val="nil"/>
              <w:bottom w:val="single" w:sz="4" w:space="0" w:color="auto"/>
              <w:right w:val="single" w:sz="4" w:space="0" w:color="auto"/>
            </w:tcBorders>
            <w:shd w:val="clear" w:color="auto" w:fill="auto"/>
            <w:vAlign w:val="center"/>
            <w:hideMark/>
          </w:tcPr>
          <w:p w14:paraId="00B3647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7D22B63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37B585F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49E24C3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37FEF940"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4072AEB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0AA5796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4.3.5</w:t>
            </w:r>
          </w:p>
        </w:tc>
        <w:tc>
          <w:tcPr>
            <w:tcW w:w="1062" w:type="pct"/>
            <w:tcBorders>
              <w:top w:val="nil"/>
              <w:left w:val="nil"/>
              <w:bottom w:val="single" w:sz="4" w:space="0" w:color="auto"/>
              <w:right w:val="single" w:sz="4" w:space="0" w:color="auto"/>
            </w:tcBorders>
            <w:shd w:val="clear" w:color="auto" w:fill="auto"/>
            <w:vAlign w:val="center"/>
            <w:hideMark/>
          </w:tcPr>
          <w:p w14:paraId="092F0C8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4.3.5 Fomentar la cultura de la inclusión a personas en situación de vulnerabilidad y minorías mediante brigadas en espacios públicos y educativos.</w:t>
            </w:r>
          </w:p>
        </w:tc>
        <w:tc>
          <w:tcPr>
            <w:tcW w:w="645" w:type="pct"/>
            <w:tcBorders>
              <w:top w:val="nil"/>
              <w:left w:val="nil"/>
              <w:bottom w:val="single" w:sz="4" w:space="0" w:color="auto"/>
              <w:right w:val="single" w:sz="4" w:space="0" w:color="auto"/>
            </w:tcBorders>
            <w:shd w:val="clear" w:color="auto" w:fill="auto"/>
            <w:vAlign w:val="center"/>
            <w:hideMark/>
          </w:tcPr>
          <w:p w14:paraId="6CFF918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brigadas llevadas a cabo respecto de la meta establecida por el DIF anualmente</w:t>
            </w:r>
          </w:p>
        </w:tc>
        <w:tc>
          <w:tcPr>
            <w:tcW w:w="610" w:type="pct"/>
            <w:tcBorders>
              <w:top w:val="nil"/>
              <w:left w:val="nil"/>
              <w:bottom w:val="single" w:sz="4" w:space="0" w:color="auto"/>
              <w:right w:val="single" w:sz="4" w:space="0" w:color="auto"/>
            </w:tcBorders>
            <w:shd w:val="clear" w:color="auto" w:fill="auto"/>
            <w:vAlign w:val="center"/>
            <w:hideMark/>
          </w:tcPr>
          <w:p w14:paraId="237E814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Llevar a cabo 50 brigadas en espacios públicos y educativos para el fomento de la cultura incluyente de manera anual durante el trienio </w:t>
            </w:r>
          </w:p>
        </w:tc>
        <w:tc>
          <w:tcPr>
            <w:tcW w:w="338" w:type="pct"/>
            <w:tcBorders>
              <w:top w:val="nil"/>
              <w:left w:val="nil"/>
              <w:bottom w:val="single" w:sz="4" w:space="0" w:color="auto"/>
              <w:right w:val="single" w:sz="4" w:space="0" w:color="auto"/>
            </w:tcBorders>
            <w:shd w:val="clear" w:color="auto" w:fill="auto"/>
            <w:vAlign w:val="center"/>
            <w:hideMark/>
          </w:tcPr>
          <w:p w14:paraId="4732FC5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0A06F37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47B5F01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29C9A65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6E0BD9C4"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4BACD51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40774F6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4.3.6</w:t>
            </w:r>
          </w:p>
        </w:tc>
        <w:tc>
          <w:tcPr>
            <w:tcW w:w="1062" w:type="pct"/>
            <w:tcBorders>
              <w:top w:val="nil"/>
              <w:left w:val="nil"/>
              <w:bottom w:val="single" w:sz="4" w:space="0" w:color="auto"/>
              <w:right w:val="single" w:sz="4" w:space="0" w:color="auto"/>
            </w:tcBorders>
            <w:shd w:val="clear" w:color="auto" w:fill="auto"/>
            <w:vAlign w:val="center"/>
            <w:hideMark/>
          </w:tcPr>
          <w:p w14:paraId="3C2D4AC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4.3.6 Implementar el modelo de inclusión social y deportiva.</w:t>
            </w:r>
          </w:p>
        </w:tc>
        <w:tc>
          <w:tcPr>
            <w:tcW w:w="645" w:type="pct"/>
            <w:tcBorders>
              <w:top w:val="nil"/>
              <w:left w:val="nil"/>
              <w:bottom w:val="single" w:sz="4" w:space="0" w:color="auto"/>
              <w:right w:val="single" w:sz="4" w:space="0" w:color="auto"/>
            </w:tcBorders>
            <w:shd w:val="clear" w:color="auto" w:fill="auto"/>
            <w:vAlign w:val="center"/>
            <w:hideMark/>
          </w:tcPr>
          <w:p w14:paraId="3099940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implementación del modelo</w:t>
            </w:r>
          </w:p>
        </w:tc>
        <w:tc>
          <w:tcPr>
            <w:tcW w:w="610" w:type="pct"/>
            <w:tcBorders>
              <w:top w:val="nil"/>
              <w:left w:val="nil"/>
              <w:bottom w:val="single" w:sz="4" w:space="0" w:color="auto"/>
              <w:right w:val="single" w:sz="4" w:space="0" w:color="auto"/>
            </w:tcBorders>
            <w:shd w:val="clear" w:color="auto" w:fill="auto"/>
            <w:vAlign w:val="center"/>
            <w:hideMark/>
          </w:tcPr>
          <w:p w14:paraId="0ED06FB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Implementar el modelo de inclusión social y deportiva durante el trienio</w:t>
            </w:r>
          </w:p>
        </w:tc>
        <w:tc>
          <w:tcPr>
            <w:tcW w:w="338" w:type="pct"/>
            <w:tcBorders>
              <w:top w:val="nil"/>
              <w:left w:val="nil"/>
              <w:bottom w:val="single" w:sz="4" w:space="0" w:color="auto"/>
              <w:right w:val="single" w:sz="4" w:space="0" w:color="auto"/>
            </w:tcBorders>
            <w:shd w:val="clear" w:color="auto" w:fill="auto"/>
            <w:vAlign w:val="center"/>
            <w:hideMark/>
          </w:tcPr>
          <w:p w14:paraId="6D5A888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4534CD6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15B9D0E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148FDC8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5248F33B"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57AE334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50F22D6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4.3.7</w:t>
            </w:r>
          </w:p>
        </w:tc>
        <w:tc>
          <w:tcPr>
            <w:tcW w:w="1062" w:type="pct"/>
            <w:tcBorders>
              <w:top w:val="nil"/>
              <w:left w:val="nil"/>
              <w:bottom w:val="single" w:sz="4" w:space="0" w:color="auto"/>
              <w:right w:val="single" w:sz="4" w:space="0" w:color="auto"/>
            </w:tcBorders>
            <w:shd w:val="clear" w:color="auto" w:fill="auto"/>
            <w:vAlign w:val="center"/>
            <w:hideMark/>
          </w:tcPr>
          <w:p w14:paraId="75C4462B" w14:textId="77777777" w:rsidR="00794EB9" w:rsidRPr="00794EB9" w:rsidRDefault="00794EB9" w:rsidP="00C307FB">
            <w:pPr>
              <w:spacing w:after="240"/>
              <w:rPr>
                <w:rFonts w:ascii="Arial" w:hAnsi="Arial" w:cs="Arial"/>
                <w:sz w:val="22"/>
                <w:szCs w:val="22"/>
                <w:lang w:eastAsia="es-MX"/>
              </w:rPr>
            </w:pPr>
            <w:r w:rsidRPr="00794EB9">
              <w:rPr>
                <w:rFonts w:ascii="Arial" w:hAnsi="Arial" w:cs="Arial"/>
                <w:sz w:val="22"/>
                <w:szCs w:val="22"/>
                <w:lang w:eastAsia="es-MX"/>
              </w:rPr>
              <w:t>VS. 4.3.7 Implementar un programa de acceso a la educación para todos.</w:t>
            </w:r>
          </w:p>
        </w:tc>
        <w:tc>
          <w:tcPr>
            <w:tcW w:w="645" w:type="pct"/>
            <w:tcBorders>
              <w:top w:val="nil"/>
              <w:left w:val="nil"/>
              <w:bottom w:val="single" w:sz="4" w:space="0" w:color="auto"/>
              <w:right w:val="single" w:sz="4" w:space="0" w:color="auto"/>
            </w:tcBorders>
            <w:shd w:val="clear" w:color="auto" w:fill="auto"/>
            <w:vAlign w:val="center"/>
            <w:hideMark/>
          </w:tcPr>
          <w:p w14:paraId="05C4CE9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implementación del modelo respecto de la meta anual</w:t>
            </w:r>
          </w:p>
        </w:tc>
        <w:tc>
          <w:tcPr>
            <w:tcW w:w="610" w:type="pct"/>
            <w:tcBorders>
              <w:top w:val="nil"/>
              <w:left w:val="nil"/>
              <w:bottom w:val="single" w:sz="4" w:space="0" w:color="auto"/>
              <w:right w:val="single" w:sz="4" w:space="0" w:color="auto"/>
            </w:tcBorders>
            <w:shd w:val="clear" w:color="auto" w:fill="auto"/>
            <w:vAlign w:val="center"/>
            <w:hideMark/>
          </w:tcPr>
          <w:p w14:paraId="6A36512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Implementar el Modelo León de participación ciudadana incluyente durante el trienio</w:t>
            </w:r>
          </w:p>
        </w:tc>
        <w:tc>
          <w:tcPr>
            <w:tcW w:w="338" w:type="pct"/>
            <w:tcBorders>
              <w:top w:val="nil"/>
              <w:left w:val="nil"/>
              <w:bottom w:val="single" w:sz="4" w:space="0" w:color="auto"/>
              <w:right w:val="single" w:sz="4" w:space="0" w:color="auto"/>
            </w:tcBorders>
            <w:shd w:val="clear" w:color="auto" w:fill="auto"/>
            <w:vAlign w:val="center"/>
            <w:hideMark/>
          </w:tcPr>
          <w:p w14:paraId="40D3CD8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1881CDF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46C7C04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7828DA3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60A1C302"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53A80A8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70A9C78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4.3.8</w:t>
            </w:r>
          </w:p>
        </w:tc>
        <w:tc>
          <w:tcPr>
            <w:tcW w:w="1062" w:type="pct"/>
            <w:tcBorders>
              <w:top w:val="nil"/>
              <w:left w:val="nil"/>
              <w:bottom w:val="single" w:sz="4" w:space="0" w:color="auto"/>
              <w:right w:val="single" w:sz="4" w:space="0" w:color="auto"/>
            </w:tcBorders>
            <w:shd w:val="clear" w:color="auto" w:fill="auto"/>
            <w:vAlign w:val="center"/>
            <w:hideMark/>
          </w:tcPr>
          <w:p w14:paraId="3C59172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VS.4.3.8Mantenimiento a centros gerontológicos del Sistema DIF para brindar una atención de mayor calidad</w:t>
            </w:r>
          </w:p>
        </w:tc>
        <w:tc>
          <w:tcPr>
            <w:tcW w:w="645" w:type="pct"/>
            <w:tcBorders>
              <w:top w:val="nil"/>
              <w:left w:val="nil"/>
              <w:bottom w:val="single" w:sz="4" w:space="0" w:color="auto"/>
              <w:right w:val="single" w:sz="4" w:space="0" w:color="auto"/>
            </w:tcBorders>
            <w:shd w:val="clear" w:color="auto" w:fill="auto"/>
            <w:vAlign w:val="center"/>
            <w:hideMark/>
          </w:tcPr>
          <w:p w14:paraId="40DA368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Porcentaje de personas beneficiadas con el mantenimiento a centros gerontológicos</w:t>
            </w:r>
          </w:p>
        </w:tc>
        <w:tc>
          <w:tcPr>
            <w:tcW w:w="610" w:type="pct"/>
            <w:tcBorders>
              <w:top w:val="nil"/>
              <w:left w:val="nil"/>
              <w:bottom w:val="single" w:sz="4" w:space="0" w:color="auto"/>
              <w:right w:val="single" w:sz="4" w:space="0" w:color="auto"/>
            </w:tcBorders>
            <w:shd w:val="clear" w:color="auto" w:fill="auto"/>
            <w:vAlign w:val="center"/>
            <w:hideMark/>
          </w:tcPr>
          <w:p w14:paraId="0E6A4FC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Beneficiar a 2,500 adultos mayores en el trienio mediante el mantenimiento a centros gerontológicos</w:t>
            </w:r>
          </w:p>
        </w:tc>
        <w:tc>
          <w:tcPr>
            <w:tcW w:w="338" w:type="pct"/>
            <w:tcBorders>
              <w:top w:val="nil"/>
              <w:left w:val="nil"/>
              <w:bottom w:val="single" w:sz="4" w:space="0" w:color="auto"/>
              <w:right w:val="single" w:sz="4" w:space="0" w:color="auto"/>
            </w:tcBorders>
            <w:shd w:val="clear" w:color="auto" w:fill="auto"/>
            <w:vAlign w:val="center"/>
            <w:hideMark/>
          </w:tcPr>
          <w:p w14:paraId="1F8264E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68649CF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22%</w:t>
            </w:r>
          </w:p>
        </w:tc>
        <w:tc>
          <w:tcPr>
            <w:tcW w:w="338" w:type="pct"/>
            <w:tcBorders>
              <w:top w:val="nil"/>
              <w:left w:val="nil"/>
              <w:bottom w:val="single" w:sz="4" w:space="0" w:color="auto"/>
              <w:right w:val="single" w:sz="4" w:space="0" w:color="auto"/>
            </w:tcBorders>
            <w:shd w:val="clear" w:color="auto" w:fill="auto"/>
            <w:vAlign w:val="center"/>
            <w:hideMark/>
          </w:tcPr>
          <w:p w14:paraId="76E6CDC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38" w:type="pct"/>
            <w:tcBorders>
              <w:top w:val="nil"/>
              <w:left w:val="nil"/>
              <w:bottom w:val="single" w:sz="4" w:space="0" w:color="auto"/>
              <w:right w:val="single" w:sz="4" w:space="0" w:color="auto"/>
            </w:tcBorders>
            <w:shd w:val="clear" w:color="auto" w:fill="auto"/>
            <w:vAlign w:val="center"/>
            <w:hideMark/>
          </w:tcPr>
          <w:p w14:paraId="0F70420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28%</w:t>
            </w:r>
          </w:p>
        </w:tc>
      </w:tr>
      <w:tr w:rsidR="00794EB9" w:rsidRPr="00794EB9" w14:paraId="75D6BD5C"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38C313F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2EE1EEA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4.3.9</w:t>
            </w:r>
          </w:p>
        </w:tc>
        <w:tc>
          <w:tcPr>
            <w:tcW w:w="1062" w:type="pct"/>
            <w:tcBorders>
              <w:top w:val="nil"/>
              <w:left w:val="nil"/>
              <w:bottom w:val="single" w:sz="4" w:space="0" w:color="auto"/>
              <w:right w:val="single" w:sz="4" w:space="0" w:color="auto"/>
            </w:tcBorders>
            <w:shd w:val="clear" w:color="auto" w:fill="auto"/>
            <w:vAlign w:val="center"/>
            <w:hideMark/>
          </w:tcPr>
          <w:p w14:paraId="2C8E5E0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4.3.9 Fortalecer a las asociaciones de sociedad civil que atienden de manera integral y brindan alojamiento a los adultos mayores en situación de vulnerabilidad. </w:t>
            </w:r>
          </w:p>
        </w:tc>
        <w:tc>
          <w:tcPr>
            <w:tcW w:w="645" w:type="pct"/>
            <w:tcBorders>
              <w:top w:val="nil"/>
              <w:left w:val="nil"/>
              <w:bottom w:val="single" w:sz="4" w:space="0" w:color="auto"/>
              <w:right w:val="single" w:sz="4" w:space="0" w:color="auto"/>
            </w:tcBorders>
            <w:shd w:val="clear" w:color="auto" w:fill="auto"/>
            <w:vAlign w:val="center"/>
            <w:hideMark/>
          </w:tcPr>
          <w:p w14:paraId="6CBA240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Numero de asociaciones beneficiadas </w:t>
            </w:r>
          </w:p>
        </w:tc>
        <w:tc>
          <w:tcPr>
            <w:tcW w:w="610" w:type="pct"/>
            <w:tcBorders>
              <w:top w:val="nil"/>
              <w:left w:val="nil"/>
              <w:bottom w:val="single" w:sz="4" w:space="0" w:color="auto"/>
              <w:right w:val="single" w:sz="4" w:space="0" w:color="auto"/>
            </w:tcBorders>
            <w:shd w:val="clear" w:color="auto" w:fill="auto"/>
            <w:vAlign w:val="center"/>
            <w:hideMark/>
          </w:tcPr>
          <w:p w14:paraId="3C06346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Beneficiar asociaciones que brindan alojamiento a los adultos mayores</w:t>
            </w:r>
          </w:p>
        </w:tc>
        <w:tc>
          <w:tcPr>
            <w:tcW w:w="338" w:type="pct"/>
            <w:tcBorders>
              <w:top w:val="nil"/>
              <w:left w:val="nil"/>
              <w:bottom w:val="single" w:sz="4" w:space="0" w:color="auto"/>
              <w:right w:val="single" w:sz="4" w:space="0" w:color="auto"/>
            </w:tcBorders>
            <w:shd w:val="clear" w:color="auto" w:fill="auto"/>
            <w:vAlign w:val="center"/>
            <w:hideMark/>
          </w:tcPr>
          <w:p w14:paraId="5515556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2E7AC95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22%</w:t>
            </w:r>
          </w:p>
        </w:tc>
        <w:tc>
          <w:tcPr>
            <w:tcW w:w="338" w:type="pct"/>
            <w:tcBorders>
              <w:top w:val="nil"/>
              <w:left w:val="nil"/>
              <w:bottom w:val="single" w:sz="4" w:space="0" w:color="auto"/>
              <w:right w:val="single" w:sz="4" w:space="0" w:color="auto"/>
            </w:tcBorders>
            <w:shd w:val="clear" w:color="auto" w:fill="auto"/>
            <w:vAlign w:val="center"/>
            <w:hideMark/>
          </w:tcPr>
          <w:p w14:paraId="378A851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38" w:type="pct"/>
            <w:tcBorders>
              <w:top w:val="nil"/>
              <w:left w:val="nil"/>
              <w:bottom w:val="single" w:sz="4" w:space="0" w:color="auto"/>
              <w:right w:val="single" w:sz="4" w:space="0" w:color="auto"/>
            </w:tcBorders>
            <w:shd w:val="clear" w:color="auto" w:fill="auto"/>
            <w:vAlign w:val="center"/>
            <w:hideMark/>
          </w:tcPr>
          <w:p w14:paraId="58209A9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28%</w:t>
            </w:r>
          </w:p>
        </w:tc>
      </w:tr>
      <w:tr w:rsidR="00794EB9" w:rsidRPr="00794EB9" w14:paraId="4EB1DFA8"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4A2B68F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7E6666A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4.3.10</w:t>
            </w:r>
          </w:p>
        </w:tc>
        <w:tc>
          <w:tcPr>
            <w:tcW w:w="1062" w:type="pct"/>
            <w:tcBorders>
              <w:top w:val="nil"/>
              <w:left w:val="nil"/>
              <w:bottom w:val="single" w:sz="4" w:space="0" w:color="auto"/>
              <w:right w:val="single" w:sz="4" w:space="0" w:color="auto"/>
            </w:tcBorders>
            <w:shd w:val="clear" w:color="auto" w:fill="auto"/>
            <w:vAlign w:val="center"/>
            <w:hideMark/>
          </w:tcPr>
          <w:p w14:paraId="397C105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4.3.10 Brindar atención del cuidador primario para el mejor desempeño social y médico del cuidado de su paciente.</w:t>
            </w:r>
          </w:p>
        </w:tc>
        <w:tc>
          <w:tcPr>
            <w:tcW w:w="645" w:type="pct"/>
            <w:tcBorders>
              <w:top w:val="nil"/>
              <w:left w:val="nil"/>
              <w:bottom w:val="single" w:sz="4" w:space="0" w:color="auto"/>
              <w:right w:val="single" w:sz="4" w:space="0" w:color="auto"/>
            </w:tcBorders>
            <w:shd w:val="clear" w:color="auto" w:fill="auto"/>
            <w:vAlign w:val="center"/>
            <w:hideMark/>
          </w:tcPr>
          <w:p w14:paraId="678BE27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cuidadores atendidas respecto del total  </w:t>
            </w:r>
          </w:p>
        </w:tc>
        <w:tc>
          <w:tcPr>
            <w:tcW w:w="610" w:type="pct"/>
            <w:tcBorders>
              <w:top w:val="nil"/>
              <w:left w:val="nil"/>
              <w:bottom w:val="single" w:sz="4" w:space="0" w:color="auto"/>
              <w:right w:val="single" w:sz="4" w:space="0" w:color="auto"/>
            </w:tcBorders>
            <w:shd w:val="clear" w:color="auto" w:fill="auto"/>
            <w:vAlign w:val="center"/>
            <w:hideMark/>
          </w:tcPr>
          <w:p w14:paraId="7C7D1CD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Brindar atención de los cuidadores primarios que conformen el programa, para el mejor desempeño social y médico con el cuidado de su paciente durante el trienio.</w:t>
            </w:r>
          </w:p>
        </w:tc>
        <w:tc>
          <w:tcPr>
            <w:tcW w:w="338" w:type="pct"/>
            <w:tcBorders>
              <w:top w:val="nil"/>
              <w:left w:val="nil"/>
              <w:bottom w:val="single" w:sz="4" w:space="0" w:color="auto"/>
              <w:right w:val="single" w:sz="4" w:space="0" w:color="auto"/>
            </w:tcBorders>
            <w:shd w:val="clear" w:color="auto" w:fill="auto"/>
            <w:vAlign w:val="center"/>
            <w:hideMark/>
          </w:tcPr>
          <w:p w14:paraId="66C95EB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56438C3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24%</w:t>
            </w:r>
          </w:p>
        </w:tc>
        <w:tc>
          <w:tcPr>
            <w:tcW w:w="338" w:type="pct"/>
            <w:tcBorders>
              <w:top w:val="nil"/>
              <w:left w:val="nil"/>
              <w:bottom w:val="single" w:sz="4" w:space="0" w:color="auto"/>
              <w:right w:val="single" w:sz="4" w:space="0" w:color="auto"/>
            </w:tcBorders>
            <w:shd w:val="clear" w:color="auto" w:fill="auto"/>
            <w:vAlign w:val="center"/>
            <w:hideMark/>
          </w:tcPr>
          <w:p w14:paraId="7867E05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42%</w:t>
            </w:r>
          </w:p>
        </w:tc>
        <w:tc>
          <w:tcPr>
            <w:tcW w:w="338" w:type="pct"/>
            <w:tcBorders>
              <w:top w:val="nil"/>
              <w:left w:val="nil"/>
              <w:bottom w:val="single" w:sz="4" w:space="0" w:color="auto"/>
              <w:right w:val="single" w:sz="4" w:space="0" w:color="auto"/>
            </w:tcBorders>
            <w:shd w:val="clear" w:color="auto" w:fill="auto"/>
            <w:vAlign w:val="center"/>
            <w:hideMark/>
          </w:tcPr>
          <w:p w14:paraId="441758A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54DA8AAB"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18DDFEB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178134F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4.3.11</w:t>
            </w:r>
          </w:p>
        </w:tc>
        <w:tc>
          <w:tcPr>
            <w:tcW w:w="1062" w:type="pct"/>
            <w:tcBorders>
              <w:top w:val="nil"/>
              <w:left w:val="nil"/>
              <w:bottom w:val="single" w:sz="4" w:space="0" w:color="auto"/>
              <w:right w:val="single" w:sz="4" w:space="0" w:color="auto"/>
            </w:tcBorders>
            <w:shd w:val="clear" w:color="auto" w:fill="auto"/>
            <w:vAlign w:val="center"/>
            <w:hideMark/>
          </w:tcPr>
          <w:p w14:paraId="52D94E4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4.3.11 Apoyar a proyectos productivos de migrantes en retorno.</w:t>
            </w:r>
          </w:p>
        </w:tc>
        <w:tc>
          <w:tcPr>
            <w:tcW w:w="645" w:type="pct"/>
            <w:tcBorders>
              <w:top w:val="nil"/>
              <w:left w:val="nil"/>
              <w:bottom w:val="single" w:sz="4" w:space="0" w:color="auto"/>
              <w:right w:val="single" w:sz="4" w:space="0" w:color="auto"/>
            </w:tcBorders>
            <w:shd w:val="clear" w:color="auto" w:fill="auto"/>
            <w:vAlign w:val="center"/>
            <w:hideMark/>
          </w:tcPr>
          <w:p w14:paraId="759BF6B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migrantes apoyados respecto del total</w:t>
            </w:r>
          </w:p>
        </w:tc>
        <w:tc>
          <w:tcPr>
            <w:tcW w:w="610" w:type="pct"/>
            <w:tcBorders>
              <w:top w:val="nil"/>
              <w:left w:val="nil"/>
              <w:bottom w:val="single" w:sz="4" w:space="0" w:color="auto"/>
              <w:right w:val="single" w:sz="4" w:space="0" w:color="auto"/>
            </w:tcBorders>
            <w:shd w:val="clear" w:color="auto" w:fill="auto"/>
            <w:vAlign w:val="center"/>
            <w:hideMark/>
          </w:tcPr>
          <w:p w14:paraId="7B55BCC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Apoyar proyectos productivos de migrantes en retorno que conformen el programa durante el trienio.</w:t>
            </w:r>
          </w:p>
        </w:tc>
        <w:tc>
          <w:tcPr>
            <w:tcW w:w="338" w:type="pct"/>
            <w:tcBorders>
              <w:top w:val="nil"/>
              <w:left w:val="nil"/>
              <w:bottom w:val="single" w:sz="4" w:space="0" w:color="auto"/>
              <w:right w:val="single" w:sz="4" w:space="0" w:color="auto"/>
            </w:tcBorders>
            <w:shd w:val="clear" w:color="auto" w:fill="auto"/>
            <w:vAlign w:val="center"/>
            <w:hideMark/>
          </w:tcPr>
          <w:p w14:paraId="2337EB8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335417D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25%</w:t>
            </w:r>
          </w:p>
        </w:tc>
        <w:tc>
          <w:tcPr>
            <w:tcW w:w="338" w:type="pct"/>
            <w:tcBorders>
              <w:top w:val="nil"/>
              <w:left w:val="nil"/>
              <w:bottom w:val="single" w:sz="4" w:space="0" w:color="auto"/>
              <w:right w:val="single" w:sz="4" w:space="0" w:color="auto"/>
            </w:tcBorders>
            <w:shd w:val="clear" w:color="auto" w:fill="auto"/>
            <w:vAlign w:val="center"/>
            <w:hideMark/>
          </w:tcPr>
          <w:p w14:paraId="3C22DBC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38%</w:t>
            </w:r>
          </w:p>
        </w:tc>
        <w:tc>
          <w:tcPr>
            <w:tcW w:w="338" w:type="pct"/>
            <w:tcBorders>
              <w:top w:val="nil"/>
              <w:left w:val="nil"/>
              <w:bottom w:val="single" w:sz="4" w:space="0" w:color="auto"/>
              <w:right w:val="single" w:sz="4" w:space="0" w:color="auto"/>
            </w:tcBorders>
            <w:shd w:val="clear" w:color="auto" w:fill="auto"/>
            <w:vAlign w:val="center"/>
            <w:hideMark/>
          </w:tcPr>
          <w:p w14:paraId="20576C1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38%</w:t>
            </w:r>
          </w:p>
        </w:tc>
      </w:tr>
      <w:tr w:rsidR="00794EB9" w:rsidRPr="00794EB9" w14:paraId="1FD7A115"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5F06939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1A580C8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4.3.12</w:t>
            </w:r>
          </w:p>
        </w:tc>
        <w:tc>
          <w:tcPr>
            <w:tcW w:w="1062" w:type="pct"/>
            <w:tcBorders>
              <w:top w:val="nil"/>
              <w:left w:val="nil"/>
              <w:bottom w:val="single" w:sz="4" w:space="0" w:color="auto"/>
              <w:right w:val="single" w:sz="4" w:space="0" w:color="auto"/>
            </w:tcBorders>
            <w:shd w:val="clear" w:color="auto" w:fill="auto"/>
            <w:vAlign w:val="center"/>
            <w:hideMark/>
          </w:tcPr>
          <w:p w14:paraId="3EE54B4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4.3.12 Fomentar la internacionalización de las acciones de inclusión del municipio de León a través de la colaboración con organismos, asociaciones o gobiernos nacionales o internacionales. </w:t>
            </w:r>
          </w:p>
        </w:tc>
        <w:tc>
          <w:tcPr>
            <w:tcW w:w="645" w:type="pct"/>
            <w:tcBorders>
              <w:top w:val="nil"/>
              <w:left w:val="nil"/>
              <w:bottom w:val="single" w:sz="4" w:space="0" w:color="auto"/>
              <w:right w:val="single" w:sz="4" w:space="0" w:color="auto"/>
            </w:tcBorders>
            <w:shd w:val="clear" w:color="auto" w:fill="auto"/>
            <w:vAlign w:val="center"/>
            <w:hideMark/>
          </w:tcPr>
          <w:p w14:paraId="7D8560B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implementación del convenio de colaboración con organismos, asociaciones o gobiernos nacionales o internacionales.</w:t>
            </w:r>
          </w:p>
        </w:tc>
        <w:tc>
          <w:tcPr>
            <w:tcW w:w="610" w:type="pct"/>
            <w:tcBorders>
              <w:top w:val="nil"/>
              <w:left w:val="nil"/>
              <w:bottom w:val="single" w:sz="4" w:space="0" w:color="auto"/>
              <w:right w:val="single" w:sz="4" w:space="0" w:color="auto"/>
            </w:tcBorders>
            <w:shd w:val="clear" w:color="auto" w:fill="auto"/>
            <w:vAlign w:val="center"/>
            <w:hideMark/>
          </w:tcPr>
          <w:p w14:paraId="00DB633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Implementar el convenio de colaboración con organismos, asociaciones o gobiernos nacionales o internacionales.</w:t>
            </w:r>
          </w:p>
        </w:tc>
        <w:tc>
          <w:tcPr>
            <w:tcW w:w="338" w:type="pct"/>
            <w:tcBorders>
              <w:top w:val="nil"/>
              <w:left w:val="nil"/>
              <w:bottom w:val="single" w:sz="4" w:space="0" w:color="auto"/>
              <w:right w:val="single" w:sz="4" w:space="0" w:color="auto"/>
            </w:tcBorders>
            <w:shd w:val="clear" w:color="auto" w:fill="auto"/>
            <w:vAlign w:val="center"/>
            <w:hideMark/>
          </w:tcPr>
          <w:p w14:paraId="7B79BA4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07ECF1D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25%</w:t>
            </w:r>
          </w:p>
        </w:tc>
        <w:tc>
          <w:tcPr>
            <w:tcW w:w="338" w:type="pct"/>
            <w:tcBorders>
              <w:top w:val="nil"/>
              <w:left w:val="nil"/>
              <w:bottom w:val="single" w:sz="4" w:space="0" w:color="auto"/>
              <w:right w:val="single" w:sz="4" w:space="0" w:color="auto"/>
            </w:tcBorders>
            <w:shd w:val="clear" w:color="auto" w:fill="auto"/>
            <w:vAlign w:val="center"/>
            <w:hideMark/>
          </w:tcPr>
          <w:p w14:paraId="2806B0A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58%</w:t>
            </w:r>
          </w:p>
        </w:tc>
        <w:tc>
          <w:tcPr>
            <w:tcW w:w="338" w:type="pct"/>
            <w:tcBorders>
              <w:top w:val="nil"/>
              <w:left w:val="nil"/>
              <w:bottom w:val="single" w:sz="4" w:space="0" w:color="auto"/>
              <w:right w:val="single" w:sz="4" w:space="0" w:color="auto"/>
            </w:tcBorders>
            <w:shd w:val="clear" w:color="auto" w:fill="auto"/>
            <w:vAlign w:val="center"/>
            <w:hideMark/>
          </w:tcPr>
          <w:p w14:paraId="23B2DD1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17%</w:t>
            </w:r>
          </w:p>
        </w:tc>
      </w:tr>
      <w:tr w:rsidR="00794EB9" w:rsidRPr="00794EB9" w14:paraId="686CEBDD"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2E4B562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1B35FB5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4.3.13</w:t>
            </w:r>
          </w:p>
        </w:tc>
        <w:tc>
          <w:tcPr>
            <w:tcW w:w="1062" w:type="pct"/>
            <w:tcBorders>
              <w:top w:val="nil"/>
              <w:left w:val="nil"/>
              <w:bottom w:val="single" w:sz="4" w:space="0" w:color="auto"/>
              <w:right w:val="single" w:sz="4" w:space="0" w:color="auto"/>
            </w:tcBorders>
            <w:shd w:val="clear" w:color="auto" w:fill="auto"/>
            <w:vAlign w:val="center"/>
            <w:hideMark/>
          </w:tcPr>
          <w:p w14:paraId="00F880F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4.3.13 Desarrollar una estrategia de campañas y talleres de fomento a la Inclusión Social y Derechos Humanos para funcionarios públicos de atención directa a la ciudadanía por parte de todas las dependencias.</w:t>
            </w:r>
          </w:p>
        </w:tc>
        <w:tc>
          <w:tcPr>
            <w:tcW w:w="645" w:type="pct"/>
            <w:tcBorders>
              <w:top w:val="nil"/>
              <w:left w:val="nil"/>
              <w:bottom w:val="single" w:sz="4" w:space="0" w:color="auto"/>
              <w:right w:val="single" w:sz="4" w:space="0" w:color="auto"/>
            </w:tcBorders>
            <w:shd w:val="clear" w:color="auto" w:fill="auto"/>
            <w:vAlign w:val="center"/>
            <w:hideMark/>
          </w:tcPr>
          <w:p w14:paraId="5878525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el desarrollo de la estrategia</w:t>
            </w:r>
          </w:p>
        </w:tc>
        <w:tc>
          <w:tcPr>
            <w:tcW w:w="610" w:type="pct"/>
            <w:tcBorders>
              <w:top w:val="nil"/>
              <w:left w:val="nil"/>
              <w:bottom w:val="single" w:sz="4" w:space="0" w:color="auto"/>
              <w:right w:val="single" w:sz="4" w:space="0" w:color="auto"/>
            </w:tcBorders>
            <w:shd w:val="clear" w:color="auto" w:fill="auto"/>
            <w:vAlign w:val="center"/>
            <w:hideMark/>
          </w:tcPr>
          <w:p w14:paraId="1AFB4F1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Desarrollar la estrategia de campañas y talleres de fomento a la Inclusión Social y Derechos Humanos para funcionarios públicos de atención directa a la ciudadanía </w:t>
            </w:r>
          </w:p>
        </w:tc>
        <w:tc>
          <w:tcPr>
            <w:tcW w:w="338" w:type="pct"/>
            <w:tcBorders>
              <w:top w:val="nil"/>
              <w:left w:val="nil"/>
              <w:bottom w:val="single" w:sz="4" w:space="0" w:color="auto"/>
              <w:right w:val="single" w:sz="4" w:space="0" w:color="auto"/>
            </w:tcBorders>
            <w:shd w:val="clear" w:color="auto" w:fill="auto"/>
            <w:vAlign w:val="center"/>
            <w:hideMark/>
          </w:tcPr>
          <w:p w14:paraId="3616CE5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23F7ED4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32%</w:t>
            </w:r>
          </w:p>
        </w:tc>
        <w:tc>
          <w:tcPr>
            <w:tcW w:w="338" w:type="pct"/>
            <w:tcBorders>
              <w:top w:val="nil"/>
              <w:left w:val="nil"/>
              <w:bottom w:val="single" w:sz="4" w:space="0" w:color="auto"/>
              <w:right w:val="single" w:sz="4" w:space="0" w:color="auto"/>
            </w:tcBorders>
            <w:shd w:val="clear" w:color="auto" w:fill="auto"/>
            <w:vAlign w:val="center"/>
            <w:hideMark/>
          </w:tcPr>
          <w:p w14:paraId="795588D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616E883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35%</w:t>
            </w:r>
          </w:p>
        </w:tc>
      </w:tr>
      <w:tr w:rsidR="00794EB9" w:rsidRPr="00794EB9" w14:paraId="006368D4"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35A1727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0DB1691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4.3.14</w:t>
            </w:r>
          </w:p>
        </w:tc>
        <w:tc>
          <w:tcPr>
            <w:tcW w:w="1062" w:type="pct"/>
            <w:tcBorders>
              <w:top w:val="nil"/>
              <w:left w:val="nil"/>
              <w:bottom w:val="single" w:sz="4" w:space="0" w:color="auto"/>
              <w:right w:val="single" w:sz="4" w:space="0" w:color="auto"/>
            </w:tcBorders>
            <w:shd w:val="clear" w:color="auto" w:fill="auto"/>
            <w:vAlign w:val="center"/>
            <w:hideMark/>
          </w:tcPr>
          <w:p w14:paraId="6A198F1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4.3.14 Realizar obras para mejorar la accesibilidad a zonas rurales, dar mantenimiento correctivo de vialidades internas y de conexión, mejorar la infraestructura vial en caminos rurales.</w:t>
            </w:r>
          </w:p>
        </w:tc>
        <w:tc>
          <w:tcPr>
            <w:tcW w:w="645" w:type="pct"/>
            <w:tcBorders>
              <w:top w:val="nil"/>
              <w:left w:val="nil"/>
              <w:bottom w:val="single" w:sz="4" w:space="0" w:color="auto"/>
              <w:right w:val="single" w:sz="4" w:space="0" w:color="auto"/>
            </w:tcBorders>
            <w:shd w:val="clear" w:color="auto" w:fill="auto"/>
            <w:vAlign w:val="center"/>
            <w:hideMark/>
          </w:tcPr>
          <w:p w14:paraId="7193493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obras realizadas respecto del total previstas</w:t>
            </w:r>
          </w:p>
        </w:tc>
        <w:tc>
          <w:tcPr>
            <w:tcW w:w="610" w:type="pct"/>
            <w:tcBorders>
              <w:top w:val="nil"/>
              <w:left w:val="nil"/>
              <w:bottom w:val="single" w:sz="4" w:space="0" w:color="auto"/>
              <w:right w:val="single" w:sz="4" w:space="0" w:color="auto"/>
            </w:tcBorders>
            <w:shd w:val="clear" w:color="auto" w:fill="auto"/>
            <w:vAlign w:val="center"/>
            <w:hideMark/>
          </w:tcPr>
          <w:p w14:paraId="4998BC28" w14:textId="77777777" w:rsid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Realizar las obras de mantenimiento correctivo de vialidades internas y de conexión entre localidades rurales, derivados de contingencias </w:t>
            </w:r>
            <w:r w:rsidR="0046746F">
              <w:rPr>
                <w:rFonts w:ascii="Arial" w:hAnsi="Arial" w:cs="Arial"/>
                <w:sz w:val="22"/>
                <w:szCs w:val="22"/>
                <w:lang w:eastAsia="es-MX"/>
              </w:rPr>
              <w:t>por fenómenos meteorológicos. 55</w:t>
            </w:r>
            <w:r w:rsidRPr="00794EB9">
              <w:rPr>
                <w:rFonts w:ascii="Arial" w:hAnsi="Arial" w:cs="Arial"/>
                <w:sz w:val="22"/>
                <w:szCs w:val="22"/>
                <w:lang w:eastAsia="es-MX"/>
              </w:rPr>
              <w:t xml:space="preserve"> obras.  Construcción, ampliación y mantenimiento de la infraestructura </w:t>
            </w:r>
            <w:r w:rsidR="0046746F">
              <w:rPr>
                <w:rFonts w:ascii="Arial" w:hAnsi="Arial" w:cs="Arial"/>
                <w:sz w:val="22"/>
                <w:szCs w:val="22"/>
                <w:lang w:eastAsia="es-MX"/>
              </w:rPr>
              <w:t>vial en caminos rurales 52</w:t>
            </w:r>
            <w:r w:rsidRPr="00794EB9">
              <w:rPr>
                <w:rFonts w:ascii="Arial" w:hAnsi="Arial" w:cs="Arial"/>
                <w:sz w:val="22"/>
                <w:szCs w:val="22"/>
                <w:lang w:eastAsia="es-MX"/>
              </w:rPr>
              <w:t xml:space="preserve"> obras. Construcción, ampliación y mantenimiento de la infraestructura vial en caminos sacacosechas, 27 obras. Construcción, ampliación y mantenimiento de la infraestructura vial en </w:t>
            </w:r>
            <w:r w:rsidRPr="00794EB9">
              <w:rPr>
                <w:rFonts w:ascii="Arial" w:hAnsi="Arial" w:cs="Arial"/>
                <w:sz w:val="22"/>
                <w:szCs w:val="22"/>
                <w:lang w:eastAsia="es-MX"/>
              </w:rPr>
              <w:lastRenderedPageBreak/>
              <w:t>calles in</w:t>
            </w:r>
            <w:r w:rsidR="0046746F">
              <w:rPr>
                <w:rFonts w:ascii="Arial" w:hAnsi="Arial" w:cs="Arial"/>
                <w:sz w:val="22"/>
                <w:szCs w:val="22"/>
                <w:lang w:eastAsia="es-MX"/>
              </w:rPr>
              <w:t>ternas de comunidades rurales, 3</w:t>
            </w:r>
            <w:r w:rsidRPr="00794EB9">
              <w:rPr>
                <w:rFonts w:ascii="Arial" w:hAnsi="Arial" w:cs="Arial"/>
                <w:sz w:val="22"/>
                <w:szCs w:val="22"/>
                <w:lang w:eastAsia="es-MX"/>
              </w:rPr>
              <w:t xml:space="preserve"> obras, durante el trienio.</w:t>
            </w:r>
          </w:p>
          <w:p w14:paraId="3A6D6182" w14:textId="4507036D" w:rsidR="0046746F" w:rsidRPr="0046746F" w:rsidRDefault="0069081C" w:rsidP="00C307FB">
            <w:pPr>
              <w:jc w:val="center"/>
              <w:rPr>
                <w:rFonts w:ascii="Arial" w:hAnsi="Arial" w:cs="Arial"/>
                <w:b/>
                <w:sz w:val="18"/>
                <w:szCs w:val="18"/>
                <w:lang w:eastAsia="es-MX"/>
              </w:rPr>
            </w:pPr>
            <w:r>
              <w:rPr>
                <w:rFonts w:ascii="Arial" w:hAnsi="Arial" w:cs="Arial"/>
                <w:b/>
                <w:color w:val="002060"/>
                <w:sz w:val="18"/>
                <w:szCs w:val="18"/>
                <w:lang w:eastAsia="es-MX"/>
              </w:rPr>
              <w:t>Meta disminuida</w:t>
            </w:r>
            <w:r w:rsidR="0046746F" w:rsidRPr="0046746F">
              <w:rPr>
                <w:rFonts w:ascii="Arial" w:hAnsi="Arial" w:cs="Arial"/>
                <w:b/>
                <w:color w:val="002060"/>
                <w:sz w:val="18"/>
                <w:szCs w:val="18"/>
                <w:lang w:eastAsia="es-MX"/>
              </w:rPr>
              <w:t xml:space="preserve"> P.O. 27-12-2022</w:t>
            </w:r>
          </w:p>
        </w:tc>
        <w:tc>
          <w:tcPr>
            <w:tcW w:w="338" w:type="pct"/>
            <w:tcBorders>
              <w:top w:val="nil"/>
              <w:left w:val="nil"/>
              <w:bottom w:val="single" w:sz="4" w:space="0" w:color="auto"/>
              <w:right w:val="single" w:sz="4" w:space="0" w:color="auto"/>
            </w:tcBorders>
            <w:shd w:val="clear" w:color="auto" w:fill="auto"/>
            <w:vAlign w:val="center"/>
            <w:hideMark/>
          </w:tcPr>
          <w:p w14:paraId="1142827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lastRenderedPageBreak/>
              <w:t>0%</w:t>
            </w:r>
          </w:p>
        </w:tc>
        <w:tc>
          <w:tcPr>
            <w:tcW w:w="390" w:type="pct"/>
            <w:tcBorders>
              <w:top w:val="nil"/>
              <w:left w:val="nil"/>
              <w:bottom w:val="single" w:sz="4" w:space="0" w:color="auto"/>
              <w:right w:val="single" w:sz="4" w:space="0" w:color="auto"/>
            </w:tcBorders>
            <w:shd w:val="clear" w:color="auto" w:fill="auto"/>
            <w:vAlign w:val="center"/>
            <w:hideMark/>
          </w:tcPr>
          <w:p w14:paraId="3F9482B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38" w:type="pct"/>
            <w:tcBorders>
              <w:top w:val="nil"/>
              <w:left w:val="nil"/>
              <w:bottom w:val="single" w:sz="4" w:space="0" w:color="auto"/>
              <w:right w:val="single" w:sz="4" w:space="0" w:color="auto"/>
            </w:tcBorders>
            <w:shd w:val="clear" w:color="auto" w:fill="auto"/>
            <w:vAlign w:val="center"/>
            <w:hideMark/>
          </w:tcPr>
          <w:p w14:paraId="3F68BFF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28%</w:t>
            </w:r>
          </w:p>
        </w:tc>
        <w:tc>
          <w:tcPr>
            <w:tcW w:w="338" w:type="pct"/>
            <w:tcBorders>
              <w:top w:val="nil"/>
              <w:left w:val="nil"/>
              <w:bottom w:val="single" w:sz="4" w:space="0" w:color="auto"/>
              <w:right w:val="single" w:sz="4" w:space="0" w:color="auto"/>
            </w:tcBorders>
            <w:shd w:val="clear" w:color="auto" w:fill="auto"/>
            <w:vAlign w:val="center"/>
            <w:hideMark/>
          </w:tcPr>
          <w:p w14:paraId="309933C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32%</w:t>
            </w:r>
          </w:p>
        </w:tc>
      </w:tr>
      <w:tr w:rsidR="00794EB9" w:rsidRPr="00794EB9" w14:paraId="0DCC2043"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00B94E3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5FF9FBC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4.3.15</w:t>
            </w:r>
          </w:p>
        </w:tc>
        <w:tc>
          <w:tcPr>
            <w:tcW w:w="1062" w:type="pct"/>
            <w:tcBorders>
              <w:top w:val="nil"/>
              <w:left w:val="nil"/>
              <w:bottom w:val="single" w:sz="4" w:space="0" w:color="auto"/>
              <w:right w:val="single" w:sz="4" w:space="0" w:color="auto"/>
            </w:tcBorders>
            <w:shd w:val="clear" w:color="auto" w:fill="auto"/>
            <w:vAlign w:val="center"/>
            <w:hideMark/>
          </w:tcPr>
          <w:p w14:paraId="143CF62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 VS. 4.3.15 Brindar atención a Personas Migrantes y Jornaleros.</w:t>
            </w:r>
          </w:p>
        </w:tc>
        <w:tc>
          <w:tcPr>
            <w:tcW w:w="645" w:type="pct"/>
            <w:tcBorders>
              <w:top w:val="nil"/>
              <w:left w:val="nil"/>
              <w:bottom w:val="single" w:sz="4" w:space="0" w:color="auto"/>
              <w:right w:val="single" w:sz="4" w:space="0" w:color="auto"/>
            </w:tcBorders>
            <w:shd w:val="clear" w:color="auto" w:fill="auto"/>
            <w:vAlign w:val="center"/>
            <w:hideMark/>
          </w:tcPr>
          <w:p w14:paraId="7E50BA26" w14:textId="77777777" w:rsidR="00794EB9" w:rsidRDefault="00900446" w:rsidP="00C307FB">
            <w:pPr>
              <w:jc w:val="center"/>
              <w:rPr>
                <w:rFonts w:ascii="Arial" w:hAnsi="Arial" w:cs="Arial"/>
                <w:sz w:val="22"/>
                <w:szCs w:val="22"/>
                <w:lang w:eastAsia="es-MX"/>
              </w:rPr>
            </w:pPr>
            <w:r w:rsidRPr="00900446">
              <w:rPr>
                <w:rFonts w:ascii="Arial" w:hAnsi="Arial" w:cs="Arial"/>
                <w:sz w:val="22"/>
                <w:szCs w:val="22"/>
                <w:lang w:eastAsia="es-MX"/>
              </w:rPr>
              <w:t>Porcentaje de personas migrantes y jornaleras atendidas</w:t>
            </w:r>
          </w:p>
          <w:p w14:paraId="7A02432E" w14:textId="77777777" w:rsidR="00900446" w:rsidRDefault="00900446" w:rsidP="00C307FB">
            <w:pPr>
              <w:jc w:val="center"/>
              <w:rPr>
                <w:rFonts w:ascii="Arial" w:hAnsi="Arial" w:cs="Arial"/>
                <w:sz w:val="22"/>
                <w:szCs w:val="22"/>
                <w:lang w:eastAsia="es-MX"/>
              </w:rPr>
            </w:pPr>
          </w:p>
          <w:p w14:paraId="01BCABDD" w14:textId="43BBC4EB" w:rsidR="00900446" w:rsidRPr="00900446" w:rsidRDefault="00900446" w:rsidP="00C307FB">
            <w:pPr>
              <w:jc w:val="center"/>
              <w:rPr>
                <w:rFonts w:ascii="Arial" w:hAnsi="Arial" w:cs="Arial"/>
                <w:b/>
                <w:sz w:val="16"/>
                <w:szCs w:val="16"/>
                <w:lang w:eastAsia="es-MX"/>
              </w:rPr>
            </w:pPr>
            <w:r w:rsidRPr="00900446">
              <w:rPr>
                <w:rFonts w:ascii="Arial" w:hAnsi="Arial" w:cs="Arial"/>
                <w:b/>
                <w:color w:val="002060"/>
                <w:sz w:val="16"/>
                <w:szCs w:val="16"/>
                <w:lang w:eastAsia="es-MX"/>
              </w:rPr>
              <w:t>Nombre del indicador modificado P.O. 27-12-2022</w:t>
            </w:r>
          </w:p>
        </w:tc>
        <w:tc>
          <w:tcPr>
            <w:tcW w:w="610" w:type="pct"/>
            <w:tcBorders>
              <w:top w:val="nil"/>
              <w:left w:val="nil"/>
              <w:bottom w:val="single" w:sz="4" w:space="0" w:color="auto"/>
              <w:right w:val="single" w:sz="4" w:space="0" w:color="auto"/>
            </w:tcBorders>
            <w:shd w:val="clear" w:color="auto" w:fill="auto"/>
            <w:vAlign w:val="center"/>
            <w:hideMark/>
          </w:tcPr>
          <w:p w14:paraId="6AA6EF63" w14:textId="77777777" w:rsidR="00794EB9" w:rsidRDefault="00794EB9" w:rsidP="00C307FB">
            <w:pPr>
              <w:jc w:val="center"/>
              <w:rPr>
                <w:rFonts w:ascii="Arial" w:hAnsi="Arial" w:cs="Arial"/>
                <w:b/>
                <w:sz w:val="18"/>
                <w:szCs w:val="18"/>
              </w:rPr>
            </w:pPr>
            <w:r w:rsidRPr="00794EB9">
              <w:rPr>
                <w:rFonts w:ascii="Arial" w:hAnsi="Arial" w:cs="Arial"/>
                <w:sz w:val="22"/>
                <w:szCs w:val="22"/>
                <w:lang w:eastAsia="es-MX"/>
              </w:rPr>
              <w:t xml:space="preserve"> </w:t>
            </w:r>
            <w:r w:rsidR="00900446" w:rsidRPr="00900446">
              <w:rPr>
                <w:rFonts w:ascii="Arial" w:hAnsi="Arial" w:cs="Arial"/>
                <w:sz w:val="22"/>
                <w:szCs w:val="22"/>
                <w:lang w:eastAsia="es-MX"/>
              </w:rPr>
              <w:t>Dar atención  a 12 mil personas migrantes y jornaleras durante el trienio, sin dejar de atender a aquellas personas que por su calidad lo requieran.</w:t>
            </w:r>
          </w:p>
          <w:p w14:paraId="678B04FF" w14:textId="77777777" w:rsidR="00900446" w:rsidRDefault="00900446" w:rsidP="00C307FB">
            <w:pPr>
              <w:jc w:val="center"/>
              <w:rPr>
                <w:rFonts w:ascii="Arial" w:hAnsi="Arial" w:cs="Arial"/>
                <w:b/>
                <w:color w:val="002060"/>
                <w:sz w:val="16"/>
                <w:szCs w:val="16"/>
                <w:lang w:eastAsia="es-MX"/>
              </w:rPr>
            </w:pPr>
          </w:p>
          <w:p w14:paraId="3E19E167" w14:textId="131BEF50" w:rsidR="00900446" w:rsidRPr="00794EB9" w:rsidRDefault="00900446" w:rsidP="00F17E23">
            <w:pPr>
              <w:jc w:val="center"/>
              <w:rPr>
                <w:rFonts w:ascii="Arial" w:hAnsi="Arial" w:cs="Arial"/>
                <w:sz w:val="22"/>
                <w:szCs w:val="22"/>
                <w:lang w:eastAsia="es-MX"/>
              </w:rPr>
            </w:pPr>
            <w:r>
              <w:rPr>
                <w:rFonts w:ascii="Arial" w:hAnsi="Arial" w:cs="Arial"/>
                <w:b/>
                <w:color w:val="002060"/>
                <w:sz w:val="16"/>
                <w:szCs w:val="16"/>
                <w:lang w:eastAsia="es-MX"/>
              </w:rPr>
              <w:t xml:space="preserve">Meta </w:t>
            </w:r>
            <w:r w:rsidR="00F17E23">
              <w:rPr>
                <w:rFonts w:ascii="Arial" w:hAnsi="Arial" w:cs="Arial"/>
                <w:b/>
                <w:color w:val="002060"/>
                <w:sz w:val="16"/>
                <w:szCs w:val="16"/>
                <w:lang w:eastAsia="es-MX"/>
              </w:rPr>
              <w:t>incrementada</w:t>
            </w:r>
            <w:r w:rsidRPr="00900446">
              <w:rPr>
                <w:rFonts w:ascii="Arial" w:hAnsi="Arial" w:cs="Arial"/>
                <w:b/>
                <w:color w:val="002060"/>
                <w:sz w:val="16"/>
                <w:szCs w:val="16"/>
                <w:lang w:eastAsia="es-MX"/>
              </w:rPr>
              <w:t xml:space="preserve"> P.O. 27-12-2022</w:t>
            </w:r>
          </w:p>
        </w:tc>
        <w:tc>
          <w:tcPr>
            <w:tcW w:w="338" w:type="pct"/>
            <w:tcBorders>
              <w:top w:val="nil"/>
              <w:left w:val="nil"/>
              <w:bottom w:val="single" w:sz="4" w:space="0" w:color="auto"/>
              <w:right w:val="single" w:sz="4" w:space="0" w:color="auto"/>
            </w:tcBorders>
            <w:shd w:val="clear" w:color="auto" w:fill="auto"/>
            <w:vAlign w:val="center"/>
            <w:hideMark/>
          </w:tcPr>
          <w:p w14:paraId="01E8F50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 </w:t>
            </w:r>
          </w:p>
        </w:tc>
        <w:tc>
          <w:tcPr>
            <w:tcW w:w="390" w:type="pct"/>
            <w:tcBorders>
              <w:top w:val="nil"/>
              <w:left w:val="nil"/>
              <w:bottom w:val="single" w:sz="4" w:space="0" w:color="auto"/>
              <w:right w:val="single" w:sz="4" w:space="0" w:color="auto"/>
            </w:tcBorders>
            <w:shd w:val="clear" w:color="auto" w:fill="auto"/>
            <w:vAlign w:val="center"/>
            <w:hideMark/>
          </w:tcPr>
          <w:p w14:paraId="610CD86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44D6862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74E4EFB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16C4B91F"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6AFE5E6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3B78EB9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4.3.16</w:t>
            </w:r>
          </w:p>
        </w:tc>
        <w:tc>
          <w:tcPr>
            <w:tcW w:w="1062" w:type="pct"/>
            <w:tcBorders>
              <w:top w:val="nil"/>
              <w:left w:val="nil"/>
              <w:bottom w:val="single" w:sz="4" w:space="0" w:color="auto"/>
              <w:right w:val="single" w:sz="4" w:space="0" w:color="auto"/>
            </w:tcBorders>
            <w:shd w:val="clear" w:color="auto" w:fill="auto"/>
            <w:vAlign w:val="center"/>
            <w:hideMark/>
          </w:tcPr>
          <w:p w14:paraId="28F1D240" w14:textId="77777777" w:rsidR="00794EB9" w:rsidRPr="00794EB9" w:rsidRDefault="00794EB9" w:rsidP="00C307FB">
            <w:pPr>
              <w:spacing w:after="240"/>
              <w:rPr>
                <w:rFonts w:ascii="Arial" w:hAnsi="Arial" w:cs="Arial"/>
                <w:sz w:val="22"/>
                <w:szCs w:val="22"/>
                <w:lang w:eastAsia="es-MX"/>
              </w:rPr>
            </w:pPr>
            <w:r w:rsidRPr="00794EB9">
              <w:rPr>
                <w:rFonts w:ascii="Arial" w:hAnsi="Arial" w:cs="Arial"/>
                <w:sz w:val="22"/>
                <w:szCs w:val="22"/>
                <w:lang w:eastAsia="es-MX"/>
              </w:rPr>
              <w:t>VS 4.3.16 Brindar apoyos para la educación y la formación de niñas, niños y jóvenes de escasos recursos</w:t>
            </w:r>
          </w:p>
        </w:tc>
        <w:tc>
          <w:tcPr>
            <w:tcW w:w="645" w:type="pct"/>
            <w:tcBorders>
              <w:top w:val="nil"/>
              <w:left w:val="nil"/>
              <w:bottom w:val="single" w:sz="4" w:space="0" w:color="auto"/>
              <w:right w:val="single" w:sz="4" w:space="0" w:color="auto"/>
            </w:tcBorders>
            <w:shd w:val="clear" w:color="auto" w:fill="auto"/>
            <w:vAlign w:val="center"/>
            <w:hideMark/>
          </w:tcPr>
          <w:p w14:paraId="601B9A0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apoyos entregados respecto del total</w:t>
            </w:r>
          </w:p>
        </w:tc>
        <w:tc>
          <w:tcPr>
            <w:tcW w:w="610" w:type="pct"/>
            <w:tcBorders>
              <w:top w:val="nil"/>
              <w:left w:val="nil"/>
              <w:bottom w:val="single" w:sz="4" w:space="0" w:color="auto"/>
              <w:right w:val="single" w:sz="4" w:space="0" w:color="auto"/>
            </w:tcBorders>
            <w:shd w:val="clear" w:color="auto" w:fill="auto"/>
            <w:vAlign w:val="center"/>
            <w:hideMark/>
          </w:tcPr>
          <w:p w14:paraId="1DF18C1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 Otorgar el programa de becas de nivel primaria, secundaria y preparatoria, con un total 3 mil 300 beca anuales durante el trienio</w:t>
            </w:r>
          </w:p>
        </w:tc>
        <w:tc>
          <w:tcPr>
            <w:tcW w:w="338" w:type="pct"/>
            <w:tcBorders>
              <w:top w:val="nil"/>
              <w:left w:val="nil"/>
              <w:bottom w:val="single" w:sz="4" w:space="0" w:color="auto"/>
              <w:right w:val="single" w:sz="4" w:space="0" w:color="auto"/>
            </w:tcBorders>
            <w:shd w:val="clear" w:color="auto" w:fill="auto"/>
            <w:vAlign w:val="center"/>
            <w:hideMark/>
          </w:tcPr>
          <w:p w14:paraId="5697032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7A60B1A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6A8B4BB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7CE5CBB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3FB9BC2F" w14:textId="77777777" w:rsidTr="00C307FB">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13FE902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27EC593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4.3.17</w:t>
            </w:r>
          </w:p>
        </w:tc>
        <w:tc>
          <w:tcPr>
            <w:tcW w:w="1062" w:type="pct"/>
            <w:tcBorders>
              <w:top w:val="nil"/>
              <w:left w:val="nil"/>
              <w:bottom w:val="single" w:sz="4" w:space="0" w:color="auto"/>
              <w:right w:val="single" w:sz="4" w:space="0" w:color="auto"/>
            </w:tcBorders>
            <w:shd w:val="clear" w:color="auto" w:fill="auto"/>
            <w:vAlign w:val="center"/>
            <w:hideMark/>
          </w:tcPr>
          <w:p w14:paraId="31269BC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 VS 4.3.17 Realizar talleres para personas promotoras de la educación de la sexualidad, para contribuir a la disminución de los embarazos en adolescentes.</w:t>
            </w:r>
          </w:p>
        </w:tc>
        <w:tc>
          <w:tcPr>
            <w:tcW w:w="645" w:type="pct"/>
            <w:tcBorders>
              <w:top w:val="nil"/>
              <w:left w:val="nil"/>
              <w:bottom w:val="single" w:sz="4" w:space="0" w:color="auto"/>
              <w:right w:val="single" w:sz="4" w:space="0" w:color="auto"/>
            </w:tcBorders>
            <w:shd w:val="clear" w:color="auto" w:fill="auto"/>
            <w:vAlign w:val="center"/>
            <w:hideMark/>
          </w:tcPr>
          <w:p w14:paraId="3132AEC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talleres realizados respecto de la meta anual planteada por la unidad responsable</w:t>
            </w:r>
          </w:p>
        </w:tc>
        <w:tc>
          <w:tcPr>
            <w:tcW w:w="610" w:type="pct"/>
            <w:tcBorders>
              <w:top w:val="nil"/>
              <w:left w:val="nil"/>
              <w:bottom w:val="single" w:sz="4" w:space="0" w:color="auto"/>
              <w:right w:val="single" w:sz="4" w:space="0" w:color="auto"/>
            </w:tcBorders>
            <w:shd w:val="clear" w:color="auto" w:fill="auto"/>
            <w:vAlign w:val="center"/>
            <w:hideMark/>
          </w:tcPr>
          <w:p w14:paraId="0067FCD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 Impartir talleres para las personas promotoras de la educación de la sexualidad, con instituciones gubernamentales y no gubernamentales y de prevención de embarazos con un total de 900 anuales, durante el trienio. </w:t>
            </w:r>
          </w:p>
        </w:tc>
        <w:tc>
          <w:tcPr>
            <w:tcW w:w="338" w:type="pct"/>
            <w:tcBorders>
              <w:top w:val="nil"/>
              <w:left w:val="nil"/>
              <w:bottom w:val="single" w:sz="4" w:space="0" w:color="auto"/>
              <w:right w:val="single" w:sz="4" w:space="0" w:color="auto"/>
            </w:tcBorders>
            <w:shd w:val="clear" w:color="auto" w:fill="auto"/>
            <w:vAlign w:val="center"/>
            <w:hideMark/>
          </w:tcPr>
          <w:p w14:paraId="305A55F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14A174A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1104CCD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003300F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bl>
    <w:p w14:paraId="53751B7C" w14:textId="77777777" w:rsidR="00794EB9" w:rsidRPr="00794EB9" w:rsidRDefault="00794EB9" w:rsidP="00794EB9">
      <w:pPr>
        <w:ind w:leftChars="-194" w:left="-388" w:firstLine="1"/>
        <w:rPr>
          <w:rFonts w:ascii="Arial" w:hAnsi="Arial" w:cs="Arial"/>
          <w:sz w:val="22"/>
          <w:szCs w:val="22"/>
        </w:rPr>
      </w:pPr>
    </w:p>
    <w:p w14:paraId="4EAC460D"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BANDERA. VIVIR MEJOR</w:t>
      </w:r>
    </w:p>
    <w:p w14:paraId="4208510A"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ESTRATEGIA 5. ECONOMÍA Y EMPRENDIMIENTO</w:t>
      </w:r>
    </w:p>
    <w:p w14:paraId="5419D130"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PROGRAMA: VM1. SALIR ADELANTE</w:t>
      </w:r>
    </w:p>
    <w:p w14:paraId="7D7AEF22" w14:textId="77777777" w:rsidR="00794EB9" w:rsidRPr="00794EB9" w:rsidRDefault="00794EB9" w:rsidP="00794EB9">
      <w:pPr>
        <w:spacing w:line="259" w:lineRule="auto"/>
        <w:jc w:val="both"/>
        <w:rPr>
          <w:rFonts w:ascii="Arial" w:hAnsi="Arial" w:cs="Arial"/>
          <w:sz w:val="22"/>
          <w:szCs w:val="22"/>
          <w:lang w:eastAsia="es-MX"/>
        </w:rPr>
      </w:pPr>
      <w:r w:rsidRPr="00794EB9">
        <w:rPr>
          <w:rFonts w:ascii="Arial" w:hAnsi="Arial" w:cs="Arial"/>
          <w:i/>
          <w:iCs/>
          <w:sz w:val="22"/>
          <w:szCs w:val="22"/>
          <w:lang w:eastAsia="es-MX"/>
        </w:rPr>
        <w:t xml:space="preserve">Objetivo del programa: </w:t>
      </w:r>
      <w:r w:rsidRPr="00794EB9">
        <w:rPr>
          <w:rFonts w:ascii="Arial" w:hAnsi="Arial" w:cs="Arial"/>
          <w:sz w:val="22"/>
          <w:szCs w:val="22"/>
          <w:lang w:eastAsia="es-MX"/>
        </w:rPr>
        <w:t>Desarrollar una política integral de atención a los distintos grupos sociales en situación de vulnerabilidad que proporcione los elementos para una vida digna y corresponsable.</w:t>
      </w:r>
    </w:p>
    <w:p w14:paraId="7034DD3D" w14:textId="77777777" w:rsidR="00794EB9" w:rsidRPr="00794EB9" w:rsidRDefault="00794EB9" w:rsidP="00794EB9">
      <w:pPr>
        <w:spacing w:line="259" w:lineRule="auto"/>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192"/>
        <w:gridCol w:w="1065"/>
        <w:gridCol w:w="1302"/>
        <w:gridCol w:w="1283"/>
        <w:gridCol w:w="1574"/>
        <w:gridCol w:w="603"/>
        <w:gridCol w:w="603"/>
        <w:gridCol w:w="603"/>
        <w:gridCol w:w="603"/>
      </w:tblGrid>
      <w:tr w:rsidR="00794EB9" w:rsidRPr="00794EB9" w14:paraId="554D2FB4" w14:textId="77777777" w:rsidTr="00900446">
        <w:trPr>
          <w:cantSplit/>
          <w:trHeight w:val="20"/>
          <w:tblHeader/>
        </w:trPr>
        <w:tc>
          <w:tcPr>
            <w:tcW w:w="6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1870F6"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lastRenderedPageBreak/>
              <w:t xml:space="preserve"> PROYECTOS </w:t>
            </w:r>
          </w:p>
        </w:tc>
        <w:tc>
          <w:tcPr>
            <w:tcW w:w="60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FB25453"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73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759CE84"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72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B547A0B"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89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2DAB48A"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4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B4CE2FB"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34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FAC90A6"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4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A360580"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4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57DC721"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766451D3" w14:textId="77777777" w:rsidTr="00900446">
        <w:trPr>
          <w:cantSplit/>
          <w:trHeight w:val="20"/>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0D2BE9C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1.1 Red de Estancias Seguras y programa de becas. </w:t>
            </w:r>
          </w:p>
        </w:tc>
        <w:tc>
          <w:tcPr>
            <w:tcW w:w="603" w:type="pct"/>
            <w:tcBorders>
              <w:top w:val="nil"/>
              <w:left w:val="nil"/>
              <w:bottom w:val="single" w:sz="4" w:space="0" w:color="auto"/>
              <w:right w:val="single" w:sz="4" w:space="0" w:color="auto"/>
            </w:tcBorders>
            <w:shd w:val="clear" w:color="auto" w:fill="auto"/>
            <w:vAlign w:val="center"/>
            <w:hideMark/>
          </w:tcPr>
          <w:p w14:paraId="68B3510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1.1.1 </w:t>
            </w:r>
          </w:p>
        </w:tc>
        <w:tc>
          <w:tcPr>
            <w:tcW w:w="737" w:type="pct"/>
            <w:tcBorders>
              <w:top w:val="nil"/>
              <w:left w:val="nil"/>
              <w:bottom w:val="single" w:sz="4" w:space="0" w:color="auto"/>
              <w:right w:val="single" w:sz="4" w:space="0" w:color="auto"/>
            </w:tcBorders>
            <w:shd w:val="clear" w:color="auto" w:fill="auto"/>
            <w:vAlign w:val="center"/>
            <w:hideMark/>
          </w:tcPr>
          <w:p w14:paraId="4238510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1.1.1 Realizar un Diagnóstico de la Red de Estancias existentes en la ciudad.</w:t>
            </w:r>
          </w:p>
        </w:tc>
        <w:tc>
          <w:tcPr>
            <w:tcW w:w="727" w:type="pct"/>
            <w:tcBorders>
              <w:top w:val="nil"/>
              <w:left w:val="nil"/>
              <w:bottom w:val="single" w:sz="4" w:space="0" w:color="auto"/>
              <w:right w:val="single" w:sz="4" w:space="0" w:color="auto"/>
            </w:tcBorders>
            <w:shd w:val="clear" w:color="auto" w:fill="auto"/>
            <w:vAlign w:val="center"/>
            <w:hideMark/>
          </w:tcPr>
          <w:p w14:paraId="058A8C4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Entrega de diagnóstico</w:t>
            </w:r>
          </w:p>
        </w:tc>
        <w:tc>
          <w:tcPr>
            <w:tcW w:w="891" w:type="pct"/>
            <w:tcBorders>
              <w:top w:val="nil"/>
              <w:left w:val="nil"/>
              <w:bottom w:val="single" w:sz="4" w:space="0" w:color="auto"/>
              <w:right w:val="single" w:sz="4" w:space="0" w:color="auto"/>
            </w:tcBorders>
            <w:shd w:val="clear" w:color="auto" w:fill="auto"/>
            <w:vAlign w:val="center"/>
            <w:hideMark/>
          </w:tcPr>
          <w:p w14:paraId="2F348C3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el diagnóstico de la Red para 2022.</w:t>
            </w:r>
          </w:p>
        </w:tc>
        <w:tc>
          <w:tcPr>
            <w:tcW w:w="342" w:type="pct"/>
            <w:tcBorders>
              <w:top w:val="nil"/>
              <w:left w:val="nil"/>
              <w:bottom w:val="single" w:sz="4" w:space="0" w:color="auto"/>
              <w:right w:val="single" w:sz="4" w:space="0" w:color="auto"/>
            </w:tcBorders>
            <w:shd w:val="clear" w:color="auto" w:fill="auto"/>
            <w:vAlign w:val="center"/>
            <w:hideMark/>
          </w:tcPr>
          <w:p w14:paraId="0DF3B63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59A2BB4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42" w:type="pct"/>
            <w:tcBorders>
              <w:top w:val="nil"/>
              <w:left w:val="nil"/>
              <w:bottom w:val="single" w:sz="4" w:space="0" w:color="auto"/>
              <w:right w:val="single" w:sz="4" w:space="0" w:color="auto"/>
            </w:tcBorders>
            <w:shd w:val="clear" w:color="auto" w:fill="auto"/>
            <w:vAlign w:val="center"/>
            <w:hideMark/>
          </w:tcPr>
          <w:p w14:paraId="52F704A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6979880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2B40FCBA" w14:textId="77777777" w:rsidTr="00900446">
        <w:trPr>
          <w:cantSplit/>
          <w:trHeight w:val="20"/>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01A4115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1.1 Red de Estancias Seguras y programa de becas. </w:t>
            </w:r>
          </w:p>
        </w:tc>
        <w:tc>
          <w:tcPr>
            <w:tcW w:w="603" w:type="pct"/>
            <w:tcBorders>
              <w:top w:val="nil"/>
              <w:left w:val="nil"/>
              <w:bottom w:val="single" w:sz="4" w:space="0" w:color="auto"/>
              <w:right w:val="single" w:sz="4" w:space="0" w:color="auto"/>
            </w:tcBorders>
            <w:shd w:val="clear" w:color="auto" w:fill="auto"/>
            <w:vAlign w:val="center"/>
            <w:hideMark/>
          </w:tcPr>
          <w:p w14:paraId="0E3978C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1.1.2</w:t>
            </w:r>
          </w:p>
        </w:tc>
        <w:tc>
          <w:tcPr>
            <w:tcW w:w="737" w:type="pct"/>
            <w:tcBorders>
              <w:top w:val="nil"/>
              <w:left w:val="nil"/>
              <w:bottom w:val="single" w:sz="4" w:space="0" w:color="auto"/>
              <w:right w:val="single" w:sz="4" w:space="0" w:color="auto"/>
            </w:tcBorders>
            <w:shd w:val="clear" w:color="auto" w:fill="auto"/>
            <w:vAlign w:val="center"/>
            <w:hideMark/>
          </w:tcPr>
          <w:p w14:paraId="4DDBBCD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1.1.2 Desarrollar un Programa de estímulos para mujeres jefas de familia en la red de estancias seguras certificadas.  </w:t>
            </w:r>
          </w:p>
        </w:tc>
        <w:tc>
          <w:tcPr>
            <w:tcW w:w="727" w:type="pct"/>
            <w:tcBorders>
              <w:top w:val="nil"/>
              <w:left w:val="nil"/>
              <w:bottom w:val="single" w:sz="4" w:space="0" w:color="auto"/>
              <w:right w:val="single" w:sz="4" w:space="0" w:color="auto"/>
            </w:tcBorders>
            <w:shd w:val="clear" w:color="auto" w:fill="auto"/>
            <w:vAlign w:val="center"/>
            <w:hideMark/>
          </w:tcPr>
          <w:p w14:paraId="01E8792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estímulos otorgadas a jefas de familia</w:t>
            </w:r>
          </w:p>
        </w:tc>
        <w:tc>
          <w:tcPr>
            <w:tcW w:w="891" w:type="pct"/>
            <w:tcBorders>
              <w:top w:val="nil"/>
              <w:left w:val="nil"/>
              <w:bottom w:val="single" w:sz="4" w:space="0" w:color="auto"/>
              <w:right w:val="single" w:sz="4" w:space="0" w:color="auto"/>
            </w:tcBorders>
            <w:shd w:val="clear" w:color="auto" w:fill="auto"/>
            <w:vAlign w:val="center"/>
            <w:hideMark/>
          </w:tcPr>
          <w:p w14:paraId="4E7DBF9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Otorgar estímulos de acuerdo al presupuesto programado, a mujeres jefas de familia incluidas en el programa durante el trienio.</w:t>
            </w:r>
          </w:p>
        </w:tc>
        <w:tc>
          <w:tcPr>
            <w:tcW w:w="342" w:type="pct"/>
            <w:tcBorders>
              <w:top w:val="nil"/>
              <w:left w:val="nil"/>
              <w:bottom w:val="single" w:sz="4" w:space="0" w:color="auto"/>
              <w:right w:val="single" w:sz="4" w:space="0" w:color="auto"/>
            </w:tcBorders>
            <w:shd w:val="clear" w:color="auto" w:fill="auto"/>
            <w:vAlign w:val="center"/>
            <w:hideMark/>
          </w:tcPr>
          <w:p w14:paraId="492CC51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55914EF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2" w:type="pct"/>
            <w:tcBorders>
              <w:top w:val="nil"/>
              <w:left w:val="nil"/>
              <w:bottom w:val="single" w:sz="4" w:space="0" w:color="auto"/>
              <w:right w:val="single" w:sz="4" w:space="0" w:color="auto"/>
            </w:tcBorders>
            <w:shd w:val="clear" w:color="auto" w:fill="auto"/>
            <w:vAlign w:val="center"/>
            <w:hideMark/>
          </w:tcPr>
          <w:p w14:paraId="428FCE4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2" w:type="pct"/>
            <w:tcBorders>
              <w:top w:val="nil"/>
              <w:left w:val="nil"/>
              <w:bottom w:val="single" w:sz="4" w:space="0" w:color="auto"/>
              <w:right w:val="single" w:sz="4" w:space="0" w:color="auto"/>
            </w:tcBorders>
            <w:shd w:val="clear" w:color="auto" w:fill="auto"/>
            <w:vAlign w:val="center"/>
            <w:hideMark/>
          </w:tcPr>
          <w:p w14:paraId="21EA0EA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4D72168F" w14:textId="77777777" w:rsidTr="00900446">
        <w:trPr>
          <w:cantSplit/>
          <w:trHeight w:val="20"/>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772C402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1.2 Modelo Club DIF</w:t>
            </w:r>
          </w:p>
        </w:tc>
        <w:tc>
          <w:tcPr>
            <w:tcW w:w="603" w:type="pct"/>
            <w:tcBorders>
              <w:top w:val="nil"/>
              <w:left w:val="nil"/>
              <w:bottom w:val="single" w:sz="4" w:space="0" w:color="auto"/>
              <w:right w:val="single" w:sz="4" w:space="0" w:color="auto"/>
            </w:tcBorders>
            <w:shd w:val="clear" w:color="auto" w:fill="auto"/>
            <w:vAlign w:val="center"/>
            <w:hideMark/>
          </w:tcPr>
          <w:p w14:paraId="77A667D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1.2.1 </w:t>
            </w:r>
          </w:p>
        </w:tc>
        <w:tc>
          <w:tcPr>
            <w:tcW w:w="737" w:type="pct"/>
            <w:tcBorders>
              <w:top w:val="nil"/>
              <w:left w:val="nil"/>
              <w:bottom w:val="single" w:sz="4" w:space="0" w:color="auto"/>
              <w:right w:val="single" w:sz="4" w:space="0" w:color="auto"/>
            </w:tcBorders>
            <w:shd w:val="clear" w:color="auto" w:fill="auto"/>
            <w:vAlign w:val="center"/>
            <w:hideMark/>
          </w:tcPr>
          <w:p w14:paraId="45EB9CF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1.2.1 Adaptar espacios para el cuidado de las niñas y los niños bajo el modelo de Club DIF.</w:t>
            </w:r>
          </w:p>
        </w:tc>
        <w:tc>
          <w:tcPr>
            <w:tcW w:w="727" w:type="pct"/>
            <w:tcBorders>
              <w:top w:val="nil"/>
              <w:left w:val="nil"/>
              <w:bottom w:val="single" w:sz="4" w:space="0" w:color="auto"/>
              <w:right w:val="single" w:sz="4" w:space="0" w:color="auto"/>
            </w:tcBorders>
            <w:shd w:val="clear" w:color="auto" w:fill="auto"/>
            <w:vAlign w:val="center"/>
            <w:hideMark/>
          </w:tcPr>
          <w:p w14:paraId="7AF1B08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clubes intervenidos respecto del total</w:t>
            </w:r>
          </w:p>
        </w:tc>
        <w:tc>
          <w:tcPr>
            <w:tcW w:w="891" w:type="pct"/>
            <w:tcBorders>
              <w:top w:val="nil"/>
              <w:left w:val="nil"/>
              <w:bottom w:val="single" w:sz="4" w:space="0" w:color="auto"/>
              <w:right w:val="single" w:sz="4" w:space="0" w:color="auto"/>
            </w:tcBorders>
            <w:shd w:val="clear" w:color="auto" w:fill="auto"/>
            <w:vAlign w:val="center"/>
            <w:hideMark/>
          </w:tcPr>
          <w:p w14:paraId="250E347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Intervenir 1 Club DIF de manera anual durante el trienio</w:t>
            </w:r>
          </w:p>
        </w:tc>
        <w:tc>
          <w:tcPr>
            <w:tcW w:w="342" w:type="pct"/>
            <w:tcBorders>
              <w:top w:val="nil"/>
              <w:left w:val="nil"/>
              <w:bottom w:val="single" w:sz="4" w:space="0" w:color="auto"/>
              <w:right w:val="single" w:sz="4" w:space="0" w:color="auto"/>
            </w:tcBorders>
            <w:shd w:val="clear" w:color="auto" w:fill="auto"/>
            <w:vAlign w:val="center"/>
            <w:hideMark/>
          </w:tcPr>
          <w:p w14:paraId="2CFF71C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5EBDA4A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2" w:type="pct"/>
            <w:tcBorders>
              <w:top w:val="nil"/>
              <w:left w:val="nil"/>
              <w:bottom w:val="single" w:sz="4" w:space="0" w:color="auto"/>
              <w:right w:val="single" w:sz="4" w:space="0" w:color="auto"/>
            </w:tcBorders>
            <w:shd w:val="clear" w:color="auto" w:fill="auto"/>
            <w:vAlign w:val="center"/>
            <w:hideMark/>
          </w:tcPr>
          <w:p w14:paraId="2C61A88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2" w:type="pct"/>
            <w:tcBorders>
              <w:top w:val="nil"/>
              <w:left w:val="nil"/>
              <w:bottom w:val="single" w:sz="4" w:space="0" w:color="auto"/>
              <w:right w:val="single" w:sz="4" w:space="0" w:color="auto"/>
            </w:tcBorders>
            <w:shd w:val="clear" w:color="auto" w:fill="auto"/>
            <w:vAlign w:val="center"/>
            <w:hideMark/>
          </w:tcPr>
          <w:p w14:paraId="398C10E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7EA2E20C" w14:textId="77777777" w:rsidTr="00900446">
        <w:trPr>
          <w:cantSplit/>
          <w:trHeight w:val="20"/>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2CD84A3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VM. 1.3 Construcción de Plan de Vida para Jóvenes que crecen y se desarrollan en contextos de vulnerabilidad.</w:t>
            </w:r>
          </w:p>
        </w:tc>
        <w:tc>
          <w:tcPr>
            <w:tcW w:w="603" w:type="pct"/>
            <w:tcBorders>
              <w:top w:val="nil"/>
              <w:left w:val="nil"/>
              <w:bottom w:val="single" w:sz="4" w:space="0" w:color="auto"/>
              <w:right w:val="single" w:sz="4" w:space="0" w:color="auto"/>
            </w:tcBorders>
            <w:shd w:val="clear" w:color="auto" w:fill="auto"/>
            <w:vAlign w:val="center"/>
            <w:hideMark/>
          </w:tcPr>
          <w:p w14:paraId="00A3C06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1.3.1 </w:t>
            </w:r>
          </w:p>
        </w:tc>
        <w:tc>
          <w:tcPr>
            <w:tcW w:w="737" w:type="pct"/>
            <w:tcBorders>
              <w:top w:val="nil"/>
              <w:left w:val="nil"/>
              <w:bottom w:val="single" w:sz="4" w:space="0" w:color="auto"/>
              <w:right w:val="single" w:sz="4" w:space="0" w:color="auto"/>
            </w:tcBorders>
            <w:shd w:val="clear" w:color="auto" w:fill="auto"/>
            <w:vAlign w:val="center"/>
            <w:hideMark/>
          </w:tcPr>
          <w:p w14:paraId="2519E20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1.3.1 Crear un espacio de atención para jóvenes mayores de 18 años.</w:t>
            </w:r>
          </w:p>
        </w:tc>
        <w:tc>
          <w:tcPr>
            <w:tcW w:w="727" w:type="pct"/>
            <w:tcBorders>
              <w:top w:val="nil"/>
              <w:left w:val="nil"/>
              <w:bottom w:val="single" w:sz="4" w:space="0" w:color="auto"/>
              <w:right w:val="single" w:sz="4" w:space="0" w:color="auto"/>
            </w:tcBorders>
            <w:shd w:val="clear" w:color="auto" w:fill="auto"/>
            <w:vAlign w:val="center"/>
            <w:hideMark/>
          </w:tcPr>
          <w:p w14:paraId="6D00E48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departamentos realizados en el trienio</w:t>
            </w:r>
          </w:p>
        </w:tc>
        <w:tc>
          <w:tcPr>
            <w:tcW w:w="891" w:type="pct"/>
            <w:tcBorders>
              <w:top w:val="nil"/>
              <w:left w:val="nil"/>
              <w:bottom w:val="single" w:sz="4" w:space="0" w:color="auto"/>
              <w:right w:val="single" w:sz="4" w:space="0" w:color="auto"/>
            </w:tcBorders>
            <w:shd w:val="clear" w:color="auto" w:fill="auto"/>
            <w:vAlign w:val="center"/>
            <w:hideMark/>
          </w:tcPr>
          <w:p w14:paraId="564B3CE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Crear 4 espacios de atención para 2023. </w:t>
            </w:r>
          </w:p>
        </w:tc>
        <w:tc>
          <w:tcPr>
            <w:tcW w:w="342" w:type="pct"/>
            <w:tcBorders>
              <w:top w:val="nil"/>
              <w:left w:val="nil"/>
              <w:bottom w:val="single" w:sz="4" w:space="0" w:color="auto"/>
              <w:right w:val="single" w:sz="4" w:space="0" w:color="auto"/>
            </w:tcBorders>
            <w:shd w:val="clear" w:color="auto" w:fill="auto"/>
            <w:vAlign w:val="center"/>
            <w:hideMark/>
          </w:tcPr>
          <w:p w14:paraId="1F6B90A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7C9A303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42" w:type="pct"/>
            <w:tcBorders>
              <w:top w:val="nil"/>
              <w:left w:val="nil"/>
              <w:bottom w:val="single" w:sz="4" w:space="0" w:color="auto"/>
              <w:right w:val="single" w:sz="4" w:space="0" w:color="auto"/>
            </w:tcBorders>
            <w:shd w:val="clear" w:color="auto" w:fill="auto"/>
            <w:vAlign w:val="center"/>
            <w:hideMark/>
          </w:tcPr>
          <w:p w14:paraId="4239638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42" w:type="pct"/>
            <w:tcBorders>
              <w:top w:val="nil"/>
              <w:left w:val="nil"/>
              <w:bottom w:val="single" w:sz="4" w:space="0" w:color="auto"/>
              <w:right w:val="single" w:sz="4" w:space="0" w:color="auto"/>
            </w:tcBorders>
            <w:shd w:val="clear" w:color="auto" w:fill="auto"/>
            <w:vAlign w:val="center"/>
            <w:hideMark/>
          </w:tcPr>
          <w:p w14:paraId="2EAB59D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44DCAD30" w14:textId="77777777" w:rsidTr="00900446">
        <w:trPr>
          <w:cantSplit/>
          <w:trHeight w:val="20"/>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49C6EF1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1.3 Construcción de Plan de Vida para Jóvenes que crecen y se desarrollan en contextos de vulnerabilidad.</w:t>
            </w:r>
          </w:p>
        </w:tc>
        <w:tc>
          <w:tcPr>
            <w:tcW w:w="603" w:type="pct"/>
            <w:tcBorders>
              <w:top w:val="nil"/>
              <w:left w:val="nil"/>
              <w:bottom w:val="single" w:sz="4" w:space="0" w:color="auto"/>
              <w:right w:val="single" w:sz="4" w:space="0" w:color="auto"/>
            </w:tcBorders>
            <w:shd w:val="clear" w:color="auto" w:fill="auto"/>
            <w:vAlign w:val="center"/>
            <w:hideMark/>
          </w:tcPr>
          <w:p w14:paraId="6FCFA55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1.3.2 </w:t>
            </w:r>
          </w:p>
        </w:tc>
        <w:tc>
          <w:tcPr>
            <w:tcW w:w="737" w:type="pct"/>
            <w:tcBorders>
              <w:top w:val="nil"/>
              <w:left w:val="nil"/>
              <w:bottom w:val="single" w:sz="4" w:space="0" w:color="auto"/>
              <w:right w:val="single" w:sz="4" w:space="0" w:color="auto"/>
            </w:tcBorders>
            <w:shd w:val="clear" w:color="auto" w:fill="auto"/>
            <w:vAlign w:val="center"/>
            <w:hideMark/>
          </w:tcPr>
          <w:p w14:paraId="0C05EB5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1.3.2 Desarrollar un esquema de seguimiento que integre la elaboración de un proyecto de construcción de plan de vida para jóvenes.</w:t>
            </w:r>
          </w:p>
        </w:tc>
        <w:tc>
          <w:tcPr>
            <w:tcW w:w="727" w:type="pct"/>
            <w:tcBorders>
              <w:top w:val="nil"/>
              <w:left w:val="nil"/>
              <w:bottom w:val="single" w:sz="4" w:space="0" w:color="auto"/>
              <w:right w:val="single" w:sz="4" w:space="0" w:color="auto"/>
            </w:tcBorders>
            <w:shd w:val="clear" w:color="auto" w:fill="auto"/>
            <w:vAlign w:val="center"/>
            <w:hideMark/>
          </w:tcPr>
          <w:p w14:paraId="5A225D6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personas atendidas respecto del total </w:t>
            </w:r>
          </w:p>
        </w:tc>
        <w:tc>
          <w:tcPr>
            <w:tcW w:w="891" w:type="pct"/>
            <w:tcBorders>
              <w:top w:val="nil"/>
              <w:left w:val="nil"/>
              <w:bottom w:val="single" w:sz="4" w:space="0" w:color="auto"/>
              <w:right w:val="single" w:sz="4" w:space="0" w:color="auto"/>
            </w:tcBorders>
            <w:shd w:val="clear" w:color="auto" w:fill="auto"/>
            <w:vAlign w:val="center"/>
            <w:hideMark/>
          </w:tcPr>
          <w:p w14:paraId="7366B28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Atender a 900 personas jóvenes con un plan de vida medible, durante el trienio </w:t>
            </w:r>
          </w:p>
        </w:tc>
        <w:tc>
          <w:tcPr>
            <w:tcW w:w="342" w:type="pct"/>
            <w:tcBorders>
              <w:top w:val="nil"/>
              <w:left w:val="nil"/>
              <w:bottom w:val="single" w:sz="4" w:space="0" w:color="auto"/>
              <w:right w:val="single" w:sz="4" w:space="0" w:color="auto"/>
            </w:tcBorders>
            <w:shd w:val="clear" w:color="auto" w:fill="auto"/>
            <w:vAlign w:val="center"/>
            <w:hideMark/>
          </w:tcPr>
          <w:p w14:paraId="45DBCB0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1C0860E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2" w:type="pct"/>
            <w:tcBorders>
              <w:top w:val="nil"/>
              <w:left w:val="nil"/>
              <w:bottom w:val="single" w:sz="4" w:space="0" w:color="auto"/>
              <w:right w:val="single" w:sz="4" w:space="0" w:color="auto"/>
            </w:tcBorders>
            <w:shd w:val="clear" w:color="auto" w:fill="auto"/>
            <w:vAlign w:val="center"/>
            <w:hideMark/>
          </w:tcPr>
          <w:p w14:paraId="087A287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2" w:type="pct"/>
            <w:tcBorders>
              <w:top w:val="nil"/>
              <w:left w:val="nil"/>
              <w:bottom w:val="single" w:sz="4" w:space="0" w:color="auto"/>
              <w:right w:val="single" w:sz="4" w:space="0" w:color="auto"/>
            </w:tcBorders>
            <w:shd w:val="clear" w:color="auto" w:fill="auto"/>
            <w:vAlign w:val="center"/>
            <w:hideMark/>
          </w:tcPr>
          <w:p w14:paraId="516FB0C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143FE0A3" w14:textId="77777777" w:rsidTr="00900446">
        <w:trPr>
          <w:cantSplit/>
          <w:trHeight w:val="20"/>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60ECD27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1.4 Ayúdate a ayudando</w:t>
            </w:r>
          </w:p>
        </w:tc>
        <w:tc>
          <w:tcPr>
            <w:tcW w:w="603" w:type="pct"/>
            <w:tcBorders>
              <w:top w:val="nil"/>
              <w:left w:val="nil"/>
              <w:bottom w:val="single" w:sz="4" w:space="0" w:color="auto"/>
              <w:right w:val="single" w:sz="4" w:space="0" w:color="auto"/>
            </w:tcBorders>
            <w:shd w:val="clear" w:color="auto" w:fill="auto"/>
            <w:vAlign w:val="center"/>
            <w:hideMark/>
          </w:tcPr>
          <w:p w14:paraId="7852283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1.4.1 </w:t>
            </w:r>
          </w:p>
        </w:tc>
        <w:tc>
          <w:tcPr>
            <w:tcW w:w="737" w:type="pct"/>
            <w:tcBorders>
              <w:top w:val="nil"/>
              <w:left w:val="nil"/>
              <w:bottom w:val="single" w:sz="4" w:space="0" w:color="auto"/>
              <w:right w:val="single" w:sz="4" w:space="0" w:color="auto"/>
            </w:tcBorders>
            <w:shd w:val="clear" w:color="auto" w:fill="auto"/>
            <w:vAlign w:val="center"/>
            <w:hideMark/>
          </w:tcPr>
          <w:p w14:paraId="02DEC1A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1.4.1 Brindar apoyos para rehabilitación, mantenimiento y mejora de las comunidades rurales.</w:t>
            </w:r>
          </w:p>
        </w:tc>
        <w:tc>
          <w:tcPr>
            <w:tcW w:w="727" w:type="pct"/>
            <w:tcBorders>
              <w:top w:val="nil"/>
              <w:left w:val="nil"/>
              <w:bottom w:val="single" w:sz="4" w:space="0" w:color="auto"/>
              <w:right w:val="single" w:sz="4" w:space="0" w:color="auto"/>
            </w:tcBorders>
            <w:shd w:val="clear" w:color="auto" w:fill="auto"/>
            <w:vAlign w:val="center"/>
            <w:hideMark/>
          </w:tcPr>
          <w:p w14:paraId="262855C5" w14:textId="77777777" w:rsidR="00794EB9" w:rsidRDefault="00794EB9" w:rsidP="003A175C">
            <w:pPr>
              <w:jc w:val="center"/>
              <w:rPr>
                <w:rFonts w:ascii="Arial" w:hAnsi="Arial" w:cs="Arial"/>
                <w:sz w:val="22"/>
                <w:szCs w:val="22"/>
                <w:lang w:eastAsia="es-MX"/>
              </w:rPr>
            </w:pPr>
            <w:r w:rsidRPr="00794EB9">
              <w:rPr>
                <w:rFonts w:ascii="Arial" w:hAnsi="Arial" w:cs="Arial"/>
                <w:sz w:val="22"/>
                <w:szCs w:val="22"/>
                <w:lang w:eastAsia="es-MX"/>
              </w:rPr>
              <w:t>Porcentaje de apoyos comunitarios de insumos otorgados</w:t>
            </w:r>
          </w:p>
          <w:p w14:paraId="36B798CE" w14:textId="77AFF926" w:rsidR="003A175C" w:rsidRPr="00794EB9" w:rsidRDefault="00DA7CE9" w:rsidP="003A175C">
            <w:pPr>
              <w:jc w:val="center"/>
              <w:rPr>
                <w:rFonts w:ascii="Arial" w:hAnsi="Arial" w:cs="Arial"/>
                <w:sz w:val="22"/>
                <w:szCs w:val="22"/>
                <w:lang w:eastAsia="es-MX"/>
              </w:rPr>
            </w:pPr>
            <w:r>
              <w:rPr>
                <w:rFonts w:ascii="Arial" w:hAnsi="Arial" w:cs="Arial"/>
                <w:b/>
                <w:color w:val="002060"/>
                <w:sz w:val="18"/>
                <w:szCs w:val="18"/>
                <w:lang w:eastAsia="es-MX"/>
              </w:rPr>
              <w:t>Redacción modificada</w:t>
            </w:r>
            <w:r w:rsidR="003A175C" w:rsidRPr="00900446">
              <w:rPr>
                <w:rFonts w:ascii="Arial" w:hAnsi="Arial" w:cs="Arial"/>
                <w:b/>
                <w:color w:val="002060"/>
                <w:sz w:val="18"/>
                <w:szCs w:val="18"/>
                <w:lang w:eastAsia="es-MX"/>
              </w:rPr>
              <w:t xml:space="preserve"> P.O. 27-12-2022</w:t>
            </w:r>
          </w:p>
        </w:tc>
        <w:tc>
          <w:tcPr>
            <w:tcW w:w="891" w:type="pct"/>
            <w:tcBorders>
              <w:top w:val="nil"/>
              <w:left w:val="nil"/>
              <w:bottom w:val="single" w:sz="4" w:space="0" w:color="auto"/>
              <w:right w:val="single" w:sz="4" w:space="0" w:color="auto"/>
            </w:tcBorders>
            <w:shd w:val="clear" w:color="auto" w:fill="auto"/>
            <w:vAlign w:val="center"/>
            <w:hideMark/>
          </w:tcPr>
          <w:p w14:paraId="242A1D97" w14:textId="77777777" w:rsidR="00794EB9" w:rsidRDefault="00794EB9" w:rsidP="003A175C">
            <w:pPr>
              <w:jc w:val="center"/>
              <w:rPr>
                <w:rFonts w:ascii="Arial" w:hAnsi="Arial" w:cs="Arial"/>
                <w:sz w:val="22"/>
                <w:szCs w:val="22"/>
                <w:lang w:eastAsia="es-MX"/>
              </w:rPr>
            </w:pPr>
            <w:r w:rsidRPr="00794EB9">
              <w:rPr>
                <w:rFonts w:ascii="Arial" w:hAnsi="Arial" w:cs="Arial"/>
                <w:sz w:val="22"/>
                <w:szCs w:val="22"/>
                <w:lang w:eastAsia="es-MX"/>
              </w:rPr>
              <w:t xml:space="preserve">Otorgar </w:t>
            </w:r>
            <w:r w:rsidR="003A175C">
              <w:rPr>
                <w:rFonts w:ascii="Arial" w:hAnsi="Arial" w:cs="Arial"/>
                <w:sz w:val="22"/>
                <w:szCs w:val="22"/>
                <w:lang w:eastAsia="es-MX"/>
              </w:rPr>
              <w:t>40</w:t>
            </w:r>
            <w:r w:rsidRPr="00794EB9">
              <w:rPr>
                <w:rFonts w:ascii="Arial" w:hAnsi="Arial" w:cs="Arial"/>
                <w:sz w:val="22"/>
                <w:szCs w:val="22"/>
                <w:lang w:eastAsia="es-MX"/>
              </w:rPr>
              <w:t xml:space="preserve">0 apoyos comunitarios de insumos y materiales para la construcción a las personas que conformen el programa durante el trienio </w:t>
            </w:r>
          </w:p>
          <w:p w14:paraId="3C6DE3B7" w14:textId="76B9654E" w:rsidR="003A175C" w:rsidRPr="00794EB9" w:rsidRDefault="003A175C" w:rsidP="003A175C">
            <w:pPr>
              <w:jc w:val="center"/>
              <w:rPr>
                <w:rFonts w:ascii="Arial" w:hAnsi="Arial" w:cs="Arial"/>
                <w:sz w:val="22"/>
                <w:szCs w:val="22"/>
                <w:lang w:eastAsia="es-MX"/>
              </w:rPr>
            </w:pPr>
            <w:r>
              <w:rPr>
                <w:rFonts w:ascii="Arial" w:hAnsi="Arial" w:cs="Arial"/>
                <w:b/>
                <w:color w:val="002060"/>
                <w:sz w:val="18"/>
                <w:szCs w:val="18"/>
                <w:lang w:eastAsia="es-MX"/>
              </w:rPr>
              <w:t>Meta modificada</w:t>
            </w:r>
            <w:r w:rsidRPr="00900446">
              <w:rPr>
                <w:rFonts w:ascii="Arial" w:hAnsi="Arial" w:cs="Arial"/>
                <w:b/>
                <w:color w:val="002060"/>
                <w:sz w:val="18"/>
                <w:szCs w:val="18"/>
                <w:lang w:eastAsia="es-MX"/>
              </w:rPr>
              <w:t xml:space="preserve"> P.O. 27-12-2022</w:t>
            </w:r>
          </w:p>
        </w:tc>
        <w:tc>
          <w:tcPr>
            <w:tcW w:w="342" w:type="pct"/>
            <w:tcBorders>
              <w:top w:val="nil"/>
              <w:left w:val="nil"/>
              <w:bottom w:val="single" w:sz="4" w:space="0" w:color="auto"/>
              <w:right w:val="single" w:sz="4" w:space="0" w:color="auto"/>
            </w:tcBorders>
            <w:shd w:val="clear" w:color="auto" w:fill="auto"/>
            <w:vAlign w:val="center"/>
            <w:hideMark/>
          </w:tcPr>
          <w:p w14:paraId="5EC5BBE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62C626E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2" w:type="pct"/>
            <w:tcBorders>
              <w:top w:val="nil"/>
              <w:left w:val="nil"/>
              <w:bottom w:val="single" w:sz="4" w:space="0" w:color="auto"/>
              <w:right w:val="single" w:sz="4" w:space="0" w:color="auto"/>
            </w:tcBorders>
            <w:shd w:val="clear" w:color="auto" w:fill="auto"/>
            <w:vAlign w:val="center"/>
            <w:hideMark/>
          </w:tcPr>
          <w:p w14:paraId="66CFE05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2" w:type="pct"/>
            <w:tcBorders>
              <w:top w:val="nil"/>
              <w:left w:val="nil"/>
              <w:bottom w:val="single" w:sz="4" w:space="0" w:color="auto"/>
              <w:right w:val="single" w:sz="4" w:space="0" w:color="auto"/>
            </w:tcBorders>
            <w:shd w:val="clear" w:color="auto" w:fill="auto"/>
            <w:vAlign w:val="center"/>
            <w:hideMark/>
          </w:tcPr>
          <w:p w14:paraId="4FDE0A5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75603E73" w14:textId="77777777" w:rsidTr="00900446">
        <w:trPr>
          <w:cantSplit/>
          <w:trHeight w:val="20"/>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6713E55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VM. 1.4 Ayúdate a ayudando</w:t>
            </w:r>
          </w:p>
        </w:tc>
        <w:tc>
          <w:tcPr>
            <w:tcW w:w="603" w:type="pct"/>
            <w:tcBorders>
              <w:top w:val="nil"/>
              <w:left w:val="nil"/>
              <w:bottom w:val="single" w:sz="4" w:space="0" w:color="auto"/>
              <w:right w:val="single" w:sz="4" w:space="0" w:color="auto"/>
            </w:tcBorders>
            <w:shd w:val="clear" w:color="auto" w:fill="auto"/>
            <w:vAlign w:val="center"/>
            <w:hideMark/>
          </w:tcPr>
          <w:p w14:paraId="01514FE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1.4.2 </w:t>
            </w:r>
          </w:p>
        </w:tc>
        <w:tc>
          <w:tcPr>
            <w:tcW w:w="737" w:type="pct"/>
            <w:tcBorders>
              <w:top w:val="nil"/>
              <w:left w:val="nil"/>
              <w:bottom w:val="single" w:sz="4" w:space="0" w:color="auto"/>
              <w:right w:val="single" w:sz="4" w:space="0" w:color="auto"/>
            </w:tcBorders>
            <w:shd w:val="clear" w:color="auto" w:fill="auto"/>
            <w:vAlign w:val="center"/>
            <w:hideMark/>
          </w:tcPr>
          <w:p w14:paraId="27735E4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1.4.2 Desarrollar el Proyecto de brigadas de empleo temporal asociado a actividades de rescate de espacios públicos.</w:t>
            </w:r>
          </w:p>
        </w:tc>
        <w:tc>
          <w:tcPr>
            <w:tcW w:w="727" w:type="pct"/>
            <w:tcBorders>
              <w:top w:val="nil"/>
              <w:left w:val="nil"/>
              <w:bottom w:val="single" w:sz="4" w:space="0" w:color="auto"/>
              <w:right w:val="single" w:sz="4" w:space="0" w:color="auto"/>
            </w:tcBorders>
            <w:shd w:val="clear" w:color="auto" w:fill="auto"/>
            <w:vAlign w:val="center"/>
            <w:hideMark/>
          </w:tcPr>
          <w:p w14:paraId="0FF5CD2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brigadas llevadas a cabo respecto de la meta establecida </w:t>
            </w:r>
          </w:p>
        </w:tc>
        <w:tc>
          <w:tcPr>
            <w:tcW w:w="891" w:type="pct"/>
            <w:tcBorders>
              <w:top w:val="nil"/>
              <w:left w:val="nil"/>
              <w:bottom w:val="single" w:sz="4" w:space="0" w:color="auto"/>
              <w:right w:val="single" w:sz="4" w:space="0" w:color="auto"/>
            </w:tcBorders>
            <w:shd w:val="clear" w:color="auto" w:fill="auto"/>
            <w:vAlign w:val="center"/>
            <w:hideMark/>
          </w:tcPr>
          <w:p w14:paraId="39D18178" w14:textId="77777777" w:rsidR="00794EB9" w:rsidRDefault="00794EB9" w:rsidP="00900446">
            <w:pPr>
              <w:jc w:val="center"/>
              <w:rPr>
                <w:rFonts w:ascii="Arial" w:hAnsi="Arial" w:cs="Arial"/>
                <w:sz w:val="22"/>
                <w:szCs w:val="22"/>
                <w:lang w:eastAsia="es-MX"/>
              </w:rPr>
            </w:pPr>
            <w:r w:rsidRPr="00794EB9">
              <w:rPr>
                <w:rFonts w:ascii="Arial" w:hAnsi="Arial" w:cs="Arial"/>
                <w:sz w:val="22"/>
                <w:szCs w:val="22"/>
                <w:lang w:eastAsia="es-MX"/>
              </w:rPr>
              <w:t xml:space="preserve">Beneficiar a </w:t>
            </w:r>
            <w:r w:rsidR="00900446">
              <w:rPr>
                <w:rFonts w:ascii="Arial" w:hAnsi="Arial" w:cs="Arial"/>
                <w:sz w:val="22"/>
                <w:szCs w:val="22"/>
                <w:lang w:eastAsia="es-MX"/>
              </w:rPr>
              <w:t>4 mil</w:t>
            </w:r>
            <w:r w:rsidRPr="00794EB9">
              <w:rPr>
                <w:rFonts w:ascii="Arial" w:hAnsi="Arial" w:cs="Arial"/>
                <w:sz w:val="22"/>
                <w:szCs w:val="22"/>
                <w:lang w:eastAsia="es-MX"/>
              </w:rPr>
              <w:t xml:space="preserve"> personas por año durante el trienio.</w:t>
            </w:r>
          </w:p>
          <w:p w14:paraId="3560B581" w14:textId="77777777" w:rsidR="00900446" w:rsidRDefault="00900446" w:rsidP="00900446">
            <w:pPr>
              <w:jc w:val="center"/>
              <w:rPr>
                <w:rFonts w:ascii="Arial" w:hAnsi="Arial" w:cs="Arial"/>
                <w:sz w:val="22"/>
                <w:szCs w:val="22"/>
                <w:lang w:eastAsia="es-MX"/>
              </w:rPr>
            </w:pPr>
          </w:p>
          <w:p w14:paraId="63CCF978" w14:textId="0EA3B66C" w:rsidR="00900446" w:rsidRPr="00900446" w:rsidRDefault="00900446" w:rsidP="00F17E23">
            <w:pPr>
              <w:jc w:val="center"/>
              <w:rPr>
                <w:rFonts w:ascii="Arial" w:hAnsi="Arial" w:cs="Arial"/>
                <w:b/>
                <w:sz w:val="18"/>
                <w:szCs w:val="18"/>
                <w:lang w:eastAsia="es-MX"/>
              </w:rPr>
            </w:pPr>
            <w:r w:rsidRPr="00900446">
              <w:rPr>
                <w:rFonts w:ascii="Arial" w:hAnsi="Arial" w:cs="Arial"/>
                <w:b/>
                <w:color w:val="002060"/>
                <w:sz w:val="18"/>
                <w:szCs w:val="18"/>
                <w:lang w:eastAsia="es-MX"/>
              </w:rPr>
              <w:t xml:space="preserve">Meta </w:t>
            </w:r>
            <w:r w:rsidR="00F17E23">
              <w:rPr>
                <w:rFonts w:ascii="Arial" w:hAnsi="Arial" w:cs="Arial"/>
                <w:b/>
                <w:color w:val="002060"/>
                <w:sz w:val="18"/>
                <w:szCs w:val="18"/>
                <w:lang w:eastAsia="es-MX"/>
              </w:rPr>
              <w:t>incrementada</w:t>
            </w:r>
            <w:r w:rsidRPr="00900446">
              <w:rPr>
                <w:rFonts w:ascii="Arial" w:hAnsi="Arial" w:cs="Arial"/>
                <w:b/>
                <w:color w:val="002060"/>
                <w:sz w:val="18"/>
                <w:szCs w:val="18"/>
                <w:lang w:eastAsia="es-MX"/>
              </w:rPr>
              <w:t xml:space="preserve"> P.O. 27-12-2022</w:t>
            </w:r>
          </w:p>
        </w:tc>
        <w:tc>
          <w:tcPr>
            <w:tcW w:w="342" w:type="pct"/>
            <w:tcBorders>
              <w:top w:val="nil"/>
              <w:left w:val="nil"/>
              <w:bottom w:val="single" w:sz="4" w:space="0" w:color="auto"/>
              <w:right w:val="single" w:sz="4" w:space="0" w:color="auto"/>
            </w:tcBorders>
            <w:shd w:val="clear" w:color="auto" w:fill="auto"/>
            <w:vAlign w:val="center"/>
            <w:hideMark/>
          </w:tcPr>
          <w:p w14:paraId="498B690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0449912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2" w:type="pct"/>
            <w:tcBorders>
              <w:top w:val="nil"/>
              <w:left w:val="nil"/>
              <w:bottom w:val="single" w:sz="4" w:space="0" w:color="auto"/>
              <w:right w:val="single" w:sz="4" w:space="0" w:color="auto"/>
            </w:tcBorders>
            <w:shd w:val="clear" w:color="auto" w:fill="auto"/>
            <w:vAlign w:val="center"/>
            <w:hideMark/>
          </w:tcPr>
          <w:p w14:paraId="1551796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2" w:type="pct"/>
            <w:tcBorders>
              <w:top w:val="nil"/>
              <w:left w:val="nil"/>
              <w:bottom w:val="single" w:sz="4" w:space="0" w:color="auto"/>
              <w:right w:val="single" w:sz="4" w:space="0" w:color="auto"/>
            </w:tcBorders>
            <w:shd w:val="clear" w:color="auto" w:fill="auto"/>
            <w:vAlign w:val="center"/>
            <w:hideMark/>
          </w:tcPr>
          <w:p w14:paraId="71AC2DA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52E4EAC6" w14:textId="77777777" w:rsidTr="00900446">
        <w:trPr>
          <w:cantSplit/>
          <w:trHeight w:val="20"/>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0848B97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1.5 Becas Juventud León - 450</w:t>
            </w:r>
          </w:p>
        </w:tc>
        <w:tc>
          <w:tcPr>
            <w:tcW w:w="603" w:type="pct"/>
            <w:tcBorders>
              <w:top w:val="nil"/>
              <w:left w:val="nil"/>
              <w:bottom w:val="single" w:sz="4" w:space="0" w:color="auto"/>
              <w:right w:val="single" w:sz="4" w:space="0" w:color="auto"/>
            </w:tcBorders>
            <w:shd w:val="clear" w:color="auto" w:fill="auto"/>
            <w:vAlign w:val="center"/>
            <w:hideMark/>
          </w:tcPr>
          <w:p w14:paraId="68FEDAA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1.5.1 </w:t>
            </w:r>
          </w:p>
        </w:tc>
        <w:tc>
          <w:tcPr>
            <w:tcW w:w="737" w:type="pct"/>
            <w:tcBorders>
              <w:top w:val="nil"/>
              <w:left w:val="nil"/>
              <w:bottom w:val="single" w:sz="4" w:space="0" w:color="auto"/>
              <w:right w:val="single" w:sz="4" w:space="0" w:color="auto"/>
            </w:tcBorders>
            <w:shd w:val="clear" w:color="auto" w:fill="auto"/>
            <w:vAlign w:val="center"/>
            <w:hideMark/>
          </w:tcPr>
          <w:p w14:paraId="1417E24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1.5.1 Diseñar un programa de desarrollo de habilidades mediante un esquema de estímulos para jóvenes.</w:t>
            </w:r>
          </w:p>
        </w:tc>
        <w:tc>
          <w:tcPr>
            <w:tcW w:w="727" w:type="pct"/>
            <w:tcBorders>
              <w:top w:val="nil"/>
              <w:left w:val="nil"/>
              <w:bottom w:val="single" w:sz="4" w:space="0" w:color="auto"/>
              <w:right w:val="single" w:sz="4" w:space="0" w:color="auto"/>
            </w:tcBorders>
            <w:shd w:val="clear" w:color="auto" w:fill="auto"/>
            <w:vAlign w:val="center"/>
            <w:hideMark/>
          </w:tcPr>
          <w:p w14:paraId="7350D04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personas beneficiadas con estímulos s respecto del total programado</w:t>
            </w:r>
          </w:p>
        </w:tc>
        <w:tc>
          <w:tcPr>
            <w:tcW w:w="891" w:type="pct"/>
            <w:tcBorders>
              <w:top w:val="nil"/>
              <w:left w:val="nil"/>
              <w:bottom w:val="single" w:sz="4" w:space="0" w:color="auto"/>
              <w:right w:val="single" w:sz="4" w:space="0" w:color="auto"/>
            </w:tcBorders>
            <w:shd w:val="clear" w:color="auto" w:fill="auto"/>
            <w:vAlign w:val="center"/>
            <w:hideMark/>
          </w:tcPr>
          <w:p w14:paraId="7E5311C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Otorgar 300 estímulos  de internacionalización durante el trienio.</w:t>
            </w:r>
          </w:p>
        </w:tc>
        <w:tc>
          <w:tcPr>
            <w:tcW w:w="342" w:type="pct"/>
            <w:tcBorders>
              <w:top w:val="nil"/>
              <w:left w:val="nil"/>
              <w:bottom w:val="single" w:sz="4" w:space="0" w:color="auto"/>
              <w:right w:val="single" w:sz="4" w:space="0" w:color="auto"/>
            </w:tcBorders>
            <w:shd w:val="clear" w:color="auto" w:fill="auto"/>
            <w:vAlign w:val="center"/>
            <w:hideMark/>
          </w:tcPr>
          <w:p w14:paraId="53DCEA8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5D1F5AD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42" w:type="pct"/>
            <w:tcBorders>
              <w:top w:val="nil"/>
              <w:left w:val="nil"/>
              <w:bottom w:val="single" w:sz="4" w:space="0" w:color="auto"/>
              <w:right w:val="single" w:sz="4" w:space="0" w:color="auto"/>
            </w:tcBorders>
            <w:shd w:val="clear" w:color="auto" w:fill="auto"/>
            <w:vAlign w:val="center"/>
            <w:hideMark/>
          </w:tcPr>
          <w:p w14:paraId="16EDFE9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42" w:type="pct"/>
            <w:tcBorders>
              <w:top w:val="nil"/>
              <w:left w:val="nil"/>
              <w:bottom w:val="single" w:sz="4" w:space="0" w:color="auto"/>
              <w:right w:val="single" w:sz="4" w:space="0" w:color="auto"/>
            </w:tcBorders>
            <w:shd w:val="clear" w:color="auto" w:fill="auto"/>
            <w:vAlign w:val="center"/>
            <w:hideMark/>
          </w:tcPr>
          <w:p w14:paraId="434BED8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43B3E32B" w14:textId="77777777" w:rsidTr="00900446">
        <w:trPr>
          <w:cantSplit/>
          <w:trHeight w:val="20"/>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330FA2B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1.5 Becas Juventud León - 450</w:t>
            </w:r>
          </w:p>
        </w:tc>
        <w:tc>
          <w:tcPr>
            <w:tcW w:w="603" w:type="pct"/>
            <w:tcBorders>
              <w:top w:val="nil"/>
              <w:left w:val="nil"/>
              <w:bottom w:val="single" w:sz="4" w:space="0" w:color="auto"/>
              <w:right w:val="single" w:sz="4" w:space="0" w:color="auto"/>
            </w:tcBorders>
            <w:shd w:val="clear" w:color="auto" w:fill="auto"/>
            <w:vAlign w:val="center"/>
            <w:hideMark/>
          </w:tcPr>
          <w:p w14:paraId="79E333A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1.5.2 </w:t>
            </w:r>
          </w:p>
        </w:tc>
        <w:tc>
          <w:tcPr>
            <w:tcW w:w="737" w:type="pct"/>
            <w:tcBorders>
              <w:top w:val="nil"/>
              <w:left w:val="nil"/>
              <w:bottom w:val="single" w:sz="4" w:space="0" w:color="auto"/>
              <w:right w:val="single" w:sz="4" w:space="0" w:color="auto"/>
            </w:tcBorders>
            <w:shd w:val="clear" w:color="auto" w:fill="auto"/>
            <w:vAlign w:val="center"/>
            <w:hideMark/>
          </w:tcPr>
          <w:p w14:paraId="1C42803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1.5.2 Desarrollar una plataforma para la formación de habilidades y competencias para las personas jóvenes.</w:t>
            </w:r>
          </w:p>
        </w:tc>
        <w:tc>
          <w:tcPr>
            <w:tcW w:w="727" w:type="pct"/>
            <w:tcBorders>
              <w:top w:val="nil"/>
              <w:left w:val="nil"/>
              <w:bottom w:val="single" w:sz="4" w:space="0" w:color="auto"/>
              <w:right w:val="single" w:sz="4" w:space="0" w:color="auto"/>
            </w:tcBorders>
            <w:shd w:val="clear" w:color="auto" w:fill="auto"/>
            <w:vAlign w:val="center"/>
            <w:hideMark/>
          </w:tcPr>
          <w:p w14:paraId="3E3C938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desarrollo de la plataforma para la formación de habilidades respecto del total </w:t>
            </w:r>
          </w:p>
        </w:tc>
        <w:tc>
          <w:tcPr>
            <w:tcW w:w="891" w:type="pct"/>
            <w:tcBorders>
              <w:top w:val="nil"/>
              <w:left w:val="nil"/>
              <w:bottom w:val="single" w:sz="4" w:space="0" w:color="auto"/>
              <w:right w:val="single" w:sz="4" w:space="0" w:color="auto"/>
            </w:tcBorders>
            <w:shd w:val="clear" w:color="auto" w:fill="auto"/>
            <w:vAlign w:val="center"/>
            <w:hideMark/>
          </w:tcPr>
          <w:p w14:paraId="34F4263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Desarrollar la plataforma de formación de habilidades durante el trienio</w:t>
            </w:r>
          </w:p>
        </w:tc>
        <w:tc>
          <w:tcPr>
            <w:tcW w:w="342" w:type="pct"/>
            <w:tcBorders>
              <w:top w:val="nil"/>
              <w:left w:val="nil"/>
              <w:bottom w:val="single" w:sz="4" w:space="0" w:color="auto"/>
              <w:right w:val="single" w:sz="4" w:space="0" w:color="auto"/>
            </w:tcBorders>
            <w:shd w:val="clear" w:color="auto" w:fill="auto"/>
            <w:vAlign w:val="center"/>
            <w:hideMark/>
          </w:tcPr>
          <w:p w14:paraId="156BD29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647AE24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41%</w:t>
            </w:r>
          </w:p>
        </w:tc>
        <w:tc>
          <w:tcPr>
            <w:tcW w:w="342" w:type="pct"/>
            <w:tcBorders>
              <w:top w:val="nil"/>
              <w:left w:val="nil"/>
              <w:bottom w:val="single" w:sz="4" w:space="0" w:color="auto"/>
              <w:right w:val="single" w:sz="4" w:space="0" w:color="auto"/>
            </w:tcBorders>
            <w:shd w:val="clear" w:color="auto" w:fill="auto"/>
            <w:vAlign w:val="center"/>
            <w:hideMark/>
          </w:tcPr>
          <w:p w14:paraId="59481F4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29%</w:t>
            </w:r>
          </w:p>
        </w:tc>
        <w:tc>
          <w:tcPr>
            <w:tcW w:w="342" w:type="pct"/>
            <w:tcBorders>
              <w:top w:val="nil"/>
              <w:left w:val="nil"/>
              <w:bottom w:val="single" w:sz="4" w:space="0" w:color="auto"/>
              <w:right w:val="single" w:sz="4" w:space="0" w:color="auto"/>
            </w:tcBorders>
            <w:shd w:val="clear" w:color="auto" w:fill="auto"/>
            <w:vAlign w:val="center"/>
            <w:hideMark/>
          </w:tcPr>
          <w:p w14:paraId="3EE3C97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29%</w:t>
            </w:r>
          </w:p>
        </w:tc>
      </w:tr>
      <w:tr w:rsidR="00794EB9" w:rsidRPr="00794EB9" w14:paraId="0628E740" w14:textId="77777777" w:rsidTr="00900446">
        <w:trPr>
          <w:cantSplit/>
          <w:trHeight w:val="20"/>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671ED0C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 VM. 1.6 Vivienda digna</w:t>
            </w:r>
          </w:p>
        </w:tc>
        <w:tc>
          <w:tcPr>
            <w:tcW w:w="603" w:type="pct"/>
            <w:tcBorders>
              <w:top w:val="nil"/>
              <w:left w:val="nil"/>
              <w:bottom w:val="single" w:sz="4" w:space="0" w:color="auto"/>
              <w:right w:val="single" w:sz="4" w:space="0" w:color="auto"/>
            </w:tcBorders>
            <w:shd w:val="clear" w:color="auto" w:fill="auto"/>
            <w:vAlign w:val="center"/>
            <w:hideMark/>
          </w:tcPr>
          <w:p w14:paraId="243C01D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1.6.1 </w:t>
            </w:r>
          </w:p>
        </w:tc>
        <w:tc>
          <w:tcPr>
            <w:tcW w:w="737" w:type="pct"/>
            <w:tcBorders>
              <w:top w:val="nil"/>
              <w:left w:val="nil"/>
              <w:bottom w:val="single" w:sz="4" w:space="0" w:color="auto"/>
              <w:right w:val="single" w:sz="4" w:space="0" w:color="auto"/>
            </w:tcBorders>
            <w:shd w:val="clear" w:color="auto" w:fill="auto"/>
            <w:vAlign w:val="center"/>
            <w:hideMark/>
          </w:tcPr>
          <w:p w14:paraId="2D1F5AA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1.6.1  Dotar de certeza jurídica a los asentamientos y colonias que sean factibles de regularización</w:t>
            </w:r>
          </w:p>
        </w:tc>
        <w:tc>
          <w:tcPr>
            <w:tcW w:w="727" w:type="pct"/>
            <w:tcBorders>
              <w:top w:val="nil"/>
              <w:left w:val="nil"/>
              <w:bottom w:val="single" w:sz="4" w:space="0" w:color="auto"/>
              <w:right w:val="single" w:sz="4" w:space="0" w:color="auto"/>
            </w:tcBorders>
            <w:shd w:val="clear" w:color="auto" w:fill="auto"/>
            <w:vAlign w:val="center"/>
            <w:hideMark/>
          </w:tcPr>
          <w:p w14:paraId="26E50EA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asentamientos regularizados, respecto del total establecido</w:t>
            </w:r>
          </w:p>
        </w:tc>
        <w:tc>
          <w:tcPr>
            <w:tcW w:w="891" w:type="pct"/>
            <w:tcBorders>
              <w:top w:val="nil"/>
              <w:left w:val="nil"/>
              <w:bottom w:val="single" w:sz="4" w:space="0" w:color="auto"/>
              <w:right w:val="single" w:sz="4" w:space="0" w:color="auto"/>
            </w:tcBorders>
            <w:shd w:val="clear" w:color="auto" w:fill="auto"/>
            <w:vAlign w:val="center"/>
            <w:hideMark/>
          </w:tcPr>
          <w:p w14:paraId="3C6F3A8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Dotar de certeza a 10 asentamientos factibles de regularización anualmente, durante el trienio</w:t>
            </w:r>
          </w:p>
        </w:tc>
        <w:tc>
          <w:tcPr>
            <w:tcW w:w="342" w:type="pct"/>
            <w:tcBorders>
              <w:top w:val="nil"/>
              <w:left w:val="nil"/>
              <w:bottom w:val="single" w:sz="4" w:space="0" w:color="auto"/>
              <w:right w:val="single" w:sz="4" w:space="0" w:color="auto"/>
            </w:tcBorders>
            <w:shd w:val="clear" w:color="auto" w:fill="auto"/>
            <w:vAlign w:val="center"/>
            <w:hideMark/>
          </w:tcPr>
          <w:p w14:paraId="12248F6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1F9D434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2" w:type="pct"/>
            <w:tcBorders>
              <w:top w:val="nil"/>
              <w:left w:val="nil"/>
              <w:bottom w:val="single" w:sz="4" w:space="0" w:color="auto"/>
              <w:right w:val="single" w:sz="4" w:space="0" w:color="auto"/>
            </w:tcBorders>
            <w:shd w:val="clear" w:color="auto" w:fill="auto"/>
            <w:vAlign w:val="center"/>
            <w:hideMark/>
          </w:tcPr>
          <w:p w14:paraId="6F2A8F6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2" w:type="pct"/>
            <w:tcBorders>
              <w:top w:val="nil"/>
              <w:left w:val="nil"/>
              <w:bottom w:val="single" w:sz="4" w:space="0" w:color="auto"/>
              <w:right w:val="single" w:sz="4" w:space="0" w:color="auto"/>
            </w:tcBorders>
            <w:shd w:val="clear" w:color="auto" w:fill="auto"/>
            <w:vAlign w:val="center"/>
            <w:hideMark/>
          </w:tcPr>
          <w:p w14:paraId="4ECC140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7B392D87" w14:textId="77777777" w:rsidTr="00900446">
        <w:trPr>
          <w:cantSplit/>
          <w:trHeight w:val="20"/>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6A3C372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 VM. 1.6 Vivienda digna</w:t>
            </w:r>
          </w:p>
        </w:tc>
        <w:tc>
          <w:tcPr>
            <w:tcW w:w="603" w:type="pct"/>
            <w:tcBorders>
              <w:top w:val="nil"/>
              <w:left w:val="nil"/>
              <w:bottom w:val="single" w:sz="4" w:space="0" w:color="auto"/>
              <w:right w:val="single" w:sz="4" w:space="0" w:color="auto"/>
            </w:tcBorders>
            <w:shd w:val="clear" w:color="auto" w:fill="auto"/>
            <w:vAlign w:val="center"/>
            <w:hideMark/>
          </w:tcPr>
          <w:p w14:paraId="231C8FC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1.6.2 </w:t>
            </w:r>
          </w:p>
        </w:tc>
        <w:tc>
          <w:tcPr>
            <w:tcW w:w="737" w:type="pct"/>
            <w:tcBorders>
              <w:top w:val="nil"/>
              <w:left w:val="nil"/>
              <w:bottom w:val="single" w:sz="4" w:space="0" w:color="auto"/>
              <w:right w:val="single" w:sz="4" w:space="0" w:color="auto"/>
            </w:tcBorders>
            <w:shd w:val="clear" w:color="auto" w:fill="auto"/>
            <w:vAlign w:val="center"/>
            <w:hideMark/>
          </w:tcPr>
          <w:p w14:paraId="19C4E9D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1.6.2 Implementar obras y acciones que amplíen o mejoren el acceso a los servicios básicos en las viviendas.</w:t>
            </w:r>
          </w:p>
        </w:tc>
        <w:tc>
          <w:tcPr>
            <w:tcW w:w="727" w:type="pct"/>
            <w:tcBorders>
              <w:top w:val="nil"/>
              <w:left w:val="nil"/>
              <w:bottom w:val="single" w:sz="4" w:space="0" w:color="auto"/>
              <w:right w:val="single" w:sz="4" w:space="0" w:color="auto"/>
            </w:tcBorders>
            <w:shd w:val="clear" w:color="auto" w:fill="auto"/>
            <w:vAlign w:val="center"/>
            <w:hideMark/>
          </w:tcPr>
          <w:p w14:paraId="324B8C1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obras realizadas para infraestructura de servicios básicos respecto de las programadas conforme al presupuesto autorizado</w:t>
            </w:r>
          </w:p>
        </w:tc>
        <w:tc>
          <w:tcPr>
            <w:tcW w:w="891" w:type="pct"/>
            <w:tcBorders>
              <w:top w:val="nil"/>
              <w:left w:val="nil"/>
              <w:bottom w:val="single" w:sz="4" w:space="0" w:color="auto"/>
              <w:right w:val="single" w:sz="4" w:space="0" w:color="auto"/>
            </w:tcBorders>
            <w:shd w:val="clear" w:color="auto" w:fill="auto"/>
            <w:vAlign w:val="center"/>
            <w:hideMark/>
          </w:tcPr>
          <w:p w14:paraId="1749FD9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las obras programadas, conforme al presupuesto autorizado durante el trienio.</w:t>
            </w:r>
          </w:p>
        </w:tc>
        <w:tc>
          <w:tcPr>
            <w:tcW w:w="342" w:type="pct"/>
            <w:tcBorders>
              <w:top w:val="nil"/>
              <w:left w:val="nil"/>
              <w:bottom w:val="single" w:sz="4" w:space="0" w:color="auto"/>
              <w:right w:val="single" w:sz="4" w:space="0" w:color="auto"/>
            </w:tcBorders>
            <w:shd w:val="clear" w:color="auto" w:fill="auto"/>
            <w:vAlign w:val="center"/>
            <w:hideMark/>
          </w:tcPr>
          <w:p w14:paraId="0C91416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3B87AA5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42" w:type="pct"/>
            <w:tcBorders>
              <w:top w:val="nil"/>
              <w:left w:val="nil"/>
              <w:bottom w:val="single" w:sz="4" w:space="0" w:color="auto"/>
              <w:right w:val="single" w:sz="4" w:space="0" w:color="auto"/>
            </w:tcBorders>
            <w:shd w:val="clear" w:color="auto" w:fill="auto"/>
            <w:vAlign w:val="center"/>
            <w:hideMark/>
          </w:tcPr>
          <w:p w14:paraId="5E9ED13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42" w:type="pct"/>
            <w:tcBorders>
              <w:top w:val="nil"/>
              <w:left w:val="nil"/>
              <w:bottom w:val="single" w:sz="4" w:space="0" w:color="auto"/>
              <w:right w:val="single" w:sz="4" w:space="0" w:color="auto"/>
            </w:tcBorders>
            <w:shd w:val="clear" w:color="auto" w:fill="auto"/>
            <w:vAlign w:val="center"/>
            <w:hideMark/>
          </w:tcPr>
          <w:p w14:paraId="0DCC8C9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3211C95C" w14:textId="77777777" w:rsidTr="00900446">
        <w:trPr>
          <w:cantSplit/>
          <w:trHeight w:val="20"/>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5B947D3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 VM. 1.6 Vivienda digna</w:t>
            </w:r>
          </w:p>
        </w:tc>
        <w:tc>
          <w:tcPr>
            <w:tcW w:w="603" w:type="pct"/>
            <w:tcBorders>
              <w:top w:val="nil"/>
              <w:left w:val="nil"/>
              <w:bottom w:val="single" w:sz="4" w:space="0" w:color="auto"/>
              <w:right w:val="single" w:sz="4" w:space="0" w:color="auto"/>
            </w:tcBorders>
            <w:shd w:val="clear" w:color="auto" w:fill="auto"/>
            <w:vAlign w:val="center"/>
            <w:hideMark/>
          </w:tcPr>
          <w:p w14:paraId="6A958E4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VM. 1.6.2</w:t>
            </w:r>
          </w:p>
        </w:tc>
        <w:tc>
          <w:tcPr>
            <w:tcW w:w="737" w:type="pct"/>
            <w:tcBorders>
              <w:top w:val="nil"/>
              <w:left w:val="nil"/>
              <w:bottom w:val="single" w:sz="4" w:space="0" w:color="auto"/>
              <w:right w:val="single" w:sz="4" w:space="0" w:color="auto"/>
            </w:tcBorders>
            <w:shd w:val="clear" w:color="auto" w:fill="auto"/>
            <w:vAlign w:val="center"/>
            <w:hideMark/>
          </w:tcPr>
          <w:p w14:paraId="067F78E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1.6.2 Implementar obras y acciones que amplíen o mejoren el acceso a los servicios básicos en las viviendas.</w:t>
            </w:r>
          </w:p>
        </w:tc>
        <w:tc>
          <w:tcPr>
            <w:tcW w:w="727" w:type="pct"/>
            <w:tcBorders>
              <w:top w:val="nil"/>
              <w:left w:val="nil"/>
              <w:bottom w:val="single" w:sz="4" w:space="0" w:color="auto"/>
              <w:right w:val="single" w:sz="4" w:space="0" w:color="auto"/>
            </w:tcBorders>
            <w:shd w:val="clear" w:color="auto" w:fill="auto"/>
            <w:vAlign w:val="center"/>
            <w:hideMark/>
          </w:tcPr>
          <w:p w14:paraId="634E2A9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obras realizadas respecto del total de obras programadas</w:t>
            </w:r>
          </w:p>
        </w:tc>
        <w:tc>
          <w:tcPr>
            <w:tcW w:w="891" w:type="pct"/>
            <w:tcBorders>
              <w:top w:val="nil"/>
              <w:left w:val="nil"/>
              <w:bottom w:val="single" w:sz="4" w:space="0" w:color="auto"/>
              <w:right w:val="single" w:sz="4" w:space="0" w:color="auto"/>
            </w:tcBorders>
            <w:shd w:val="clear" w:color="auto" w:fill="auto"/>
            <w:vAlign w:val="center"/>
            <w:hideMark/>
          </w:tcPr>
          <w:p w14:paraId="48C468D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al menos 30 obras de introducción de servicios en zona urbana</w:t>
            </w:r>
          </w:p>
        </w:tc>
        <w:tc>
          <w:tcPr>
            <w:tcW w:w="342" w:type="pct"/>
            <w:tcBorders>
              <w:top w:val="nil"/>
              <w:left w:val="nil"/>
              <w:bottom w:val="single" w:sz="4" w:space="0" w:color="auto"/>
              <w:right w:val="single" w:sz="4" w:space="0" w:color="auto"/>
            </w:tcBorders>
            <w:shd w:val="clear" w:color="auto" w:fill="auto"/>
            <w:vAlign w:val="center"/>
            <w:hideMark/>
          </w:tcPr>
          <w:p w14:paraId="31F73B0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74A142F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42" w:type="pct"/>
            <w:tcBorders>
              <w:top w:val="nil"/>
              <w:left w:val="nil"/>
              <w:bottom w:val="single" w:sz="4" w:space="0" w:color="auto"/>
              <w:right w:val="single" w:sz="4" w:space="0" w:color="auto"/>
            </w:tcBorders>
            <w:shd w:val="clear" w:color="auto" w:fill="auto"/>
            <w:vAlign w:val="center"/>
            <w:hideMark/>
          </w:tcPr>
          <w:p w14:paraId="6993682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42" w:type="pct"/>
            <w:tcBorders>
              <w:top w:val="nil"/>
              <w:left w:val="nil"/>
              <w:bottom w:val="single" w:sz="4" w:space="0" w:color="auto"/>
              <w:right w:val="single" w:sz="4" w:space="0" w:color="auto"/>
            </w:tcBorders>
            <w:shd w:val="clear" w:color="auto" w:fill="auto"/>
            <w:vAlign w:val="center"/>
            <w:hideMark/>
          </w:tcPr>
          <w:p w14:paraId="5710943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1E209652" w14:textId="77777777" w:rsidTr="00900446">
        <w:trPr>
          <w:cantSplit/>
          <w:trHeight w:val="20"/>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6F6692A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 VM. 1.6 Vivienda digna</w:t>
            </w:r>
          </w:p>
        </w:tc>
        <w:tc>
          <w:tcPr>
            <w:tcW w:w="603" w:type="pct"/>
            <w:tcBorders>
              <w:top w:val="nil"/>
              <w:left w:val="nil"/>
              <w:bottom w:val="single" w:sz="4" w:space="0" w:color="auto"/>
              <w:right w:val="single" w:sz="4" w:space="0" w:color="auto"/>
            </w:tcBorders>
            <w:shd w:val="clear" w:color="auto" w:fill="auto"/>
            <w:vAlign w:val="center"/>
            <w:hideMark/>
          </w:tcPr>
          <w:p w14:paraId="4D16094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VM. 1.6.2</w:t>
            </w:r>
          </w:p>
        </w:tc>
        <w:tc>
          <w:tcPr>
            <w:tcW w:w="737" w:type="pct"/>
            <w:tcBorders>
              <w:top w:val="nil"/>
              <w:left w:val="nil"/>
              <w:bottom w:val="single" w:sz="4" w:space="0" w:color="auto"/>
              <w:right w:val="single" w:sz="4" w:space="0" w:color="auto"/>
            </w:tcBorders>
            <w:shd w:val="clear" w:color="auto" w:fill="auto"/>
            <w:vAlign w:val="center"/>
            <w:hideMark/>
          </w:tcPr>
          <w:p w14:paraId="616E001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1.6.2 Implementar obras y acciones que amplíen o mejoren el acceso a los servicios básicos en las viviendas.</w:t>
            </w:r>
          </w:p>
        </w:tc>
        <w:tc>
          <w:tcPr>
            <w:tcW w:w="727" w:type="pct"/>
            <w:tcBorders>
              <w:top w:val="nil"/>
              <w:left w:val="nil"/>
              <w:bottom w:val="single" w:sz="4" w:space="0" w:color="auto"/>
              <w:right w:val="single" w:sz="4" w:space="0" w:color="auto"/>
            </w:tcBorders>
            <w:shd w:val="clear" w:color="auto" w:fill="auto"/>
            <w:vAlign w:val="center"/>
            <w:hideMark/>
          </w:tcPr>
          <w:p w14:paraId="5407624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obras realizadas respecto del total de obras programadas</w:t>
            </w:r>
          </w:p>
        </w:tc>
        <w:tc>
          <w:tcPr>
            <w:tcW w:w="891" w:type="pct"/>
            <w:tcBorders>
              <w:top w:val="nil"/>
              <w:left w:val="nil"/>
              <w:bottom w:val="single" w:sz="4" w:space="0" w:color="auto"/>
              <w:right w:val="single" w:sz="4" w:space="0" w:color="auto"/>
            </w:tcBorders>
            <w:shd w:val="clear" w:color="auto" w:fill="auto"/>
            <w:vAlign w:val="center"/>
            <w:hideMark/>
          </w:tcPr>
          <w:p w14:paraId="3A512BE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39 obras de mejoramiento de alumbrado público durante el trienio</w:t>
            </w:r>
          </w:p>
        </w:tc>
        <w:tc>
          <w:tcPr>
            <w:tcW w:w="342" w:type="pct"/>
            <w:tcBorders>
              <w:top w:val="nil"/>
              <w:left w:val="nil"/>
              <w:bottom w:val="single" w:sz="4" w:space="0" w:color="auto"/>
              <w:right w:val="single" w:sz="4" w:space="0" w:color="auto"/>
            </w:tcBorders>
            <w:shd w:val="clear" w:color="auto" w:fill="auto"/>
            <w:vAlign w:val="center"/>
            <w:hideMark/>
          </w:tcPr>
          <w:p w14:paraId="570E4A6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5A48690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42" w:type="pct"/>
            <w:tcBorders>
              <w:top w:val="nil"/>
              <w:left w:val="nil"/>
              <w:bottom w:val="single" w:sz="4" w:space="0" w:color="auto"/>
              <w:right w:val="single" w:sz="4" w:space="0" w:color="auto"/>
            </w:tcBorders>
            <w:shd w:val="clear" w:color="auto" w:fill="auto"/>
            <w:vAlign w:val="center"/>
            <w:hideMark/>
          </w:tcPr>
          <w:p w14:paraId="26F2A3D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42" w:type="pct"/>
            <w:tcBorders>
              <w:top w:val="nil"/>
              <w:left w:val="nil"/>
              <w:bottom w:val="single" w:sz="4" w:space="0" w:color="auto"/>
              <w:right w:val="single" w:sz="4" w:space="0" w:color="auto"/>
            </w:tcBorders>
            <w:shd w:val="clear" w:color="auto" w:fill="auto"/>
            <w:vAlign w:val="center"/>
            <w:hideMark/>
          </w:tcPr>
          <w:p w14:paraId="4585191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79131FB2" w14:textId="77777777" w:rsidTr="00900446">
        <w:trPr>
          <w:cantSplit/>
          <w:trHeight w:val="20"/>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6333912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 VM. 1.6 Vivienda digna</w:t>
            </w:r>
          </w:p>
        </w:tc>
        <w:tc>
          <w:tcPr>
            <w:tcW w:w="603" w:type="pct"/>
            <w:tcBorders>
              <w:top w:val="nil"/>
              <w:left w:val="nil"/>
              <w:bottom w:val="single" w:sz="4" w:space="0" w:color="auto"/>
              <w:right w:val="single" w:sz="4" w:space="0" w:color="auto"/>
            </w:tcBorders>
            <w:shd w:val="clear" w:color="auto" w:fill="auto"/>
            <w:vAlign w:val="center"/>
            <w:hideMark/>
          </w:tcPr>
          <w:p w14:paraId="4C540B9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VM. 1.6.2</w:t>
            </w:r>
          </w:p>
        </w:tc>
        <w:tc>
          <w:tcPr>
            <w:tcW w:w="737" w:type="pct"/>
            <w:tcBorders>
              <w:top w:val="nil"/>
              <w:left w:val="nil"/>
              <w:bottom w:val="single" w:sz="4" w:space="0" w:color="auto"/>
              <w:right w:val="single" w:sz="4" w:space="0" w:color="auto"/>
            </w:tcBorders>
            <w:shd w:val="clear" w:color="auto" w:fill="auto"/>
            <w:vAlign w:val="center"/>
            <w:hideMark/>
          </w:tcPr>
          <w:p w14:paraId="4F4E515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1.6.2 Implementar obras y acciones que amplíen o mejoren el acceso a los servicios básicos en las viviendas.</w:t>
            </w:r>
          </w:p>
        </w:tc>
        <w:tc>
          <w:tcPr>
            <w:tcW w:w="727" w:type="pct"/>
            <w:tcBorders>
              <w:top w:val="nil"/>
              <w:left w:val="nil"/>
              <w:bottom w:val="single" w:sz="4" w:space="0" w:color="auto"/>
              <w:right w:val="single" w:sz="4" w:space="0" w:color="auto"/>
            </w:tcBorders>
            <w:shd w:val="clear" w:color="auto" w:fill="auto"/>
            <w:vAlign w:val="center"/>
            <w:hideMark/>
          </w:tcPr>
          <w:p w14:paraId="0A933F2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obras realizadas respecto del total de obras programadas</w:t>
            </w:r>
          </w:p>
        </w:tc>
        <w:tc>
          <w:tcPr>
            <w:tcW w:w="891" w:type="pct"/>
            <w:tcBorders>
              <w:top w:val="nil"/>
              <w:left w:val="nil"/>
              <w:bottom w:val="single" w:sz="4" w:space="0" w:color="auto"/>
              <w:right w:val="single" w:sz="4" w:space="0" w:color="auto"/>
            </w:tcBorders>
            <w:shd w:val="clear" w:color="auto" w:fill="auto"/>
            <w:vAlign w:val="center"/>
            <w:hideMark/>
          </w:tcPr>
          <w:p w14:paraId="09013A65" w14:textId="77777777" w:rsidR="00794EB9" w:rsidRDefault="00794EB9" w:rsidP="005F65D5">
            <w:pPr>
              <w:jc w:val="center"/>
              <w:rPr>
                <w:rFonts w:ascii="Arial" w:hAnsi="Arial" w:cs="Arial"/>
                <w:sz w:val="22"/>
                <w:szCs w:val="22"/>
                <w:lang w:eastAsia="es-MX"/>
              </w:rPr>
            </w:pPr>
            <w:r w:rsidRPr="00794EB9">
              <w:rPr>
                <w:rFonts w:ascii="Arial" w:hAnsi="Arial" w:cs="Arial"/>
                <w:sz w:val="22"/>
                <w:szCs w:val="22"/>
                <w:lang w:eastAsia="es-MX"/>
              </w:rPr>
              <w:t xml:space="preserve">Realizar </w:t>
            </w:r>
            <w:r w:rsidR="005F65D5">
              <w:rPr>
                <w:rFonts w:ascii="Arial" w:hAnsi="Arial" w:cs="Arial"/>
                <w:sz w:val="22"/>
                <w:szCs w:val="22"/>
                <w:lang w:eastAsia="es-MX"/>
              </w:rPr>
              <w:t>30</w:t>
            </w:r>
            <w:r w:rsidRPr="00794EB9">
              <w:rPr>
                <w:rFonts w:ascii="Arial" w:hAnsi="Arial" w:cs="Arial"/>
                <w:sz w:val="22"/>
                <w:szCs w:val="22"/>
                <w:lang w:eastAsia="es-MX"/>
              </w:rPr>
              <w:t xml:space="preserve"> obras de electrificación en zona rural durante el trienio </w:t>
            </w:r>
          </w:p>
          <w:p w14:paraId="0F29EF70" w14:textId="77777777" w:rsidR="005F65D5" w:rsidRDefault="005F65D5" w:rsidP="005F65D5">
            <w:pPr>
              <w:jc w:val="center"/>
              <w:rPr>
                <w:rFonts w:ascii="Arial" w:hAnsi="Arial" w:cs="Arial"/>
                <w:sz w:val="22"/>
                <w:szCs w:val="22"/>
                <w:lang w:eastAsia="es-MX"/>
              </w:rPr>
            </w:pPr>
          </w:p>
          <w:p w14:paraId="4DE9F4F6" w14:textId="622E8DE7" w:rsidR="005F65D5" w:rsidRPr="005F65D5" w:rsidRDefault="00FB4DF0" w:rsidP="00F17E23">
            <w:pPr>
              <w:jc w:val="center"/>
              <w:rPr>
                <w:rFonts w:ascii="Arial" w:hAnsi="Arial" w:cs="Arial"/>
                <w:b/>
                <w:sz w:val="18"/>
                <w:szCs w:val="18"/>
                <w:lang w:eastAsia="es-MX"/>
              </w:rPr>
            </w:pPr>
            <w:r>
              <w:rPr>
                <w:rFonts w:ascii="Arial" w:hAnsi="Arial" w:cs="Arial"/>
                <w:b/>
                <w:color w:val="002060"/>
                <w:sz w:val="18"/>
                <w:szCs w:val="18"/>
                <w:lang w:eastAsia="es-MX"/>
              </w:rPr>
              <w:t>Meta</w:t>
            </w:r>
            <w:r w:rsidR="005F65D5" w:rsidRPr="005F65D5">
              <w:rPr>
                <w:rFonts w:ascii="Arial" w:hAnsi="Arial" w:cs="Arial"/>
                <w:b/>
                <w:color w:val="002060"/>
                <w:sz w:val="18"/>
                <w:szCs w:val="18"/>
                <w:lang w:eastAsia="es-MX"/>
              </w:rPr>
              <w:t xml:space="preserve"> y </w:t>
            </w:r>
            <w:r w:rsidR="00F17E23">
              <w:rPr>
                <w:rFonts w:ascii="Arial" w:hAnsi="Arial" w:cs="Arial"/>
                <w:b/>
                <w:color w:val="002060"/>
                <w:sz w:val="18"/>
                <w:szCs w:val="18"/>
                <w:lang w:eastAsia="es-MX"/>
              </w:rPr>
              <w:t>metas anuales</w:t>
            </w:r>
            <w:r w:rsidR="005F65D5" w:rsidRPr="005F65D5">
              <w:rPr>
                <w:rFonts w:ascii="Arial" w:hAnsi="Arial" w:cs="Arial"/>
                <w:b/>
                <w:color w:val="002060"/>
                <w:sz w:val="18"/>
                <w:szCs w:val="18"/>
                <w:lang w:eastAsia="es-MX"/>
              </w:rPr>
              <w:t xml:space="preserve"> incrementadas P.O. 27-12-2022</w:t>
            </w:r>
          </w:p>
        </w:tc>
        <w:tc>
          <w:tcPr>
            <w:tcW w:w="342" w:type="pct"/>
            <w:tcBorders>
              <w:top w:val="nil"/>
              <w:left w:val="nil"/>
              <w:bottom w:val="single" w:sz="4" w:space="0" w:color="auto"/>
              <w:right w:val="single" w:sz="4" w:space="0" w:color="auto"/>
            </w:tcBorders>
            <w:shd w:val="clear" w:color="auto" w:fill="auto"/>
            <w:vAlign w:val="center"/>
            <w:hideMark/>
          </w:tcPr>
          <w:p w14:paraId="236753A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4E007EFD" w14:textId="6E6A2EAE" w:rsidR="00794EB9" w:rsidRPr="00794EB9" w:rsidRDefault="00255030" w:rsidP="00C307FB">
            <w:pPr>
              <w:jc w:val="center"/>
              <w:rPr>
                <w:rFonts w:ascii="Arial" w:hAnsi="Arial" w:cs="Arial"/>
                <w:sz w:val="22"/>
                <w:szCs w:val="22"/>
                <w:lang w:eastAsia="es-MX"/>
              </w:rPr>
            </w:pPr>
            <w:r>
              <w:rPr>
                <w:rFonts w:ascii="Arial" w:hAnsi="Arial" w:cs="Arial"/>
                <w:sz w:val="22"/>
                <w:szCs w:val="22"/>
                <w:lang w:eastAsia="es-MX"/>
              </w:rPr>
              <w:t>50</w:t>
            </w:r>
            <w:r w:rsidR="00794EB9" w:rsidRPr="00794EB9">
              <w:rPr>
                <w:rFonts w:ascii="Arial" w:hAnsi="Arial" w:cs="Arial"/>
                <w:sz w:val="22"/>
                <w:szCs w:val="22"/>
                <w:lang w:eastAsia="es-MX"/>
              </w:rPr>
              <w:t>%</w:t>
            </w:r>
          </w:p>
        </w:tc>
        <w:tc>
          <w:tcPr>
            <w:tcW w:w="342" w:type="pct"/>
            <w:tcBorders>
              <w:top w:val="nil"/>
              <w:left w:val="nil"/>
              <w:bottom w:val="single" w:sz="4" w:space="0" w:color="auto"/>
              <w:right w:val="single" w:sz="4" w:space="0" w:color="auto"/>
            </w:tcBorders>
            <w:shd w:val="clear" w:color="auto" w:fill="auto"/>
            <w:vAlign w:val="center"/>
            <w:hideMark/>
          </w:tcPr>
          <w:p w14:paraId="04148389" w14:textId="2BA5C291" w:rsidR="00794EB9" w:rsidRPr="00794EB9" w:rsidRDefault="00255030" w:rsidP="00C307FB">
            <w:pPr>
              <w:jc w:val="center"/>
              <w:rPr>
                <w:rFonts w:ascii="Arial" w:hAnsi="Arial" w:cs="Arial"/>
                <w:sz w:val="22"/>
                <w:szCs w:val="22"/>
                <w:lang w:eastAsia="es-MX"/>
              </w:rPr>
            </w:pPr>
            <w:r>
              <w:rPr>
                <w:rFonts w:ascii="Arial" w:hAnsi="Arial" w:cs="Arial"/>
                <w:sz w:val="22"/>
                <w:szCs w:val="22"/>
                <w:lang w:eastAsia="es-MX"/>
              </w:rPr>
              <w:t>25</w:t>
            </w:r>
            <w:r w:rsidR="00794EB9" w:rsidRPr="00794EB9">
              <w:rPr>
                <w:rFonts w:ascii="Arial" w:hAnsi="Arial" w:cs="Arial"/>
                <w:sz w:val="22"/>
                <w:szCs w:val="22"/>
                <w:lang w:eastAsia="es-MX"/>
              </w:rPr>
              <w:t>%</w:t>
            </w:r>
          </w:p>
        </w:tc>
        <w:tc>
          <w:tcPr>
            <w:tcW w:w="342" w:type="pct"/>
            <w:tcBorders>
              <w:top w:val="nil"/>
              <w:left w:val="nil"/>
              <w:bottom w:val="single" w:sz="4" w:space="0" w:color="auto"/>
              <w:right w:val="single" w:sz="4" w:space="0" w:color="auto"/>
            </w:tcBorders>
            <w:shd w:val="clear" w:color="auto" w:fill="auto"/>
            <w:vAlign w:val="center"/>
            <w:hideMark/>
          </w:tcPr>
          <w:p w14:paraId="2206C728" w14:textId="7B7DB5D4" w:rsidR="00794EB9" w:rsidRPr="00794EB9" w:rsidRDefault="00255030" w:rsidP="00C307FB">
            <w:pPr>
              <w:jc w:val="center"/>
              <w:rPr>
                <w:rFonts w:ascii="Arial" w:hAnsi="Arial" w:cs="Arial"/>
                <w:sz w:val="22"/>
                <w:szCs w:val="22"/>
                <w:lang w:eastAsia="es-MX"/>
              </w:rPr>
            </w:pPr>
            <w:r>
              <w:rPr>
                <w:rFonts w:ascii="Arial" w:hAnsi="Arial" w:cs="Arial"/>
                <w:sz w:val="22"/>
                <w:szCs w:val="22"/>
                <w:lang w:eastAsia="es-MX"/>
              </w:rPr>
              <w:t>25</w:t>
            </w:r>
            <w:r w:rsidR="00794EB9" w:rsidRPr="00794EB9">
              <w:rPr>
                <w:rFonts w:ascii="Arial" w:hAnsi="Arial" w:cs="Arial"/>
                <w:sz w:val="22"/>
                <w:szCs w:val="22"/>
                <w:lang w:eastAsia="es-MX"/>
              </w:rPr>
              <w:t>%</w:t>
            </w:r>
          </w:p>
        </w:tc>
      </w:tr>
      <w:tr w:rsidR="00794EB9" w:rsidRPr="00794EB9" w14:paraId="7C108338" w14:textId="77777777" w:rsidTr="00900446">
        <w:trPr>
          <w:cantSplit/>
          <w:trHeight w:val="20"/>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6DB3EB8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 VM. 1.6 Vivienda digna</w:t>
            </w:r>
          </w:p>
        </w:tc>
        <w:tc>
          <w:tcPr>
            <w:tcW w:w="603" w:type="pct"/>
            <w:tcBorders>
              <w:top w:val="nil"/>
              <w:left w:val="nil"/>
              <w:bottom w:val="single" w:sz="4" w:space="0" w:color="auto"/>
              <w:right w:val="single" w:sz="4" w:space="0" w:color="auto"/>
            </w:tcBorders>
            <w:shd w:val="clear" w:color="auto" w:fill="auto"/>
            <w:vAlign w:val="center"/>
            <w:hideMark/>
          </w:tcPr>
          <w:p w14:paraId="2A5F30E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1.6.3</w:t>
            </w:r>
          </w:p>
        </w:tc>
        <w:tc>
          <w:tcPr>
            <w:tcW w:w="737" w:type="pct"/>
            <w:tcBorders>
              <w:top w:val="nil"/>
              <w:left w:val="nil"/>
              <w:bottom w:val="nil"/>
              <w:right w:val="single" w:sz="4" w:space="0" w:color="auto"/>
            </w:tcBorders>
            <w:shd w:val="clear" w:color="auto" w:fill="auto"/>
            <w:vAlign w:val="center"/>
            <w:hideMark/>
          </w:tcPr>
          <w:p w14:paraId="20E3AA7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1.6.3 Implementar apoyos para el fomento a la autoproducción, equipamiento y rehabilitación de vivienda, así como la gestión de créditos para personas de bajos ingresos. </w:t>
            </w:r>
          </w:p>
        </w:tc>
        <w:tc>
          <w:tcPr>
            <w:tcW w:w="727" w:type="pct"/>
            <w:tcBorders>
              <w:top w:val="nil"/>
              <w:left w:val="nil"/>
              <w:bottom w:val="single" w:sz="4" w:space="0" w:color="auto"/>
              <w:right w:val="single" w:sz="4" w:space="0" w:color="auto"/>
            </w:tcBorders>
            <w:shd w:val="clear" w:color="auto" w:fill="auto"/>
            <w:vAlign w:val="center"/>
            <w:hideMark/>
          </w:tcPr>
          <w:p w14:paraId="590F78F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el otorgamiento de créditos y/o subsidios respecto de lo previsto</w:t>
            </w:r>
          </w:p>
        </w:tc>
        <w:tc>
          <w:tcPr>
            <w:tcW w:w="891" w:type="pct"/>
            <w:tcBorders>
              <w:top w:val="nil"/>
              <w:left w:val="nil"/>
              <w:bottom w:val="single" w:sz="4" w:space="0" w:color="auto"/>
              <w:right w:val="single" w:sz="4" w:space="0" w:color="auto"/>
            </w:tcBorders>
            <w:shd w:val="clear" w:color="auto" w:fill="auto"/>
            <w:vAlign w:val="center"/>
            <w:hideMark/>
          </w:tcPr>
          <w:p w14:paraId="419F63A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Otorgar el 100% de 400 créditos y/o subsidios anualmente para adquisición o construcción de viviendas sociales con participación del IMUVI</w:t>
            </w:r>
          </w:p>
        </w:tc>
        <w:tc>
          <w:tcPr>
            <w:tcW w:w="342" w:type="pct"/>
            <w:tcBorders>
              <w:top w:val="nil"/>
              <w:left w:val="nil"/>
              <w:bottom w:val="single" w:sz="4" w:space="0" w:color="auto"/>
              <w:right w:val="single" w:sz="4" w:space="0" w:color="auto"/>
            </w:tcBorders>
            <w:shd w:val="clear" w:color="auto" w:fill="auto"/>
            <w:vAlign w:val="center"/>
            <w:hideMark/>
          </w:tcPr>
          <w:p w14:paraId="1ABE0C8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07F3663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2" w:type="pct"/>
            <w:tcBorders>
              <w:top w:val="nil"/>
              <w:left w:val="nil"/>
              <w:bottom w:val="single" w:sz="4" w:space="0" w:color="auto"/>
              <w:right w:val="single" w:sz="4" w:space="0" w:color="auto"/>
            </w:tcBorders>
            <w:shd w:val="clear" w:color="auto" w:fill="auto"/>
            <w:vAlign w:val="center"/>
            <w:hideMark/>
          </w:tcPr>
          <w:p w14:paraId="1FA6322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2" w:type="pct"/>
            <w:tcBorders>
              <w:top w:val="nil"/>
              <w:left w:val="nil"/>
              <w:bottom w:val="single" w:sz="4" w:space="0" w:color="auto"/>
              <w:right w:val="single" w:sz="4" w:space="0" w:color="auto"/>
            </w:tcBorders>
            <w:shd w:val="clear" w:color="auto" w:fill="auto"/>
            <w:vAlign w:val="center"/>
            <w:hideMark/>
          </w:tcPr>
          <w:p w14:paraId="45DE4BD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2519B538" w14:textId="77777777" w:rsidTr="00900446">
        <w:trPr>
          <w:cantSplit/>
          <w:trHeight w:val="20"/>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2086EEC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 VM. 1.6 Vivienda digna</w:t>
            </w:r>
          </w:p>
        </w:tc>
        <w:tc>
          <w:tcPr>
            <w:tcW w:w="603" w:type="pct"/>
            <w:tcBorders>
              <w:top w:val="nil"/>
              <w:left w:val="nil"/>
              <w:bottom w:val="single" w:sz="4" w:space="0" w:color="auto"/>
              <w:right w:val="single" w:sz="4" w:space="0" w:color="auto"/>
            </w:tcBorders>
            <w:shd w:val="clear" w:color="auto" w:fill="auto"/>
            <w:vAlign w:val="center"/>
            <w:hideMark/>
          </w:tcPr>
          <w:p w14:paraId="7384519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V.M. 1.6.3</w:t>
            </w:r>
          </w:p>
        </w:tc>
        <w:tc>
          <w:tcPr>
            <w:tcW w:w="737" w:type="pct"/>
            <w:tcBorders>
              <w:top w:val="single" w:sz="4" w:space="0" w:color="auto"/>
              <w:left w:val="nil"/>
              <w:bottom w:val="single" w:sz="4" w:space="0" w:color="auto"/>
              <w:right w:val="single" w:sz="4" w:space="0" w:color="auto"/>
            </w:tcBorders>
            <w:shd w:val="clear" w:color="auto" w:fill="auto"/>
            <w:vAlign w:val="center"/>
            <w:hideMark/>
          </w:tcPr>
          <w:p w14:paraId="363AF84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1.6.3 Implementar apoyos para el fomento a la autoproducción, equipamiento y rehabilitación de vivienda, así como la gestión de créditos para personas de bajos ingresos. </w:t>
            </w:r>
          </w:p>
        </w:tc>
        <w:tc>
          <w:tcPr>
            <w:tcW w:w="727" w:type="pct"/>
            <w:tcBorders>
              <w:top w:val="nil"/>
              <w:left w:val="nil"/>
              <w:bottom w:val="single" w:sz="4" w:space="0" w:color="auto"/>
              <w:right w:val="single" w:sz="4" w:space="0" w:color="auto"/>
            </w:tcBorders>
            <w:shd w:val="clear" w:color="auto" w:fill="auto"/>
            <w:vAlign w:val="center"/>
            <w:hideMark/>
          </w:tcPr>
          <w:p w14:paraId="0F52ACC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apoyos otorgados de acuerdo al programa presupuestal autorizado para auto construcción </w:t>
            </w:r>
          </w:p>
        </w:tc>
        <w:tc>
          <w:tcPr>
            <w:tcW w:w="891" w:type="pct"/>
            <w:tcBorders>
              <w:top w:val="nil"/>
              <w:left w:val="nil"/>
              <w:bottom w:val="single" w:sz="4" w:space="0" w:color="auto"/>
              <w:right w:val="single" w:sz="4" w:space="0" w:color="auto"/>
            </w:tcBorders>
            <w:shd w:val="clear" w:color="auto" w:fill="auto"/>
            <w:vAlign w:val="center"/>
            <w:hideMark/>
          </w:tcPr>
          <w:p w14:paraId="71BA4B7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Otorgar el 100% de apoyos para autoconstrucción y autoproducción conforme al programa presupuestal autorizado durante el trienio.</w:t>
            </w:r>
          </w:p>
        </w:tc>
        <w:tc>
          <w:tcPr>
            <w:tcW w:w="342" w:type="pct"/>
            <w:tcBorders>
              <w:top w:val="nil"/>
              <w:left w:val="nil"/>
              <w:bottom w:val="single" w:sz="4" w:space="0" w:color="auto"/>
              <w:right w:val="single" w:sz="4" w:space="0" w:color="auto"/>
            </w:tcBorders>
            <w:shd w:val="clear" w:color="auto" w:fill="auto"/>
            <w:vAlign w:val="center"/>
            <w:hideMark/>
          </w:tcPr>
          <w:p w14:paraId="12EE0EE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51BE01A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2" w:type="pct"/>
            <w:tcBorders>
              <w:top w:val="nil"/>
              <w:left w:val="nil"/>
              <w:bottom w:val="single" w:sz="4" w:space="0" w:color="auto"/>
              <w:right w:val="single" w:sz="4" w:space="0" w:color="auto"/>
            </w:tcBorders>
            <w:shd w:val="clear" w:color="auto" w:fill="auto"/>
            <w:vAlign w:val="center"/>
            <w:hideMark/>
          </w:tcPr>
          <w:p w14:paraId="0151CEF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2" w:type="pct"/>
            <w:tcBorders>
              <w:top w:val="nil"/>
              <w:left w:val="nil"/>
              <w:bottom w:val="single" w:sz="4" w:space="0" w:color="auto"/>
              <w:right w:val="single" w:sz="4" w:space="0" w:color="auto"/>
            </w:tcBorders>
            <w:shd w:val="clear" w:color="auto" w:fill="auto"/>
            <w:vAlign w:val="center"/>
            <w:hideMark/>
          </w:tcPr>
          <w:p w14:paraId="3A7E94A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27D89601" w14:textId="77777777" w:rsidTr="00900446">
        <w:trPr>
          <w:cantSplit/>
          <w:trHeight w:val="20"/>
        </w:trPr>
        <w:tc>
          <w:tcPr>
            <w:tcW w:w="6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49EF8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 VM. 1.6 Vivienda digna</w:t>
            </w:r>
          </w:p>
        </w:tc>
        <w:tc>
          <w:tcPr>
            <w:tcW w:w="603" w:type="pct"/>
            <w:tcBorders>
              <w:top w:val="single" w:sz="4" w:space="0" w:color="auto"/>
              <w:left w:val="nil"/>
              <w:bottom w:val="single" w:sz="4" w:space="0" w:color="auto"/>
              <w:right w:val="single" w:sz="4" w:space="0" w:color="auto"/>
            </w:tcBorders>
            <w:shd w:val="clear" w:color="auto" w:fill="auto"/>
            <w:vAlign w:val="center"/>
            <w:hideMark/>
          </w:tcPr>
          <w:p w14:paraId="3D76BAC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V.M. 1.6.3</w:t>
            </w:r>
          </w:p>
        </w:tc>
        <w:tc>
          <w:tcPr>
            <w:tcW w:w="737" w:type="pct"/>
            <w:tcBorders>
              <w:top w:val="single" w:sz="4" w:space="0" w:color="auto"/>
              <w:left w:val="nil"/>
              <w:bottom w:val="single" w:sz="4" w:space="0" w:color="auto"/>
              <w:right w:val="single" w:sz="4" w:space="0" w:color="auto"/>
            </w:tcBorders>
            <w:shd w:val="clear" w:color="auto" w:fill="auto"/>
            <w:vAlign w:val="center"/>
            <w:hideMark/>
          </w:tcPr>
          <w:p w14:paraId="0EE828A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1.6.3 Implementar apoyos para el fomento a la autoproducción, equipamiento y rehabilitación de vivienda, así como la gestión de créditos para personas de bajos ingresos. </w:t>
            </w:r>
          </w:p>
        </w:tc>
        <w:tc>
          <w:tcPr>
            <w:tcW w:w="727" w:type="pct"/>
            <w:tcBorders>
              <w:top w:val="single" w:sz="4" w:space="0" w:color="auto"/>
              <w:left w:val="nil"/>
              <w:bottom w:val="single" w:sz="4" w:space="0" w:color="auto"/>
              <w:right w:val="single" w:sz="4" w:space="0" w:color="auto"/>
            </w:tcBorders>
            <w:shd w:val="clear" w:color="auto" w:fill="auto"/>
            <w:vAlign w:val="center"/>
            <w:hideMark/>
          </w:tcPr>
          <w:p w14:paraId="7B6B752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apoyos otorgados de acuerdo al programa presupuestal autorizado para acciones de mejoramiento de vivienda</w:t>
            </w:r>
          </w:p>
        </w:tc>
        <w:tc>
          <w:tcPr>
            <w:tcW w:w="891" w:type="pct"/>
            <w:tcBorders>
              <w:top w:val="single" w:sz="4" w:space="0" w:color="auto"/>
              <w:left w:val="nil"/>
              <w:bottom w:val="single" w:sz="4" w:space="0" w:color="auto"/>
              <w:right w:val="single" w:sz="4" w:space="0" w:color="auto"/>
            </w:tcBorders>
            <w:shd w:val="clear" w:color="auto" w:fill="auto"/>
            <w:vAlign w:val="center"/>
            <w:hideMark/>
          </w:tcPr>
          <w:p w14:paraId="6479B8F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Otorgar apoyos para acciones de mejoramiento de vivienda conforme al programa presupuestal autorizado durante el trienio.</w:t>
            </w:r>
          </w:p>
        </w:tc>
        <w:tc>
          <w:tcPr>
            <w:tcW w:w="342" w:type="pct"/>
            <w:tcBorders>
              <w:top w:val="single" w:sz="4" w:space="0" w:color="auto"/>
              <w:left w:val="nil"/>
              <w:bottom w:val="single" w:sz="4" w:space="0" w:color="auto"/>
              <w:right w:val="single" w:sz="4" w:space="0" w:color="auto"/>
            </w:tcBorders>
            <w:shd w:val="clear" w:color="auto" w:fill="auto"/>
            <w:vAlign w:val="center"/>
            <w:hideMark/>
          </w:tcPr>
          <w:p w14:paraId="2CB9183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single" w:sz="4" w:space="0" w:color="auto"/>
              <w:left w:val="nil"/>
              <w:bottom w:val="single" w:sz="4" w:space="0" w:color="auto"/>
              <w:right w:val="single" w:sz="4" w:space="0" w:color="auto"/>
            </w:tcBorders>
            <w:shd w:val="clear" w:color="auto" w:fill="auto"/>
            <w:vAlign w:val="center"/>
            <w:hideMark/>
          </w:tcPr>
          <w:p w14:paraId="53E3034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2" w:type="pct"/>
            <w:tcBorders>
              <w:top w:val="single" w:sz="4" w:space="0" w:color="auto"/>
              <w:left w:val="nil"/>
              <w:bottom w:val="single" w:sz="4" w:space="0" w:color="auto"/>
              <w:right w:val="single" w:sz="4" w:space="0" w:color="auto"/>
            </w:tcBorders>
            <w:shd w:val="clear" w:color="auto" w:fill="auto"/>
            <w:vAlign w:val="center"/>
            <w:hideMark/>
          </w:tcPr>
          <w:p w14:paraId="4702441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2" w:type="pct"/>
            <w:tcBorders>
              <w:top w:val="single" w:sz="4" w:space="0" w:color="auto"/>
              <w:left w:val="nil"/>
              <w:bottom w:val="single" w:sz="4" w:space="0" w:color="auto"/>
              <w:right w:val="single" w:sz="4" w:space="0" w:color="auto"/>
            </w:tcBorders>
            <w:shd w:val="clear" w:color="auto" w:fill="auto"/>
            <w:vAlign w:val="center"/>
            <w:hideMark/>
          </w:tcPr>
          <w:p w14:paraId="3CFBEDA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624A4F00" w14:textId="77777777" w:rsidTr="00900446">
        <w:trPr>
          <w:cantSplit/>
          <w:trHeight w:val="20"/>
        </w:trPr>
        <w:tc>
          <w:tcPr>
            <w:tcW w:w="6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FF6DA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 VM. 1.6 Vivienda digna</w:t>
            </w:r>
          </w:p>
        </w:tc>
        <w:tc>
          <w:tcPr>
            <w:tcW w:w="603" w:type="pct"/>
            <w:tcBorders>
              <w:top w:val="single" w:sz="4" w:space="0" w:color="auto"/>
              <w:left w:val="nil"/>
              <w:bottom w:val="single" w:sz="4" w:space="0" w:color="auto"/>
              <w:right w:val="single" w:sz="4" w:space="0" w:color="auto"/>
            </w:tcBorders>
            <w:shd w:val="clear" w:color="auto" w:fill="auto"/>
            <w:vAlign w:val="center"/>
            <w:hideMark/>
          </w:tcPr>
          <w:p w14:paraId="741E1F2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1.6.4 </w:t>
            </w:r>
          </w:p>
        </w:tc>
        <w:tc>
          <w:tcPr>
            <w:tcW w:w="737" w:type="pct"/>
            <w:tcBorders>
              <w:top w:val="single" w:sz="4" w:space="0" w:color="auto"/>
              <w:left w:val="nil"/>
              <w:bottom w:val="single" w:sz="4" w:space="0" w:color="auto"/>
              <w:right w:val="single" w:sz="4" w:space="0" w:color="auto"/>
            </w:tcBorders>
            <w:shd w:val="clear" w:color="auto" w:fill="auto"/>
            <w:vAlign w:val="center"/>
            <w:hideMark/>
          </w:tcPr>
          <w:p w14:paraId="429D9DD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1.6.4 Brindar apoyos para el mejoramiento de vivienda rural.</w:t>
            </w:r>
          </w:p>
        </w:tc>
        <w:tc>
          <w:tcPr>
            <w:tcW w:w="727" w:type="pct"/>
            <w:tcBorders>
              <w:top w:val="single" w:sz="4" w:space="0" w:color="auto"/>
              <w:left w:val="nil"/>
              <w:bottom w:val="single" w:sz="4" w:space="0" w:color="auto"/>
              <w:right w:val="single" w:sz="4" w:space="0" w:color="auto"/>
            </w:tcBorders>
            <w:shd w:val="clear" w:color="auto" w:fill="auto"/>
            <w:vAlign w:val="center"/>
            <w:hideMark/>
          </w:tcPr>
          <w:p w14:paraId="33BE15CE" w14:textId="2B6BE81E" w:rsidR="00794EB9" w:rsidRPr="00794EB9" w:rsidRDefault="00794EB9" w:rsidP="00255030">
            <w:pPr>
              <w:jc w:val="center"/>
              <w:rPr>
                <w:rFonts w:ascii="Arial" w:hAnsi="Arial" w:cs="Arial"/>
                <w:sz w:val="22"/>
                <w:szCs w:val="22"/>
                <w:lang w:eastAsia="es-MX"/>
              </w:rPr>
            </w:pPr>
            <w:r w:rsidRPr="00794EB9">
              <w:rPr>
                <w:rFonts w:ascii="Arial" w:hAnsi="Arial" w:cs="Arial"/>
                <w:sz w:val="22"/>
                <w:szCs w:val="22"/>
                <w:lang w:eastAsia="es-MX"/>
              </w:rPr>
              <w:t xml:space="preserve">Porcentaje </w:t>
            </w:r>
            <w:r w:rsidR="00255030">
              <w:rPr>
                <w:rFonts w:ascii="Arial" w:hAnsi="Arial" w:cs="Arial"/>
                <w:sz w:val="22"/>
                <w:szCs w:val="22"/>
                <w:lang w:eastAsia="es-MX"/>
              </w:rPr>
              <w:t>acciones otorgadas</w:t>
            </w:r>
            <w:r w:rsidRPr="00794EB9">
              <w:rPr>
                <w:rFonts w:ascii="Arial" w:hAnsi="Arial" w:cs="Arial"/>
                <w:sz w:val="22"/>
                <w:szCs w:val="22"/>
                <w:lang w:eastAsia="es-MX"/>
              </w:rPr>
              <w:t xml:space="preserve"> para mejoramiento de vivienda respecto del total autorizado</w:t>
            </w:r>
          </w:p>
        </w:tc>
        <w:tc>
          <w:tcPr>
            <w:tcW w:w="891" w:type="pct"/>
            <w:tcBorders>
              <w:top w:val="single" w:sz="4" w:space="0" w:color="auto"/>
              <w:left w:val="nil"/>
              <w:bottom w:val="single" w:sz="4" w:space="0" w:color="auto"/>
              <w:right w:val="single" w:sz="4" w:space="0" w:color="auto"/>
            </w:tcBorders>
            <w:shd w:val="clear" w:color="auto" w:fill="auto"/>
            <w:vAlign w:val="center"/>
            <w:hideMark/>
          </w:tcPr>
          <w:p w14:paraId="41CDC824" w14:textId="77777777" w:rsidR="00794EB9" w:rsidRDefault="00794EB9" w:rsidP="00255030">
            <w:pPr>
              <w:jc w:val="center"/>
              <w:rPr>
                <w:rFonts w:ascii="Arial" w:hAnsi="Arial" w:cs="Arial"/>
                <w:sz w:val="22"/>
                <w:szCs w:val="22"/>
                <w:lang w:eastAsia="es-MX"/>
              </w:rPr>
            </w:pPr>
            <w:r w:rsidRPr="00794EB9">
              <w:rPr>
                <w:rFonts w:ascii="Arial" w:hAnsi="Arial" w:cs="Arial"/>
                <w:sz w:val="22"/>
                <w:szCs w:val="22"/>
                <w:lang w:eastAsia="es-MX"/>
              </w:rPr>
              <w:t>Otorgar 1</w:t>
            </w:r>
            <w:r w:rsidR="00255030">
              <w:rPr>
                <w:rFonts w:ascii="Arial" w:hAnsi="Arial" w:cs="Arial"/>
                <w:sz w:val="22"/>
                <w:szCs w:val="22"/>
                <w:lang w:eastAsia="es-MX"/>
              </w:rPr>
              <w:t>,</w:t>
            </w:r>
            <w:r w:rsidRPr="00794EB9">
              <w:rPr>
                <w:rFonts w:ascii="Arial" w:hAnsi="Arial" w:cs="Arial"/>
                <w:sz w:val="22"/>
                <w:szCs w:val="22"/>
                <w:lang w:eastAsia="es-MX"/>
              </w:rPr>
              <w:t>2</w:t>
            </w:r>
            <w:r w:rsidR="00255030">
              <w:rPr>
                <w:rFonts w:ascii="Arial" w:hAnsi="Arial" w:cs="Arial"/>
                <w:sz w:val="22"/>
                <w:szCs w:val="22"/>
                <w:lang w:eastAsia="es-MX"/>
              </w:rPr>
              <w:t>0</w:t>
            </w:r>
            <w:r w:rsidRPr="00794EB9">
              <w:rPr>
                <w:rFonts w:ascii="Arial" w:hAnsi="Arial" w:cs="Arial"/>
                <w:sz w:val="22"/>
                <w:szCs w:val="22"/>
                <w:lang w:eastAsia="es-MX"/>
              </w:rPr>
              <w:t xml:space="preserve">0 </w:t>
            </w:r>
            <w:r w:rsidR="00255030">
              <w:rPr>
                <w:rFonts w:ascii="Arial" w:hAnsi="Arial" w:cs="Arial"/>
                <w:sz w:val="22"/>
                <w:szCs w:val="22"/>
                <w:lang w:eastAsia="es-MX"/>
              </w:rPr>
              <w:t xml:space="preserve">acciones </w:t>
            </w:r>
            <w:r w:rsidRPr="00794EB9">
              <w:rPr>
                <w:rFonts w:ascii="Arial" w:hAnsi="Arial" w:cs="Arial"/>
                <w:sz w:val="22"/>
                <w:szCs w:val="22"/>
                <w:lang w:eastAsia="es-MX"/>
              </w:rPr>
              <w:t>de mejoramiento de vivienda en zona rural de manera anual durante el trienio.</w:t>
            </w:r>
          </w:p>
          <w:p w14:paraId="0E83E0DA" w14:textId="77777777" w:rsidR="00255030" w:rsidRDefault="00255030" w:rsidP="00255030">
            <w:pPr>
              <w:jc w:val="center"/>
              <w:rPr>
                <w:rFonts w:ascii="Arial" w:hAnsi="Arial" w:cs="Arial"/>
                <w:sz w:val="22"/>
                <w:szCs w:val="22"/>
                <w:lang w:eastAsia="es-MX"/>
              </w:rPr>
            </w:pPr>
          </w:p>
          <w:p w14:paraId="1E57569B" w14:textId="1ED9947F" w:rsidR="00255030" w:rsidRPr="00255030" w:rsidRDefault="00FB4DF0" w:rsidP="00F17E23">
            <w:pPr>
              <w:jc w:val="center"/>
              <w:rPr>
                <w:rFonts w:ascii="Arial" w:hAnsi="Arial" w:cs="Arial"/>
                <w:b/>
                <w:sz w:val="18"/>
                <w:szCs w:val="18"/>
                <w:lang w:eastAsia="es-MX"/>
              </w:rPr>
            </w:pPr>
            <w:r>
              <w:rPr>
                <w:rFonts w:ascii="Arial" w:hAnsi="Arial" w:cs="Arial"/>
                <w:b/>
                <w:color w:val="002060"/>
                <w:sz w:val="18"/>
                <w:szCs w:val="18"/>
                <w:lang w:eastAsia="es-MX"/>
              </w:rPr>
              <w:t>Meta</w:t>
            </w:r>
            <w:r w:rsidR="00255030" w:rsidRPr="00255030">
              <w:rPr>
                <w:rFonts w:ascii="Arial" w:hAnsi="Arial" w:cs="Arial"/>
                <w:b/>
                <w:color w:val="002060"/>
                <w:sz w:val="18"/>
                <w:szCs w:val="18"/>
                <w:lang w:eastAsia="es-MX"/>
              </w:rPr>
              <w:t xml:space="preserve"> y metas anuales incrementadas</w:t>
            </w:r>
            <w:r w:rsidR="00255030">
              <w:rPr>
                <w:rFonts w:ascii="Arial" w:hAnsi="Arial" w:cs="Arial"/>
                <w:b/>
                <w:color w:val="002060"/>
                <w:sz w:val="18"/>
                <w:szCs w:val="18"/>
                <w:lang w:eastAsia="es-MX"/>
              </w:rPr>
              <w:t xml:space="preserve"> 27-12-2022</w:t>
            </w:r>
            <w:r w:rsidR="00255030" w:rsidRPr="00255030">
              <w:rPr>
                <w:rFonts w:ascii="Arial" w:hAnsi="Arial" w:cs="Arial"/>
                <w:b/>
                <w:color w:val="002060"/>
                <w:sz w:val="18"/>
                <w:szCs w:val="18"/>
                <w:lang w:eastAsia="es-MX"/>
              </w:rPr>
              <w:t xml:space="preserve"> </w:t>
            </w:r>
          </w:p>
        </w:tc>
        <w:tc>
          <w:tcPr>
            <w:tcW w:w="342" w:type="pct"/>
            <w:tcBorders>
              <w:top w:val="single" w:sz="4" w:space="0" w:color="auto"/>
              <w:left w:val="nil"/>
              <w:bottom w:val="single" w:sz="4" w:space="0" w:color="auto"/>
              <w:right w:val="single" w:sz="4" w:space="0" w:color="auto"/>
            </w:tcBorders>
            <w:shd w:val="clear" w:color="auto" w:fill="auto"/>
            <w:vAlign w:val="center"/>
            <w:hideMark/>
          </w:tcPr>
          <w:p w14:paraId="17A238D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single" w:sz="4" w:space="0" w:color="auto"/>
              <w:left w:val="nil"/>
              <w:bottom w:val="single" w:sz="4" w:space="0" w:color="auto"/>
              <w:right w:val="single" w:sz="4" w:space="0" w:color="auto"/>
            </w:tcBorders>
            <w:shd w:val="clear" w:color="auto" w:fill="auto"/>
            <w:vAlign w:val="center"/>
            <w:hideMark/>
          </w:tcPr>
          <w:p w14:paraId="456AB930" w14:textId="69FDD080" w:rsidR="00794EB9" w:rsidRPr="00794EB9" w:rsidRDefault="00255030" w:rsidP="00C307FB">
            <w:pPr>
              <w:jc w:val="center"/>
              <w:rPr>
                <w:rFonts w:ascii="Arial" w:hAnsi="Arial" w:cs="Arial"/>
                <w:sz w:val="22"/>
                <w:szCs w:val="22"/>
                <w:lang w:eastAsia="es-MX"/>
              </w:rPr>
            </w:pPr>
            <w:r>
              <w:rPr>
                <w:rFonts w:ascii="Arial" w:hAnsi="Arial" w:cs="Arial"/>
                <w:sz w:val="22"/>
                <w:szCs w:val="22"/>
                <w:lang w:eastAsia="es-MX"/>
              </w:rPr>
              <w:t>67</w:t>
            </w:r>
            <w:r w:rsidR="00794EB9" w:rsidRPr="00794EB9">
              <w:rPr>
                <w:rFonts w:ascii="Arial" w:hAnsi="Arial" w:cs="Arial"/>
                <w:sz w:val="22"/>
                <w:szCs w:val="22"/>
                <w:lang w:eastAsia="es-MX"/>
              </w:rPr>
              <w:t>%</w:t>
            </w:r>
          </w:p>
        </w:tc>
        <w:tc>
          <w:tcPr>
            <w:tcW w:w="342" w:type="pct"/>
            <w:tcBorders>
              <w:top w:val="single" w:sz="4" w:space="0" w:color="auto"/>
              <w:left w:val="nil"/>
              <w:bottom w:val="single" w:sz="4" w:space="0" w:color="auto"/>
              <w:right w:val="single" w:sz="4" w:space="0" w:color="auto"/>
            </w:tcBorders>
            <w:shd w:val="clear" w:color="auto" w:fill="auto"/>
            <w:vAlign w:val="center"/>
            <w:hideMark/>
          </w:tcPr>
          <w:p w14:paraId="2A4F4BAB" w14:textId="04BBF124" w:rsidR="00794EB9" w:rsidRPr="00794EB9" w:rsidRDefault="00255030" w:rsidP="00C307FB">
            <w:pPr>
              <w:jc w:val="center"/>
              <w:rPr>
                <w:rFonts w:ascii="Arial" w:hAnsi="Arial" w:cs="Arial"/>
                <w:sz w:val="22"/>
                <w:szCs w:val="22"/>
                <w:lang w:eastAsia="es-MX"/>
              </w:rPr>
            </w:pPr>
            <w:r>
              <w:rPr>
                <w:rFonts w:ascii="Arial" w:hAnsi="Arial" w:cs="Arial"/>
                <w:sz w:val="22"/>
                <w:szCs w:val="22"/>
                <w:lang w:eastAsia="es-MX"/>
              </w:rPr>
              <w:t>17</w:t>
            </w:r>
            <w:r w:rsidR="00794EB9" w:rsidRPr="00794EB9">
              <w:rPr>
                <w:rFonts w:ascii="Arial" w:hAnsi="Arial" w:cs="Arial"/>
                <w:sz w:val="22"/>
                <w:szCs w:val="22"/>
                <w:lang w:eastAsia="es-MX"/>
              </w:rPr>
              <w:t>%</w:t>
            </w:r>
          </w:p>
        </w:tc>
        <w:tc>
          <w:tcPr>
            <w:tcW w:w="342" w:type="pct"/>
            <w:tcBorders>
              <w:top w:val="single" w:sz="4" w:space="0" w:color="auto"/>
              <w:left w:val="nil"/>
              <w:bottom w:val="single" w:sz="4" w:space="0" w:color="auto"/>
              <w:right w:val="single" w:sz="4" w:space="0" w:color="auto"/>
            </w:tcBorders>
            <w:shd w:val="clear" w:color="auto" w:fill="auto"/>
            <w:vAlign w:val="center"/>
            <w:hideMark/>
          </w:tcPr>
          <w:p w14:paraId="3F16A1CF" w14:textId="659FE2D4" w:rsidR="00794EB9" w:rsidRPr="00794EB9" w:rsidRDefault="00255030" w:rsidP="00C307FB">
            <w:pPr>
              <w:jc w:val="center"/>
              <w:rPr>
                <w:rFonts w:ascii="Arial" w:hAnsi="Arial" w:cs="Arial"/>
                <w:sz w:val="22"/>
                <w:szCs w:val="22"/>
                <w:lang w:eastAsia="es-MX"/>
              </w:rPr>
            </w:pPr>
            <w:r>
              <w:rPr>
                <w:rFonts w:ascii="Arial" w:hAnsi="Arial" w:cs="Arial"/>
                <w:sz w:val="22"/>
                <w:szCs w:val="22"/>
                <w:lang w:eastAsia="es-MX"/>
              </w:rPr>
              <w:t>16</w:t>
            </w:r>
            <w:r w:rsidR="00794EB9" w:rsidRPr="00794EB9">
              <w:rPr>
                <w:rFonts w:ascii="Arial" w:hAnsi="Arial" w:cs="Arial"/>
                <w:sz w:val="22"/>
                <w:szCs w:val="22"/>
                <w:lang w:eastAsia="es-MX"/>
              </w:rPr>
              <w:t>%</w:t>
            </w:r>
          </w:p>
        </w:tc>
      </w:tr>
      <w:tr w:rsidR="00794EB9" w:rsidRPr="00794EB9" w14:paraId="31F04CC7" w14:textId="77777777" w:rsidTr="00900446">
        <w:trPr>
          <w:cantSplit/>
          <w:trHeight w:val="20"/>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57C593C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 VM. 1.6 Vivienda digna</w:t>
            </w:r>
          </w:p>
        </w:tc>
        <w:tc>
          <w:tcPr>
            <w:tcW w:w="603" w:type="pct"/>
            <w:tcBorders>
              <w:top w:val="nil"/>
              <w:left w:val="nil"/>
              <w:bottom w:val="single" w:sz="4" w:space="0" w:color="auto"/>
              <w:right w:val="single" w:sz="4" w:space="0" w:color="auto"/>
            </w:tcBorders>
            <w:shd w:val="clear" w:color="auto" w:fill="auto"/>
            <w:vAlign w:val="center"/>
            <w:hideMark/>
          </w:tcPr>
          <w:p w14:paraId="51C439C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1.6.5</w:t>
            </w:r>
          </w:p>
        </w:tc>
        <w:tc>
          <w:tcPr>
            <w:tcW w:w="737" w:type="pct"/>
            <w:tcBorders>
              <w:top w:val="nil"/>
              <w:left w:val="nil"/>
              <w:bottom w:val="single" w:sz="4" w:space="0" w:color="auto"/>
              <w:right w:val="single" w:sz="4" w:space="0" w:color="auto"/>
            </w:tcBorders>
            <w:shd w:val="clear" w:color="auto" w:fill="auto"/>
            <w:vAlign w:val="center"/>
            <w:hideMark/>
          </w:tcPr>
          <w:p w14:paraId="6FE8548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1.6.5 Implementar anualmente un esquema para el fomento y atención a la cultura condominal en vivienda social.</w:t>
            </w:r>
          </w:p>
        </w:tc>
        <w:tc>
          <w:tcPr>
            <w:tcW w:w="727" w:type="pct"/>
            <w:tcBorders>
              <w:top w:val="nil"/>
              <w:left w:val="nil"/>
              <w:bottom w:val="single" w:sz="4" w:space="0" w:color="auto"/>
              <w:right w:val="single" w:sz="4" w:space="0" w:color="auto"/>
            </w:tcBorders>
            <w:shd w:val="clear" w:color="auto" w:fill="auto"/>
            <w:vAlign w:val="center"/>
            <w:hideMark/>
          </w:tcPr>
          <w:p w14:paraId="3EFF16A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implementación del esquema para el fomento y atención a la cultura condominal</w:t>
            </w:r>
          </w:p>
        </w:tc>
        <w:tc>
          <w:tcPr>
            <w:tcW w:w="891" w:type="pct"/>
            <w:tcBorders>
              <w:top w:val="nil"/>
              <w:left w:val="nil"/>
              <w:bottom w:val="single" w:sz="4" w:space="0" w:color="auto"/>
              <w:right w:val="single" w:sz="4" w:space="0" w:color="auto"/>
            </w:tcBorders>
            <w:shd w:val="clear" w:color="auto" w:fill="auto"/>
            <w:vAlign w:val="center"/>
            <w:hideMark/>
          </w:tcPr>
          <w:p w14:paraId="5B15089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Implementar el esquema de fomento y atención a la cultura condominal durante el trienio. </w:t>
            </w:r>
          </w:p>
        </w:tc>
        <w:tc>
          <w:tcPr>
            <w:tcW w:w="342" w:type="pct"/>
            <w:tcBorders>
              <w:top w:val="nil"/>
              <w:left w:val="nil"/>
              <w:bottom w:val="single" w:sz="4" w:space="0" w:color="auto"/>
              <w:right w:val="single" w:sz="4" w:space="0" w:color="auto"/>
            </w:tcBorders>
            <w:shd w:val="clear" w:color="auto" w:fill="auto"/>
            <w:vAlign w:val="center"/>
            <w:hideMark/>
          </w:tcPr>
          <w:p w14:paraId="50F86A3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650FB17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42" w:type="pct"/>
            <w:tcBorders>
              <w:top w:val="nil"/>
              <w:left w:val="nil"/>
              <w:bottom w:val="single" w:sz="4" w:space="0" w:color="auto"/>
              <w:right w:val="single" w:sz="4" w:space="0" w:color="auto"/>
            </w:tcBorders>
            <w:shd w:val="clear" w:color="auto" w:fill="auto"/>
            <w:vAlign w:val="center"/>
            <w:hideMark/>
          </w:tcPr>
          <w:p w14:paraId="2619361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30%</w:t>
            </w:r>
          </w:p>
        </w:tc>
        <w:tc>
          <w:tcPr>
            <w:tcW w:w="342" w:type="pct"/>
            <w:tcBorders>
              <w:top w:val="nil"/>
              <w:left w:val="nil"/>
              <w:bottom w:val="single" w:sz="4" w:space="0" w:color="auto"/>
              <w:right w:val="single" w:sz="4" w:space="0" w:color="auto"/>
            </w:tcBorders>
            <w:shd w:val="clear" w:color="auto" w:fill="auto"/>
            <w:vAlign w:val="center"/>
            <w:hideMark/>
          </w:tcPr>
          <w:p w14:paraId="303D123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r>
      <w:tr w:rsidR="00794EB9" w:rsidRPr="00794EB9" w14:paraId="27F86200" w14:textId="77777777" w:rsidTr="00900446">
        <w:trPr>
          <w:cantSplit/>
          <w:trHeight w:val="20"/>
        </w:trPr>
        <w:tc>
          <w:tcPr>
            <w:tcW w:w="675" w:type="pct"/>
            <w:tcBorders>
              <w:top w:val="nil"/>
              <w:left w:val="single" w:sz="4" w:space="0" w:color="auto"/>
              <w:bottom w:val="single" w:sz="4" w:space="0" w:color="auto"/>
              <w:right w:val="single" w:sz="4" w:space="0" w:color="auto"/>
            </w:tcBorders>
            <w:shd w:val="clear" w:color="auto" w:fill="auto"/>
            <w:vAlign w:val="center"/>
            <w:hideMark/>
          </w:tcPr>
          <w:p w14:paraId="6ABE39B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 VM. 1.6 Vivienda digna</w:t>
            </w:r>
          </w:p>
        </w:tc>
        <w:tc>
          <w:tcPr>
            <w:tcW w:w="603" w:type="pct"/>
            <w:tcBorders>
              <w:top w:val="nil"/>
              <w:left w:val="nil"/>
              <w:bottom w:val="single" w:sz="4" w:space="0" w:color="auto"/>
              <w:right w:val="single" w:sz="4" w:space="0" w:color="auto"/>
            </w:tcBorders>
            <w:shd w:val="clear" w:color="auto" w:fill="auto"/>
            <w:vAlign w:val="center"/>
            <w:hideMark/>
          </w:tcPr>
          <w:p w14:paraId="1EBA2AD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1.6.6 </w:t>
            </w:r>
          </w:p>
        </w:tc>
        <w:tc>
          <w:tcPr>
            <w:tcW w:w="737" w:type="pct"/>
            <w:tcBorders>
              <w:top w:val="nil"/>
              <w:left w:val="nil"/>
              <w:bottom w:val="single" w:sz="4" w:space="0" w:color="auto"/>
              <w:right w:val="single" w:sz="4" w:space="0" w:color="auto"/>
            </w:tcBorders>
            <w:shd w:val="clear" w:color="auto" w:fill="auto"/>
            <w:vAlign w:val="center"/>
            <w:hideMark/>
          </w:tcPr>
          <w:p w14:paraId="670ADE8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1.6.6 Diseñar una estrategia para la atención de las viviendas abandonadas en las zonas de Villas de San Juan y Brisas del Campestre.</w:t>
            </w:r>
          </w:p>
        </w:tc>
        <w:tc>
          <w:tcPr>
            <w:tcW w:w="727" w:type="pct"/>
            <w:tcBorders>
              <w:top w:val="nil"/>
              <w:left w:val="nil"/>
              <w:bottom w:val="single" w:sz="4" w:space="0" w:color="auto"/>
              <w:right w:val="single" w:sz="4" w:space="0" w:color="auto"/>
            </w:tcBorders>
            <w:shd w:val="clear" w:color="auto" w:fill="auto"/>
            <w:vAlign w:val="center"/>
            <w:hideMark/>
          </w:tcPr>
          <w:p w14:paraId="27090D5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implementación de la estrategia y el programa respecto del programa establecido.</w:t>
            </w:r>
          </w:p>
        </w:tc>
        <w:tc>
          <w:tcPr>
            <w:tcW w:w="891" w:type="pct"/>
            <w:tcBorders>
              <w:top w:val="nil"/>
              <w:left w:val="nil"/>
              <w:bottom w:val="single" w:sz="4" w:space="0" w:color="auto"/>
              <w:right w:val="single" w:sz="4" w:space="0" w:color="auto"/>
            </w:tcBorders>
            <w:shd w:val="clear" w:color="auto" w:fill="auto"/>
            <w:vAlign w:val="center"/>
            <w:hideMark/>
          </w:tcPr>
          <w:p w14:paraId="2151599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Elaborar el documento de la estrategia e implementar las acciones de acuerdo al programa establecido de manera anual durante el trienio.</w:t>
            </w:r>
          </w:p>
        </w:tc>
        <w:tc>
          <w:tcPr>
            <w:tcW w:w="342" w:type="pct"/>
            <w:tcBorders>
              <w:top w:val="nil"/>
              <w:left w:val="nil"/>
              <w:bottom w:val="single" w:sz="4" w:space="0" w:color="auto"/>
              <w:right w:val="single" w:sz="4" w:space="0" w:color="auto"/>
            </w:tcBorders>
            <w:shd w:val="clear" w:color="auto" w:fill="auto"/>
            <w:vAlign w:val="center"/>
            <w:hideMark/>
          </w:tcPr>
          <w:p w14:paraId="48E7867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2" w:type="pct"/>
            <w:tcBorders>
              <w:top w:val="nil"/>
              <w:left w:val="nil"/>
              <w:bottom w:val="single" w:sz="4" w:space="0" w:color="auto"/>
              <w:right w:val="single" w:sz="4" w:space="0" w:color="auto"/>
            </w:tcBorders>
            <w:shd w:val="clear" w:color="auto" w:fill="auto"/>
            <w:vAlign w:val="center"/>
            <w:hideMark/>
          </w:tcPr>
          <w:p w14:paraId="751D95E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42" w:type="pct"/>
            <w:tcBorders>
              <w:top w:val="nil"/>
              <w:left w:val="nil"/>
              <w:bottom w:val="single" w:sz="4" w:space="0" w:color="auto"/>
              <w:right w:val="single" w:sz="4" w:space="0" w:color="auto"/>
            </w:tcBorders>
            <w:shd w:val="clear" w:color="auto" w:fill="auto"/>
            <w:vAlign w:val="center"/>
            <w:hideMark/>
          </w:tcPr>
          <w:p w14:paraId="0B0CE4F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0%</w:t>
            </w:r>
          </w:p>
        </w:tc>
        <w:tc>
          <w:tcPr>
            <w:tcW w:w="342" w:type="pct"/>
            <w:tcBorders>
              <w:top w:val="nil"/>
              <w:left w:val="nil"/>
              <w:bottom w:val="single" w:sz="4" w:space="0" w:color="auto"/>
              <w:right w:val="single" w:sz="4" w:space="0" w:color="auto"/>
            </w:tcBorders>
            <w:shd w:val="clear" w:color="auto" w:fill="auto"/>
            <w:vAlign w:val="center"/>
            <w:hideMark/>
          </w:tcPr>
          <w:p w14:paraId="08B878A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 </w:t>
            </w:r>
          </w:p>
        </w:tc>
      </w:tr>
    </w:tbl>
    <w:p w14:paraId="7ED46599" w14:textId="77777777" w:rsidR="00794EB9" w:rsidRPr="00794EB9" w:rsidRDefault="00794EB9" w:rsidP="00794EB9">
      <w:pPr>
        <w:ind w:leftChars="-194" w:left="-388" w:firstLine="1"/>
        <w:rPr>
          <w:rFonts w:ascii="Arial" w:hAnsi="Arial" w:cs="Arial"/>
          <w:sz w:val="22"/>
          <w:szCs w:val="22"/>
        </w:rPr>
      </w:pPr>
    </w:p>
    <w:p w14:paraId="354AA95A"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BANDERA. VIVIR MEJOR</w:t>
      </w:r>
    </w:p>
    <w:p w14:paraId="0C4FA476"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ESTRATEGIA 5. ECONOMÍA Y EMPRENDIMIENTO</w:t>
      </w:r>
    </w:p>
    <w:p w14:paraId="6664F046"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PROGRAMA: VM2. LEÓN DE OPORTUNIDADES</w:t>
      </w:r>
    </w:p>
    <w:p w14:paraId="49628A1E"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i/>
          <w:iCs/>
          <w:sz w:val="22"/>
          <w:szCs w:val="22"/>
          <w:lang w:eastAsia="es-MX"/>
        </w:rPr>
        <w:lastRenderedPageBreak/>
        <w:t xml:space="preserve">Objetivo del programa: </w:t>
      </w:r>
      <w:r w:rsidRPr="00794EB9">
        <w:rPr>
          <w:rFonts w:ascii="Arial" w:hAnsi="Arial" w:cs="Arial"/>
          <w:sz w:val="22"/>
          <w:szCs w:val="22"/>
          <w:lang w:eastAsia="es-MX"/>
        </w:rPr>
        <w:t>Promover la reactivación económica de León mediante un programa integral de apoyos a las iniciativas ciudadanas, de las micro, pequeñas y medianas empresas, así como para la atracción de nuevas inversiones que apoyen en la diversificación industrial del municipio.</w:t>
      </w:r>
    </w:p>
    <w:p w14:paraId="64596ED2" w14:textId="77777777" w:rsidR="00794EB9" w:rsidRPr="00794EB9" w:rsidRDefault="00794EB9" w:rsidP="00794EB9">
      <w:pPr>
        <w:spacing w:line="259" w:lineRule="auto"/>
        <w:rPr>
          <w:rFonts w:ascii="Arial" w:hAnsi="Arial" w:cs="Arial"/>
          <w:b/>
          <w:bCs/>
          <w:sz w:val="22"/>
          <w:szCs w:val="22"/>
          <w:lang w:eastAsia="es-MX"/>
        </w:rPr>
      </w:pPr>
    </w:p>
    <w:tbl>
      <w:tblPr>
        <w:tblW w:w="5000" w:type="pct"/>
        <w:tblCellMar>
          <w:left w:w="70" w:type="dxa"/>
          <w:right w:w="70" w:type="dxa"/>
        </w:tblCellMar>
        <w:tblLook w:val="04A0" w:firstRow="1" w:lastRow="0" w:firstColumn="1" w:lastColumn="0" w:noHBand="0" w:noVBand="1"/>
      </w:tblPr>
      <w:tblGrid>
        <w:gridCol w:w="1375"/>
        <w:gridCol w:w="1073"/>
        <w:gridCol w:w="1293"/>
        <w:gridCol w:w="1320"/>
        <w:gridCol w:w="1339"/>
        <w:gridCol w:w="607"/>
        <w:gridCol w:w="607"/>
        <w:gridCol w:w="607"/>
        <w:gridCol w:w="607"/>
      </w:tblGrid>
      <w:tr w:rsidR="00794EB9" w:rsidRPr="00794EB9" w14:paraId="158CD1D1" w14:textId="77777777" w:rsidTr="00C307FB">
        <w:trPr>
          <w:cantSplit/>
          <w:trHeight w:val="20"/>
          <w:tblHeader/>
        </w:trPr>
        <w:tc>
          <w:tcPr>
            <w:tcW w:w="78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FD6AE5"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PROYECTOS </w:t>
            </w:r>
          </w:p>
        </w:tc>
        <w:tc>
          <w:tcPr>
            <w:tcW w:w="60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5FAAFA6"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73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D31790E"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75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DFDCA67"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76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C4AB3B9"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3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8DDA60A"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33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A377B6A"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3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D866AAB"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3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8B7282B"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6D37DA65" w14:textId="77777777" w:rsidTr="00C307FB">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5659EA6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2.1 Autoempleo</w:t>
            </w:r>
          </w:p>
        </w:tc>
        <w:tc>
          <w:tcPr>
            <w:tcW w:w="609" w:type="pct"/>
            <w:tcBorders>
              <w:top w:val="nil"/>
              <w:left w:val="nil"/>
              <w:bottom w:val="single" w:sz="4" w:space="0" w:color="auto"/>
              <w:right w:val="single" w:sz="4" w:space="0" w:color="auto"/>
            </w:tcBorders>
            <w:shd w:val="clear" w:color="auto" w:fill="auto"/>
            <w:vAlign w:val="center"/>
            <w:hideMark/>
          </w:tcPr>
          <w:p w14:paraId="528198E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2.1.1 </w:t>
            </w:r>
          </w:p>
        </w:tc>
        <w:tc>
          <w:tcPr>
            <w:tcW w:w="737" w:type="pct"/>
            <w:tcBorders>
              <w:top w:val="nil"/>
              <w:left w:val="nil"/>
              <w:bottom w:val="single" w:sz="4" w:space="0" w:color="auto"/>
              <w:right w:val="single" w:sz="4" w:space="0" w:color="auto"/>
            </w:tcBorders>
            <w:shd w:val="clear" w:color="auto" w:fill="auto"/>
            <w:vAlign w:val="center"/>
            <w:hideMark/>
          </w:tcPr>
          <w:p w14:paraId="50D4A87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2.1.1 Desarrollar esquemas de apoyo al autoempleo.</w:t>
            </w:r>
          </w:p>
        </w:tc>
        <w:tc>
          <w:tcPr>
            <w:tcW w:w="753" w:type="pct"/>
            <w:tcBorders>
              <w:top w:val="nil"/>
              <w:left w:val="nil"/>
              <w:bottom w:val="single" w:sz="4" w:space="0" w:color="auto"/>
              <w:right w:val="single" w:sz="4" w:space="0" w:color="auto"/>
            </w:tcBorders>
            <w:shd w:val="clear" w:color="auto" w:fill="auto"/>
            <w:vAlign w:val="center"/>
            <w:hideMark/>
          </w:tcPr>
          <w:p w14:paraId="094EE9E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Número de personas que desarrollaron una nueva competencia laboral</w:t>
            </w:r>
          </w:p>
        </w:tc>
        <w:tc>
          <w:tcPr>
            <w:tcW w:w="764" w:type="pct"/>
            <w:tcBorders>
              <w:top w:val="nil"/>
              <w:left w:val="nil"/>
              <w:bottom w:val="single" w:sz="4" w:space="0" w:color="auto"/>
              <w:right w:val="single" w:sz="4" w:space="0" w:color="auto"/>
            </w:tcBorders>
            <w:shd w:val="clear" w:color="auto" w:fill="auto"/>
            <w:vAlign w:val="center"/>
            <w:hideMark/>
          </w:tcPr>
          <w:p w14:paraId="3370A14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Capacitar a 1 mil 500 personas para el autoempleo durante el año, para mejorar la inserción y/o situación laboral.</w:t>
            </w:r>
          </w:p>
        </w:tc>
        <w:tc>
          <w:tcPr>
            <w:tcW w:w="338" w:type="pct"/>
            <w:tcBorders>
              <w:top w:val="nil"/>
              <w:left w:val="nil"/>
              <w:bottom w:val="single" w:sz="4" w:space="0" w:color="auto"/>
              <w:right w:val="single" w:sz="4" w:space="0" w:color="auto"/>
            </w:tcBorders>
            <w:shd w:val="clear" w:color="auto" w:fill="auto"/>
            <w:vAlign w:val="center"/>
            <w:hideMark/>
          </w:tcPr>
          <w:p w14:paraId="02E90B6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416613C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0411921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311E29D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26A0B88E" w14:textId="77777777" w:rsidTr="00C307FB">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12C244D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2.1 Autoempleo</w:t>
            </w:r>
          </w:p>
        </w:tc>
        <w:tc>
          <w:tcPr>
            <w:tcW w:w="609" w:type="pct"/>
            <w:tcBorders>
              <w:top w:val="nil"/>
              <w:left w:val="nil"/>
              <w:bottom w:val="single" w:sz="4" w:space="0" w:color="auto"/>
              <w:right w:val="single" w:sz="4" w:space="0" w:color="auto"/>
            </w:tcBorders>
            <w:shd w:val="clear" w:color="auto" w:fill="auto"/>
            <w:vAlign w:val="center"/>
            <w:hideMark/>
          </w:tcPr>
          <w:p w14:paraId="41D8829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2.1.2 </w:t>
            </w:r>
          </w:p>
        </w:tc>
        <w:tc>
          <w:tcPr>
            <w:tcW w:w="737" w:type="pct"/>
            <w:tcBorders>
              <w:top w:val="nil"/>
              <w:left w:val="nil"/>
              <w:bottom w:val="single" w:sz="4" w:space="0" w:color="auto"/>
              <w:right w:val="single" w:sz="4" w:space="0" w:color="auto"/>
            </w:tcBorders>
            <w:shd w:val="clear" w:color="auto" w:fill="auto"/>
            <w:vAlign w:val="center"/>
            <w:hideMark/>
          </w:tcPr>
          <w:p w14:paraId="2A17A0F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2.1.2 Impartir cursos de capacitación para la vida y el trabajo.</w:t>
            </w:r>
          </w:p>
        </w:tc>
        <w:tc>
          <w:tcPr>
            <w:tcW w:w="753" w:type="pct"/>
            <w:tcBorders>
              <w:top w:val="nil"/>
              <w:left w:val="nil"/>
              <w:bottom w:val="single" w:sz="4" w:space="0" w:color="auto"/>
              <w:right w:val="single" w:sz="4" w:space="0" w:color="auto"/>
            </w:tcBorders>
            <w:shd w:val="clear" w:color="auto" w:fill="auto"/>
            <w:vAlign w:val="center"/>
            <w:hideMark/>
          </w:tcPr>
          <w:p w14:paraId="67862A9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Impartir acciones de capacitación especializada a 2,600 personas durante el trienio</w:t>
            </w:r>
          </w:p>
        </w:tc>
        <w:tc>
          <w:tcPr>
            <w:tcW w:w="764" w:type="pct"/>
            <w:tcBorders>
              <w:top w:val="nil"/>
              <w:left w:val="nil"/>
              <w:bottom w:val="single" w:sz="4" w:space="0" w:color="auto"/>
              <w:right w:val="single" w:sz="4" w:space="0" w:color="auto"/>
            </w:tcBorders>
            <w:shd w:val="clear" w:color="auto" w:fill="auto"/>
            <w:vAlign w:val="center"/>
            <w:hideMark/>
          </w:tcPr>
          <w:p w14:paraId="211C07E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Impartir acciones de capacitación especializada a 2 mil 600 personas durante el trienio</w:t>
            </w:r>
          </w:p>
        </w:tc>
        <w:tc>
          <w:tcPr>
            <w:tcW w:w="338" w:type="pct"/>
            <w:tcBorders>
              <w:top w:val="nil"/>
              <w:left w:val="nil"/>
              <w:bottom w:val="single" w:sz="4" w:space="0" w:color="auto"/>
              <w:right w:val="single" w:sz="4" w:space="0" w:color="auto"/>
            </w:tcBorders>
            <w:shd w:val="clear" w:color="auto" w:fill="auto"/>
            <w:vAlign w:val="center"/>
            <w:hideMark/>
          </w:tcPr>
          <w:p w14:paraId="4B67A26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61CE047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378E01C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5DE7F4A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0A37BE42" w14:textId="77777777" w:rsidTr="00C307FB">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7ED4E0E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2.1 Autoempleo</w:t>
            </w:r>
          </w:p>
        </w:tc>
        <w:tc>
          <w:tcPr>
            <w:tcW w:w="609" w:type="pct"/>
            <w:tcBorders>
              <w:top w:val="nil"/>
              <w:left w:val="nil"/>
              <w:bottom w:val="single" w:sz="4" w:space="0" w:color="auto"/>
              <w:right w:val="single" w:sz="4" w:space="0" w:color="auto"/>
            </w:tcBorders>
            <w:shd w:val="clear" w:color="auto" w:fill="auto"/>
            <w:vAlign w:val="center"/>
            <w:hideMark/>
          </w:tcPr>
          <w:p w14:paraId="47C5A68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737" w:type="pct"/>
            <w:tcBorders>
              <w:top w:val="nil"/>
              <w:left w:val="nil"/>
              <w:bottom w:val="single" w:sz="4" w:space="0" w:color="auto"/>
              <w:right w:val="single" w:sz="4" w:space="0" w:color="auto"/>
            </w:tcBorders>
            <w:shd w:val="clear" w:color="auto" w:fill="auto"/>
            <w:vAlign w:val="center"/>
            <w:hideMark/>
          </w:tcPr>
          <w:p w14:paraId="04939A4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2.1.2 Impartir cursos de capacitación para la vida y el trabajo.</w:t>
            </w:r>
          </w:p>
        </w:tc>
        <w:tc>
          <w:tcPr>
            <w:tcW w:w="753" w:type="pct"/>
            <w:tcBorders>
              <w:top w:val="nil"/>
              <w:left w:val="nil"/>
              <w:bottom w:val="single" w:sz="4" w:space="0" w:color="auto"/>
              <w:right w:val="single" w:sz="4" w:space="0" w:color="auto"/>
            </w:tcBorders>
            <w:shd w:val="clear" w:color="auto" w:fill="auto"/>
            <w:vAlign w:val="center"/>
            <w:hideMark/>
          </w:tcPr>
          <w:p w14:paraId="2D92B04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Número cursos impartidos respecto de la meta prevista anualmente</w:t>
            </w:r>
          </w:p>
        </w:tc>
        <w:tc>
          <w:tcPr>
            <w:tcW w:w="764" w:type="pct"/>
            <w:tcBorders>
              <w:top w:val="nil"/>
              <w:left w:val="nil"/>
              <w:bottom w:val="single" w:sz="4" w:space="0" w:color="auto"/>
              <w:right w:val="single" w:sz="4" w:space="0" w:color="auto"/>
            </w:tcBorders>
            <w:shd w:val="clear" w:color="auto" w:fill="auto"/>
            <w:vAlign w:val="center"/>
            <w:hideMark/>
          </w:tcPr>
          <w:p w14:paraId="6F821BE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Impartir 560 cursos durante el trienio</w:t>
            </w:r>
          </w:p>
        </w:tc>
        <w:tc>
          <w:tcPr>
            <w:tcW w:w="338" w:type="pct"/>
            <w:tcBorders>
              <w:top w:val="nil"/>
              <w:left w:val="nil"/>
              <w:bottom w:val="single" w:sz="4" w:space="0" w:color="auto"/>
              <w:right w:val="single" w:sz="4" w:space="0" w:color="auto"/>
            </w:tcBorders>
            <w:shd w:val="clear" w:color="auto" w:fill="auto"/>
            <w:vAlign w:val="center"/>
            <w:hideMark/>
          </w:tcPr>
          <w:p w14:paraId="6D75C4B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5A0858C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0D41A77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2AC2B21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7E1A09BD" w14:textId="77777777" w:rsidTr="00C307FB">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178A948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2.1 Autoempleo</w:t>
            </w:r>
          </w:p>
        </w:tc>
        <w:tc>
          <w:tcPr>
            <w:tcW w:w="609" w:type="pct"/>
            <w:tcBorders>
              <w:top w:val="nil"/>
              <w:left w:val="nil"/>
              <w:bottom w:val="single" w:sz="4" w:space="0" w:color="auto"/>
              <w:right w:val="single" w:sz="4" w:space="0" w:color="auto"/>
            </w:tcBorders>
            <w:shd w:val="clear" w:color="auto" w:fill="auto"/>
            <w:vAlign w:val="center"/>
            <w:hideMark/>
          </w:tcPr>
          <w:p w14:paraId="3A712C3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2.1.3 </w:t>
            </w:r>
          </w:p>
        </w:tc>
        <w:tc>
          <w:tcPr>
            <w:tcW w:w="737" w:type="pct"/>
            <w:tcBorders>
              <w:top w:val="nil"/>
              <w:left w:val="nil"/>
              <w:bottom w:val="single" w:sz="4" w:space="0" w:color="auto"/>
              <w:right w:val="single" w:sz="4" w:space="0" w:color="auto"/>
            </w:tcBorders>
            <w:shd w:val="clear" w:color="auto" w:fill="auto"/>
            <w:vAlign w:val="center"/>
            <w:hideMark/>
          </w:tcPr>
          <w:p w14:paraId="22B997F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2.1.3 Promover la Feria de servicios, visorias y empleo (incubadoras).</w:t>
            </w:r>
          </w:p>
        </w:tc>
        <w:tc>
          <w:tcPr>
            <w:tcW w:w="753" w:type="pct"/>
            <w:tcBorders>
              <w:top w:val="nil"/>
              <w:left w:val="nil"/>
              <w:bottom w:val="single" w:sz="4" w:space="0" w:color="auto"/>
              <w:right w:val="single" w:sz="4" w:space="0" w:color="auto"/>
            </w:tcBorders>
            <w:shd w:val="clear" w:color="auto" w:fill="auto"/>
            <w:vAlign w:val="center"/>
            <w:hideMark/>
          </w:tcPr>
          <w:p w14:paraId="4507A6B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Número de Personas atendidas en las Ferias de Empleo.</w:t>
            </w:r>
          </w:p>
        </w:tc>
        <w:tc>
          <w:tcPr>
            <w:tcW w:w="764" w:type="pct"/>
            <w:tcBorders>
              <w:top w:val="nil"/>
              <w:left w:val="nil"/>
              <w:bottom w:val="single" w:sz="4" w:space="0" w:color="auto"/>
              <w:right w:val="single" w:sz="4" w:space="0" w:color="auto"/>
            </w:tcBorders>
            <w:shd w:val="clear" w:color="auto" w:fill="auto"/>
            <w:vAlign w:val="center"/>
            <w:hideMark/>
          </w:tcPr>
          <w:p w14:paraId="5194697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Seis Ferias de Empleo durante el año.</w:t>
            </w:r>
          </w:p>
        </w:tc>
        <w:tc>
          <w:tcPr>
            <w:tcW w:w="338" w:type="pct"/>
            <w:tcBorders>
              <w:top w:val="nil"/>
              <w:left w:val="nil"/>
              <w:bottom w:val="single" w:sz="4" w:space="0" w:color="auto"/>
              <w:right w:val="single" w:sz="4" w:space="0" w:color="auto"/>
            </w:tcBorders>
            <w:shd w:val="clear" w:color="auto" w:fill="auto"/>
            <w:vAlign w:val="center"/>
            <w:hideMark/>
          </w:tcPr>
          <w:p w14:paraId="459FCF8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1EE9563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789C821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2736D87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49E63E26" w14:textId="77777777" w:rsidTr="00C307FB">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47F49BA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VM. 2.2 Mi Plaza</w:t>
            </w:r>
          </w:p>
        </w:tc>
        <w:tc>
          <w:tcPr>
            <w:tcW w:w="609" w:type="pct"/>
            <w:tcBorders>
              <w:top w:val="nil"/>
              <w:left w:val="nil"/>
              <w:bottom w:val="single" w:sz="4" w:space="0" w:color="auto"/>
              <w:right w:val="single" w:sz="4" w:space="0" w:color="auto"/>
            </w:tcBorders>
            <w:shd w:val="clear" w:color="auto" w:fill="auto"/>
            <w:vAlign w:val="center"/>
            <w:hideMark/>
          </w:tcPr>
          <w:p w14:paraId="0E05648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2.2.1</w:t>
            </w:r>
          </w:p>
        </w:tc>
        <w:tc>
          <w:tcPr>
            <w:tcW w:w="737" w:type="pct"/>
            <w:tcBorders>
              <w:top w:val="nil"/>
              <w:left w:val="nil"/>
              <w:bottom w:val="single" w:sz="4" w:space="0" w:color="auto"/>
              <w:right w:val="single" w:sz="4" w:space="0" w:color="auto"/>
            </w:tcBorders>
            <w:shd w:val="clear" w:color="auto" w:fill="auto"/>
            <w:vAlign w:val="center"/>
            <w:hideMark/>
          </w:tcPr>
          <w:p w14:paraId="7FEDCA8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2.2.1 Implementar un programa de fortalecimiento orientado al Comercio y el Consumo.</w:t>
            </w:r>
          </w:p>
        </w:tc>
        <w:tc>
          <w:tcPr>
            <w:tcW w:w="753" w:type="pct"/>
            <w:tcBorders>
              <w:top w:val="nil"/>
              <w:left w:val="nil"/>
              <w:bottom w:val="single" w:sz="4" w:space="0" w:color="auto"/>
              <w:right w:val="single" w:sz="4" w:space="0" w:color="auto"/>
            </w:tcBorders>
            <w:shd w:val="clear" w:color="auto" w:fill="auto"/>
            <w:vAlign w:val="center"/>
            <w:hideMark/>
          </w:tcPr>
          <w:p w14:paraId="6080A90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Número de locatarios beneficiados por año, de los Mercados Públicos de la ciudad,</w:t>
            </w:r>
          </w:p>
        </w:tc>
        <w:tc>
          <w:tcPr>
            <w:tcW w:w="764" w:type="pct"/>
            <w:tcBorders>
              <w:top w:val="nil"/>
              <w:left w:val="nil"/>
              <w:bottom w:val="single" w:sz="4" w:space="0" w:color="auto"/>
              <w:right w:val="single" w:sz="4" w:space="0" w:color="auto"/>
            </w:tcBorders>
            <w:shd w:val="clear" w:color="auto" w:fill="auto"/>
            <w:vAlign w:val="center"/>
            <w:hideMark/>
          </w:tcPr>
          <w:p w14:paraId="42E1BD6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Beneficiar a 2,596 locatarios de los Mercados Públicos de la ciudad durante el trienio, mediante acciones de mejora en infraestructura y promoción.</w:t>
            </w:r>
          </w:p>
        </w:tc>
        <w:tc>
          <w:tcPr>
            <w:tcW w:w="338" w:type="pct"/>
            <w:tcBorders>
              <w:top w:val="nil"/>
              <w:left w:val="nil"/>
              <w:bottom w:val="single" w:sz="4" w:space="0" w:color="auto"/>
              <w:right w:val="single" w:sz="4" w:space="0" w:color="auto"/>
            </w:tcBorders>
            <w:shd w:val="clear" w:color="auto" w:fill="auto"/>
            <w:vAlign w:val="center"/>
            <w:hideMark/>
          </w:tcPr>
          <w:p w14:paraId="692CBB7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741FA46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55%</w:t>
            </w:r>
          </w:p>
        </w:tc>
        <w:tc>
          <w:tcPr>
            <w:tcW w:w="338" w:type="pct"/>
            <w:tcBorders>
              <w:top w:val="nil"/>
              <w:left w:val="nil"/>
              <w:bottom w:val="single" w:sz="4" w:space="0" w:color="auto"/>
              <w:right w:val="single" w:sz="4" w:space="0" w:color="auto"/>
            </w:tcBorders>
            <w:shd w:val="clear" w:color="auto" w:fill="auto"/>
            <w:vAlign w:val="center"/>
            <w:hideMark/>
          </w:tcPr>
          <w:p w14:paraId="7CF3191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22%</w:t>
            </w:r>
          </w:p>
        </w:tc>
        <w:tc>
          <w:tcPr>
            <w:tcW w:w="338" w:type="pct"/>
            <w:tcBorders>
              <w:top w:val="nil"/>
              <w:left w:val="nil"/>
              <w:bottom w:val="single" w:sz="4" w:space="0" w:color="auto"/>
              <w:right w:val="single" w:sz="4" w:space="0" w:color="auto"/>
            </w:tcBorders>
            <w:shd w:val="clear" w:color="auto" w:fill="auto"/>
            <w:vAlign w:val="center"/>
            <w:hideMark/>
          </w:tcPr>
          <w:p w14:paraId="1517B77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23%</w:t>
            </w:r>
          </w:p>
        </w:tc>
      </w:tr>
      <w:tr w:rsidR="00794EB9" w:rsidRPr="00794EB9" w14:paraId="723C3241" w14:textId="77777777" w:rsidTr="00C307FB">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20EB238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VM.2.3 En Marcha</w:t>
            </w:r>
          </w:p>
        </w:tc>
        <w:tc>
          <w:tcPr>
            <w:tcW w:w="609" w:type="pct"/>
            <w:tcBorders>
              <w:top w:val="nil"/>
              <w:left w:val="nil"/>
              <w:bottom w:val="single" w:sz="4" w:space="0" w:color="auto"/>
              <w:right w:val="single" w:sz="4" w:space="0" w:color="auto"/>
            </w:tcBorders>
            <w:shd w:val="clear" w:color="auto" w:fill="auto"/>
            <w:vAlign w:val="center"/>
            <w:hideMark/>
          </w:tcPr>
          <w:p w14:paraId="77BFB9B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2.3.1 </w:t>
            </w:r>
          </w:p>
        </w:tc>
        <w:tc>
          <w:tcPr>
            <w:tcW w:w="737" w:type="pct"/>
            <w:tcBorders>
              <w:top w:val="nil"/>
              <w:left w:val="nil"/>
              <w:bottom w:val="single" w:sz="4" w:space="0" w:color="auto"/>
              <w:right w:val="single" w:sz="4" w:space="0" w:color="auto"/>
            </w:tcBorders>
            <w:shd w:val="clear" w:color="auto" w:fill="auto"/>
            <w:vAlign w:val="center"/>
            <w:hideMark/>
          </w:tcPr>
          <w:p w14:paraId="1144144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2.3.1 Brindar apoyo a familias para el desarrollo de negocios de comercio y servicios.</w:t>
            </w:r>
          </w:p>
        </w:tc>
        <w:tc>
          <w:tcPr>
            <w:tcW w:w="753" w:type="pct"/>
            <w:tcBorders>
              <w:top w:val="nil"/>
              <w:left w:val="nil"/>
              <w:bottom w:val="single" w:sz="4" w:space="0" w:color="auto"/>
              <w:right w:val="single" w:sz="4" w:space="0" w:color="auto"/>
            </w:tcBorders>
            <w:shd w:val="clear" w:color="auto" w:fill="auto"/>
            <w:vAlign w:val="center"/>
            <w:hideMark/>
          </w:tcPr>
          <w:p w14:paraId="7BCB5C4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Número de familias beneficiadas con un equipamiento y capacitación por año, mejorando el ingreso familiar.</w:t>
            </w:r>
          </w:p>
        </w:tc>
        <w:tc>
          <w:tcPr>
            <w:tcW w:w="764" w:type="pct"/>
            <w:tcBorders>
              <w:top w:val="nil"/>
              <w:left w:val="nil"/>
              <w:bottom w:val="single" w:sz="4" w:space="0" w:color="auto"/>
              <w:right w:val="single" w:sz="4" w:space="0" w:color="auto"/>
            </w:tcBorders>
            <w:shd w:val="clear" w:color="auto" w:fill="auto"/>
            <w:vAlign w:val="center"/>
            <w:hideMark/>
          </w:tcPr>
          <w:p w14:paraId="43A02A9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Equipar y capacitar a 1,200 emprendedores, con micro y pequeñas empresas durante el trienio.</w:t>
            </w:r>
          </w:p>
        </w:tc>
        <w:tc>
          <w:tcPr>
            <w:tcW w:w="338" w:type="pct"/>
            <w:tcBorders>
              <w:top w:val="nil"/>
              <w:left w:val="nil"/>
              <w:bottom w:val="single" w:sz="4" w:space="0" w:color="auto"/>
              <w:right w:val="single" w:sz="4" w:space="0" w:color="auto"/>
            </w:tcBorders>
            <w:shd w:val="clear" w:color="auto" w:fill="auto"/>
            <w:vAlign w:val="center"/>
            <w:hideMark/>
          </w:tcPr>
          <w:p w14:paraId="728EED8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703BF60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4759CF7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5B79FF1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03D5EEA5" w14:textId="77777777" w:rsidTr="00C307FB">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0A60CF1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VM.2.3 En Marcha</w:t>
            </w:r>
          </w:p>
        </w:tc>
        <w:tc>
          <w:tcPr>
            <w:tcW w:w="609" w:type="pct"/>
            <w:tcBorders>
              <w:top w:val="nil"/>
              <w:left w:val="nil"/>
              <w:bottom w:val="single" w:sz="4" w:space="0" w:color="auto"/>
              <w:right w:val="single" w:sz="4" w:space="0" w:color="auto"/>
            </w:tcBorders>
            <w:shd w:val="clear" w:color="auto" w:fill="auto"/>
            <w:vAlign w:val="center"/>
            <w:hideMark/>
          </w:tcPr>
          <w:p w14:paraId="3EF5795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2.3.2 </w:t>
            </w:r>
          </w:p>
        </w:tc>
        <w:tc>
          <w:tcPr>
            <w:tcW w:w="737" w:type="pct"/>
            <w:tcBorders>
              <w:top w:val="nil"/>
              <w:left w:val="nil"/>
              <w:bottom w:val="single" w:sz="4" w:space="0" w:color="auto"/>
              <w:right w:val="single" w:sz="4" w:space="0" w:color="auto"/>
            </w:tcBorders>
            <w:shd w:val="clear" w:color="auto" w:fill="auto"/>
            <w:vAlign w:val="center"/>
            <w:hideMark/>
          </w:tcPr>
          <w:p w14:paraId="6A3D3CE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2.3.2 Desarrollar una plataforma de digital  para facilitar la promoción online, venta y distribución de productos y servicios leoneses - León Market.</w:t>
            </w:r>
          </w:p>
        </w:tc>
        <w:tc>
          <w:tcPr>
            <w:tcW w:w="753" w:type="pct"/>
            <w:tcBorders>
              <w:top w:val="nil"/>
              <w:left w:val="nil"/>
              <w:bottom w:val="single" w:sz="4" w:space="0" w:color="auto"/>
              <w:right w:val="single" w:sz="4" w:space="0" w:color="auto"/>
            </w:tcBorders>
            <w:shd w:val="clear" w:color="auto" w:fill="auto"/>
            <w:vAlign w:val="center"/>
            <w:hideMark/>
          </w:tcPr>
          <w:p w14:paraId="4A5711A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Número de empresarios a las plataformas de comercio electrónico</w:t>
            </w:r>
          </w:p>
        </w:tc>
        <w:tc>
          <w:tcPr>
            <w:tcW w:w="764" w:type="pct"/>
            <w:tcBorders>
              <w:top w:val="nil"/>
              <w:left w:val="nil"/>
              <w:bottom w:val="single" w:sz="4" w:space="0" w:color="auto"/>
              <w:right w:val="single" w:sz="4" w:space="0" w:color="auto"/>
            </w:tcBorders>
            <w:shd w:val="clear" w:color="auto" w:fill="auto"/>
            <w:vAlign w:val="center"/>
            <w:hideMark/>
          </w:tcPr>
          <w:p w14:paraId="094D57C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Beneficiar a 400 empresarios vinculados a las plataformas de comercio electrónico durante el trienio.</w:t>
            </w:r>
          </w:p>
        </w:tc>
        <w:tc>
          <w:tcPr>
            <w:tcW w:w="338" w:type="pct"/>
            <w:tcBorders>
              <w:top w:val="nil"/>
              <w:left w:val="nil"/>
              <w:bottom w:val="single" w:sz="4" w:space="0" w:color="auto"/>
              <w:right w:val="single" w:sz="4" w:space="0" w:color="auto"/>
            </w:tcBorders>
            <w:shd w:val="clear" w:color="auto" w:fill="auto"/>
            <w:vAlign w:val="center"/>
            <w:hideMark/>
          </w:tcPr>
          <w:p w14:paraId="772CA5B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06DF0B9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31%</w:t>
            </w:r>
          </w:p>
        </w:tc>
        <w:tc>
          <w:tcPr>
            <w:tcW w:w="338" w:type="pct"/>
            <w:tcBorders>
              <w:top w:val="nil"/>
              <w:left w:val="nil"/>
              <w:bottom w:val="single" w:sz="4" w:space="0" w:color="auto"/>
              <w:right w:val="single" w:sz="4" w:space="0" w:color="auto"/>
            </w:tcBorders>
            <w:shd w:val="clear" w:color="auto" w:fill="auto"/>
            <w:vAlign w:val="center"/>
            <w:hideMark/>
          </w:tcPr>
          <w:p w14:paraId="35CC881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028D5A8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36%</w:t>
            </w:r>
          </w:p>
        </w:tc>
      </w:tr>
      <w:tr w:rsidR="00794EB9" w:rsidRPr="00794EB9" w14:paraId="34A4B293" w14:textId="77777777" w:rsidTr="00C307FB">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4130D30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VM. 2.4 Power Pyme</w:t>
            </w:r>
          </w:p>
        </w:tc>
        <w:tc>
          <w:tcPr>
            <w:tcW w:w="609" w:type="pct"/>
            <w:tcBorders>
              <w:top w:val="nil"/>
              <w:left w:val="nil"/>
              <w:bottom w:val="single" w:sz="4" w:space="0" w:color="auto"/>
              <w:right w:val="single" w:sz="4" w:space="0" w:color="auto"/>
            </w:tcBorders>
            <w:shd w:val="clear" w:color="auto" w:fill="auto"/>
            <w:vAlign w:val="center"/>
            <w:hideMark/>
          </w:tcPr>
          <w:p w14:paraId="091BE4D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2.4.1 </w:t>
            </w:r>
          </w:p>
        </w:tc>
        <w:tc>
          <w:tcPr>
            <w:tcW w:w="737" w:type="pct"/>
            <w:tcBorders>
              <w:top w:val="nil"/>
              <w:left w:val="nil"/>
              <w:bottom w:val="single" w:sz="4" w:space="0" w:color="auto"/>
              <w:right w:val="single" w:sz="4" w:space="0" w:color="auto"/>
            </w:tcBorders>
            <w:shd w:val="clear" w:color="auto" w:fill="auto"/>
            <w:vAlign w:val="center"/>
            <w:hideMark/>
          </w:tcPr>
          <w:p w14:paraId="0E27A11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2.4.1 Desarrollar esquemas de Financiamiento para la reactivación económica.</w:t>
            </w:r>
          </w:p>
        </w:tc>
        <w:tc>
          <w:tcPr>
            <w:tcW w:w="753" w:type="pct"/>
            <w:tcBorders>
              <w:top w:val="nil"/>
              <w:left w:val="nil"/>
              <w:bottom w:val="single" w:sz="4" w:space="0" w:color="000000"/>
              <w:right w:val="single" w:sz="4" w:space="0" w:color="000000"/>
            </w:tcBorders>
            <w:shd w:val="clear" w:color="auto" w:fill="auto"/>
            <w:vAlign w:val="center"/>
            <w:hideMark/>
          </w:tcPr>
          <w:p w14:paraId="5AB25340" w14:textId="77777777" w:rsidR="00794EB9" w:rsidRDefault="00CF01D0" w:rsidP="00C307FB">
            <w:pPr>
              <w:jc w:val="center"/>
              <w:rPr>
                <w:rFonts w:ascii="Arial" w:hAnsi="Arial" w:cs="Arial"/>
                <w:sz w:val="22"/>
                <w:szCs w:val="22"/>
                <w:lang w:eastAsia="es-MX"/>
              </w:rPr>
            </w:pPr>
            <w:r w:rsidRPr="00CF01D0">
              <w:rPr>
                <w:rFonts w:ascii="Arial" w:hAnsi="Arial" w:cs="Arial"/>
                <w:sz w:val="22"/>
                <w:szCs w:val="22"/>
                <w:lang w:eastAsia="es-MX"/>
              </w:rPr>
              <w:t>Número de empresarias y empresarios beneficiados.</w:t>
            </w:r>
          </w:p>
          <w:p w14:paraId="25FC3E6D" w14:textId="77777777" w:rsidR="00DA7CE9" w:rsidRDefault="00DA7CE9" w:rsidP="00C307FB">
            <w:pPr>
              <w:jc w:val="center"/>
              <w:rPr>
                <w:rFonts w:ascii="Arial" w:hAnsi="Arial" w:cs="Arial"/>
                <w:sz w:val="22"/>
                <w:szCs w:val="22"/>
                <w:lang w:eastAsia="es-MX"/>
              </w:rPr>
            </w:pPr>
          </w:p>
          <w:p w14:paraId="7D502CF8" w14:textId="7416B3CA" w:rsidR="00F17E23" w:rsidRDefault="00DA7CE9" w:rsidP="00F17E23">
            <w:pPr>
              <w:jc w:val="center"/>
              <w:rPr>
                <w:rFonts w:ascii="Arial" w:hAnsi="Arial" w:cs="Arial"/>
                <w:b/>
                <w:color w:val="002060"/>
                <w:sz w:val="18"/>
                <w:szCs w:val="18"/>
                <w:lang w:eastAsia="es-MX"/>
              </w:rPr>
            </w:pPr>
            <w:r>
              <w:rPr>
                <w:rFonts w:ascii="Arial" w:hAnsi="Arial" w:cs="Arial"/>
                <w:b/>
                <w:color w:val="002060"/>
                <w:sz w:val="18"/>
                <w:szCs w:val="18"/>
                <w:lang w:eastAsia="es-MX"/>
              </w:rPr>
              <w:t>Redacción modificada</w:t>
            </w:r>
          </w:p>
          <w:p w14:paraId="215CC388" w14:textId="07DA2EB1" w:rsidR="00CF01D0" w:rsidRPr="00CF01D0" w:rsidRDefault="00CF01D0" w:rsidP="00F17E23">
            <w:pPr>
              <w:jc w:val="center"/>
              <w:rPr>
                <w:rFonts w:ascii="Arial" w:hAnsi="Arial" w:cs="Arial"/>
                <w:b/>
                <w:sz w:val="18"/>
                <w:szCs w:val="18"/>
                <w:lang w:eastAsia="es-MX"/>
              </w:rPr>
            </w:pPr>
            <w:r w:rsidRPr="00CF01D0">
              <w:rPr>
                <w:rFonts w:ascii="Arial" w:hAnsi="Arial" w:cs="Arial"/>
                <w:b/>
                <w:color w:val="002060"/>
                <w:sz w:val="18"/>
                <w:szCs w:val="18"/>
                <w:lang w:eastAsia="es-MX"/>
              </w:rPr>
              <w:t>27-12-2022</w:t>
            </w:r>
          </w:p>
        </w:tc>
        <w:tc>
          <w:tcPr>
            <w:tcW w:w="764" w:type="pct"/>
            <w:tcBorders>
              <w:top w:val="nil"/>
              <w:left w:val="nil"/>
              <w:bottom w:val="single" w:sz="4" w:space="0" w:color="000000"/>
              <w:right w:val="single" w:sz="4" w:space="0" w:color="000000"/>
            </w:tcBorders>
            <w:shd w:val="clear" w:color="auto" w:fill="auto"/>
            <w:vAlign w:val="center"/>
            <w:hideMark/>
          </w:tcPr>
          <w:p w14:paraId="1CF3148A" w14:textId="77777777" w:rsidR="00794EB9" w:rsidRDefault="00CF01D0" w:rsidP="00C307FB">
            <w:pPr>
              <w:jc w:val="center"/>
              <w:rPr>
                <w:rFonts w:ascii="Arial" w:hAnsi="Arial" w:cs="Arial"/>
                <w:sz w:val="22"/>
                <w:szCs w:val="22"/>
                <w:lang w:eastAsia="es-MX"/>
              </w:rPr>
            </w:pPr>
            <w:r w:rsidRPr="00CF01D0">
              <w:rPr>
                <w:rFonts w:ascii="Arial" w:hAnsi="Arial" w:cs="Arial"/>
                <w:sz w:val="22"/>
                <w:szCs w:val="22"/>
                <w:lang w:eastAsia="es-MX"/>
              </w:rPr>
              <w:t>Otorgar créditos en un fondo revolvente por 20 millones de pesos  a 3,000 empresarias y empresarios durante el trienio.</w:t>
            </w:r>
          </w:p>
          <w:p w14:paraId="7EC604C1" w14:textId="35B8CED3" w:rsidR="00CF01D0" w:rsidRPr="00794EB9" w:rsidRDefault="00FB4DF0" w:rsidP="00DA7CE9">
            <w:pPr>
              <w:jc w:val="center"/>
              <w:rPr>
                <w:rFonts w:ascii="Arial" w:hAnsi="Arial" w:cs="Arial"/>
                <w:sz w:val="22"/>
                <w:szCs w:val="22"/>
                <w:lang w:eastAsia="es-MX"/>
              </w:rPr>
            </w:pPr>
            <w:r>
              <w:rPr>
                <w:rFonts w:ascii="Arial" w:hAnsi="Arial" w:cs="Arial"/>
                <w:b/>
                <w:color w:val="002060"/>
                <w:sz w:val="18"/>
                <w:szCs w:val="18"/>
                <w:lang w:eastAsia="es-MX"/>
              </w:rPr>
              <w:t>Meta</w:t>
            </w:r>
            <w:r w:rsidR="00CF01D0">
              <w:rPr>
                <w:rFonts w:ascii="Arial" w:hAnsi="Arial" w:cs="Arial"/>
                <w:b/>
                <w:color w:val="002060"/>
                <w:sz w:val="18"/>
                <w:szCs w:val="18"/>
                <w:lang w:eastAsia="es-MX"/>
              </w:rPr>
              <w:t xml:space="preserve"> y </w:t>
            </w:r>
            <w:r w:rsidR="00DA7CE9">
              <w:rPr>
                <w:rFonts w:ascii="Arial" w:hAnsi="Arial" w:cs="Arial"/>
                <w:b/>
                <w:color w:val="002060"/>
                <w:sz w:val="18"/>
                <w:szCs w:val="18"/>
                <w:lang w:eastAsia="es-MX"/>
              </w:rPr>
              <w:t>metas anuales modificada</w:t>
            </w:r>
            <w:r w:rsidR="00CF01D0">
              <w:rPr>
                <w:rFonts w:ascii="Arial" w:hAnsi="Arial" w:cs="Arial"/>
                <w:b/>
                <w:color w:val="002060"/>
                <w:sz w:val="18"/>
                <w:szCs w:val="18"/>
                <w:lang w:eastAsia="es-MX"/>
              </w:rPr>
              <w:t xml:space="preserve">s </w:t>
            </w:r>
            <w:r w:rsidR="00CF01D0" w:rsidRPr="00CF01D0">
              <w:rPr>
                <w:rFonts w:ascii="Arial" w:hAnsi="Arial" w:cs="Arial"/>
                <w:b/>
                <w:color w:val="002060"/>
                <w:sz w:val="18"/>
                <w:szCs w:val="18"/>
                <w:lang w:eastAsia="es-MX"/>
              </w:rPr>
              <w:t>27-12-2022</w:t>
            </w:r>
          </w:p>
        </w:tc>
        <w:tc>
          <w:tcPr>
            <w:tcW w:w="338" w:type="pct"/>
            <w:tcBorders>
              <w:top w:val="nil"/>
              <w:left w:val="nil"/>
              <w:bottom w:val="single" w:sz="4" w:space="0" w:color="auto"/>
              <w:right w:val="single" w:sz="4" w:space="0" w:color="auto"/>
            </w:tcBorders>
            <w:shd w:val="clear" w:color="auto" w:fill="auto"/>
            <w:vAlign w:val="center"/>
            <w:hideMark/>
          </w:tcPr>
          <w:p w14:paraId="0DB163D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694FEF2B" w14:textId="0F177903" w:rsidR="00794EB9" w:rsidRPr="00794EB9" w:rsidRDefault="00CF01D0" w:rsidP="00C307FB">
            <w:pPr>
              <w:jc w:val="center"/>
              <w:rPr>
                <w:rFonts w:ascii="Arial" w:hAnsi="Arial" w:cs="Arial"/>
                <w:sz w:val="22"/>
                <w:szCs w:val="22"/>
                <w:lang w:eastAsia="es-MX"/>
              </w:rPr>
            </w:pPr>
            <w:r>
              <w:rPr>
                <w:rFonts w:ascii="Arial" w:hAnsi="Arial" w:cs="Arial"/>
                <w:sz w:val="22"/>
                <w:szCs w:val="22"/>
                <w:lang w:eastAsia="es-MX"/>
              </w:rPr>
              <w:t>10</w:t>
            </w:r>
            <w:r w:rsidR="00794EB9" w:rsidRPr="00794EB9">
              <w:rPr>
                <w:rFonts w:ascii="Arial" w:hAnsi="Arial" w:cs="Arial"/>
                <w:sz w:val="22"/>
                <w:szCs w:val="22"/>
                <w:lang w:eastAsia="es-MX"/>
              </w:rPr>
              <w:t>%</w:t>
            </w:r>
          </w:p>
        </w:tc>
        <w:tc>
          <w:tcPr>
            <w:tcW w:w="338" w:type="pct"/>
            <w:tcBorders>
              <w:top w:val="nil"/>
              <w:left w:val="nil"/>
              <w:bottom w:val="single" w:sz="4" w:space="0" w:color="auto"/>
              <w:right w:val="single" w:sz="4" w:space="0" w:color="auto"/>
            </w:tcBorders>
            <w:shd w:val="clear" w:color="auto" w:fill="auto"/>
            <w:vAlign w:val="center"/>
            <w:hideMark/>
          </w:tcPr>
          <w:p w14:paraId="3A972A13" w14:textId="5675E52D" w:rsidR="00794EB9" w:rsidRPr="00794EB9" w:rsidRDefault="00CF01D0" w:rsidP="00C307FB">
            <w:pPr>
              <w:jc w:val="center"/>
              <w:rPr>
                <w:rFonts w:ascii="Arial" w:hAnsi="Arial" w:cs="Arial"/>
                <w:sz w:val="22"/>
                <w:szCs w:val="22"/>
                <w:lang w:eastAsia="es-MX"/>
              </w:rPr>
            </w:pPr>
            <w:r>
              <w:rPr>
                <w:rFonts w:ascii="Arial" w:hAnsi="Arial" w:cs="Arial"/>
                <w:sz w:val="22"/>
                <w:szCs w:val="22"/>
                <w:lang w:eastAsia="es-MX"/>
              </w:rPr>
              <w:t>50</w:t>
            </w:r>
            <w:r w:rsidR="00794EB9" w:rsidRPr="00794EB9">
              <w:rPr>
                <w:rFonts w:ascii="Arial" w:hAnsi="Arial" w:cs="Arial"/>
                <w:sz w:val="22"/>
                <w:szCs w:val="22"/>
                <w:lang w:eastAsia="es-MX"/>
              </w:rPr>
              <w:t>%</w:t>
            </w:r>
          </w:p>
        </w:tc>
        <w:tc>
          <w:tcPr>
            <w:tcW w:w="338" w:type="pct"/>
            <w:tcBorders>
              <w:top w:val="nil"/>
              <w:left w:val="nil"/>
              <w:bottom w:val="single" w:sz="4" w:space="0" w:color="auto"/>
              <w:right w:val="single" w:sz="4" w:space="0" w:color="auto"/>
            </w:tcBorders>
            <w:shd w:val="clear" w:color="auto" w:fill="auto"/>
            <w:vAlign w:val="center"/>
            <w:hideMark/>
          </w:tcPr>
          <w:p w14:paraId="5435F27E" w14:textId="22443E06" w:rsidR="00794EB9" w:rsidRPr="00794EB9" w:rsidRDefault="00CF01D0" w:rsidP="00C307FB">
            <w:pPr>
              <w:jc w:val="center"/>
              <w:rPr>
                <w:rFonts w:ascii="Arial" w:hAnsi="Arial" w:cs="Arial"/>
                <w:sz w:val="22"/>
                <w:szCs w:val="22"/>
                <w:lang w:eastAsia="es-MX"/>
              </w:rPr>
            </w:pPr>
            <w:r>
              <w:rPr>
                <w:rFonts w:ascii="Arial" w:hAnsi="Arial" w:cs="Arial"/>
                <w:sz w:val="22"/>
                <w:szCs w:val="22"/>
                <w:lang w:eastAsia="es-MX"/>
              </w:rPr>
              <w:t>40</w:t>
            </w:r>
            <w:r w:rsidR="00794EB9" w:rsidRPr="00794EB9">
              <w:rPr>
                <w:rFonts w:ascii="Arial" w:hAnsi="Arial" w:cs="Arial"/>
                <w:sz w:val="22"/>
                <w:szCs w:val="22"/>
                <w:lang w:eastAsia="es-MX"/>
              </w:rPr>
              <w:t>%</w:t>
            </w:r>
          </w:p>
        </w:tc>
      </w:tr>
      <w:tr w:rsidR="00794EB9" w:rsidRPr="00794EB9" w14:paraId="4B4A654C" w14:textId="77777777" w:rsidTr="00C307FB">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2D63935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2.4 Power Pyme</w:t>
            </w:r>
          </w:p>
        </w:tc>
        <w:tc>
          <w:tcPr>
            <w:tcW w:w="609" w:type="pct"/>
            <w:tcBorders>
              <w:top w:val="nil"/>
              <w:left w:val="nil"/>
              <w:bottom w:val="single" w:sz="4" w:space="0" w:color="auto"/>
              <w:right w:val="single" w:sz="4" w:space="0" w:color="auto"/>
            </w:tcBorders>
            <w:shd w:val="clear" w:color="auto" w:fill="auto"/>
            <w:vAlign w:val="center"/>
            <w:hideMark/>
          </w:tcPr>
          <w:p w14:paraId="60180D3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737" w:type="pct"/>
            <w:tcBorders>
              <w:top w:val="nil"/>
              <w:left w:val="nil"/>
              <w:bottom w:val="single" w:sz="4" w:space="0" w:color="auto"/>
              <w:right w:val="single" w:sz="4" w:space="0" w:color="auto"/>
            </w:tcBorders>
            <w:shd w:val="clear" w:color="auto" w:fill="auto"/>
            <w:vAlign w:val="center"/>
            <w:hideMark/>
          </w:tcPr>
          <w:p w14:paraId="15C052B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2.4.1 Desarrollar esquemas de Financiamiento para la reactivación económica.</w:t>
            </w:r>
          </w:p>
        </w:tc>
        <w:tc>
          <w:tcPr>
            <w:tcW w:w="753" w:type="pct"/>
            <w:tcBorders>
              <w:top w:val="nil"/>
              <w:left w:val="nil"/>
              <w:bottom w:val="single" w:sz="4" w:space="0" w:color="auto"/>
              <w:right w:val="single" w:sz="4" w:space="0" w:color="auto"/>
            </w:tcBorders>
            <w:shd w:val="clear" w:color="auto" w:fill="auto"/>
            <w:vAlign w:val="center"/>
            <w:hideMark/>
          </w:tcPr>
          <w:p w14:paraId="0E3339B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Número de personas beneficiadas con el financiamiento respecto del total programado</w:t>
            </w:r>
          </w:p>
        </w:tc>
        <w:tc>
          <w:tcPr>
            <w:tcW w:w="764" w:type="pct"/>
            <w:tcBorders>
              <w:top w:val="nil"/>
              <w:left w:val="nil"/>
              <w:bottom w:val="single" w:sz="4" w:space="0" w:color="auto"/>
              <w:right w:val="single" w:sz="4" w:space="0" w:color="auto"/>
            </w:tcBorders>
            <w:shd w:val="clear" w:color="auto" w:fill="auto"/>
            <w:vAlign w:val="center"/>
            <w:hideMark/>
          </w:tcPr>
          <w:p w14:paraId="5E39CA2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Brindar financiamiento con el apoyo de FIDEMIR a 40 emprendedores de zona rural en el trienio</w:t>
            </w:r>
          </w:p>
        </w:tc>
        <w:tc>
          <w:tcPr>
            <w:tcW w:w="338" w:type="pct"/>
            <w:tcBorders>
              <w:top w:val="nil"/>
              <w:left w:val="nil"/>
              <w:bottom w:val="single" w:sz="4" w:space="0" w:color="auto"/>
              <w:right w:val="single" w:sz="4" w:space="0" w:color="auto"/>
            </w:tcBorders>
            <w:shd w:val="clear" w:color="auto" w:fill="auto"/>
            <w:vAlign w:val="center"/>
            <w:hideMark/>
          </w:tcPr>
          <w:p w14:paraId="6A0D9F4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27A511F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31%</w:t>
            </w:r>
          </w:p>
        </w:tc>
        <w:tc>
          <w:tcPr>
            <w:tcW w:w="338" w:type="pct"/>
            <w:tcBorders>
              <w:top w:val="nil"/>
              <w:left w:val="nil"/>
              <w:bottom w:val="single" w:sz="4" w:space="0" w:color="auto"/>
              <w:right w:val="single" w:sz="4" w:space="0" w:color="auto"/>
            </w:tcBorders>
            <w:shd w:val="clear" w:color="auto" w:fill="auto"/>
            <w:vAlign w:val="center"/>
            <w:hideMark/>
          </w:tcPr>
          <w:p w14:paraId="02AFAF3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28E0989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36%</w:t>
            </w:r>
          </w:p>
        </w:tc>
      </w:tr>
      <w:tr w:rsidR="00794EB9" w:rsidRPr="00794EB9" w14:paraId="1F89B81C" w14:textId="77777777" w:rsidTr="00C307FB">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001CE4F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2.4 Power Pyme</w:t>
            </w:r>
          </w:p>
        </w:tc>
        <w:tc>
          <w:tcPr>
            <w:tcW w:w="609" w:type="pct"/>
            <w:tcBorders>
              <w:top w:val="nil"/>
              <w:left w:val="nil"/>
              <w:bottom w:val="single" w:sz="4" w:space="0" w:color="auto"/>
              <w:right w:val="single" w:sz="4" w:space="0" w:color="auto"/>
            </w:tcBorders>
            <w:shd w:val="clear" w:color="auto" w:fill="auto"/>
            <w:vAlign w:val="center"/>
            <w:hideMark/>
          </w:tcPr>
          <w:p w14:paraId="6F8773D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2.4.2.</w:t>
            </w:r>
          </w:p>
        </w:tc>
        <w:tc>
          <w:tcPr>
            <w:tcW w:w="737" w:type="pct"/>
            <w:tcBorders>
              <w:top w:val="nil"/>
              <w:left w:val="nil"/>
              <w:bottom w:val="single" w:sz="4" w:space="0" w:color="auto"/>
              <w:right w:val="single" w:sz="4" w:space="0" w:color="auto"/>
            </w:tcBorders>
            <w:shd w:val="clear" w:color="auto" w:fill="auto"/>
            <w:vAlign w:val="center"/>
            <w:hideMark/>
          </w:tcPr>
          <w:p w14:paraId="3A75240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2.4.2 Promover la realización de Foros de Negocios y Networking.</w:t>
            </w:r>
          </w:p>
        </w:tc>
        <w:tc>
          <w:tcPr>
            <w:tcW w:w="753" w:type="pct"/>
            <w:tcBorders>
              <w:top w:val="nil"/>
              <w:left w:val="nil"/>
              <w:bottom w:val="single" w:sz="4" w:space="0" w:color="auto"/>
              <w:right w:val="single" w:sz="4" w:space="0" w:color="auto"/>
            </w:tcBorders>
            <w:shd w:val="clear" w:color="auto" w:fill="auto"/>
            <w:vAlign w:val="center"/>
            <w:hideMark/>
          </w:tcPr>
          <w:p w14:paraId="3AF5007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Empresas formales beneficiadas pertenecientes a las cámaras u organismos empresariales de los sectores Industria, Comercio y Servicios</w:t>
            </w:r>
          </w:p>
        </w:tc>
        <w:tc>
          <w:tcPr>
            <w:tcW w:w="764" w:type="pct"/>
            <w:tcBorders>
              <w:top w:val="nil"/>
              <w:left w:val="nil"/>
              <w:bottom w:val="single" w:sz="4" w:space="0" w:color="auto"/>
              <w:right w:val="single" w:sz="4" w:space="0" w:color="auto"/>
            </w:tcBorders>
            <w:shd w:val="clear" w:color="auto" w:fill="auto"/>
            <w:vAlign w:val="center"/>
            <w:hideMark/>
          </w:tcPr>
          <w:p w14:paraId="64204EE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Beneficiar a 1,200 empresas formales pertenecientes a las cámaras u organismos empresariales, durante el trienio.</w:t>
            </w:r>
          </w:p>
        </w:tc>
        <w:tc>
          <w:tcPr>
            <w:tcW w:w="338" w:type="pct"/>
            <w:tcBorders>
              <w:top w:val="nil"/>
              <w:left w:val="nil"/>
              <w:bottom w:val="single" w:sz="4" w:space="0" w:color="auto"/>
              <w:right w:val="single" w:sz="4" w:space="0" w:color="auto"/>
            </w:tcBorders>
            <w:shd w:val="clear" w:color="auto" w:fill="auto"/>
            <w:vAlign w:val="center"/>
            <w:hideMark/>
          </w:tcPr>
          <w:p w14:paraId="467F635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201394C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2A3FF77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7304F07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09AC7F8B" w14:textId="77777777" w:rsidTr="00C307FB">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0168CA8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VM. 2.5 Encadenamiento Productivo y Atracción de Inversiones</w:t>
            </w:r>
          </w:p>
        </w:tc>
        <w:tc>
          <w:tcPr>
            <w:tcW w:w="609" w:type="pct"/>
            <w:tcBorders>
              <w:top w:val="nil"/>
              <w:left w:val="nil"/>
              <w:bottom w:val="single" w:sz="4" w:space="0" w:color="auto"/>
              <w:right w:val="single" w:sz="4" w:space="0" w:color="auto"/>
            </w:tcBorders>
            <w:shd w:val="clear" w:color="auto" w:fill="auto"/>
            <w:vAlign w:val="center"/>
            <w:hideMark/>
          </w:tcPr>
          <w:p w14:paraId="2C2EC4B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2.5.1</w:t>
            </w:r>
          </w:p>
        </w:tc>
        <w:tc>
          <w:tcPr>
            <w:tcW w:w="737" w:type="pct"/>
            <w:tcBorders>
              <w:top w:val="nil"/>
              <w:left w:val="nil"/>
              <w:bottom w:val="single" w:sz="4" w:space="0" w:color="auto"/>
              <w:right w:val="single" w:sz="4" w:space="0" w:color="auto"/>
            </w:tcBorders>
            <w:shd w:val="clear" w:color="auto" w:fill="auto"/>
            <w:vAlign w:val="center"/>
            <w:hideMark/>
          </w:tcPr>
          <w:p w14:paraId="193E276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2.5.1 Promover las inversiones con base al impulso de las 9 vocaciones estratégicas de León.</w:t>
            </w:r>
          </w:p>
        </w:tc>
        <w:tc>
          <w:tcPr>
            <w:tcW w:w="753" w:type="pct"/>
            <w:tcBorders>
              <w:top w:val="nil"/>
              <w:left w:val="nil"/>
              <w:bottom w:val="single" w:sz="4" w:space="0" w:color="auto"/>
              <w:right w:val="single" w:sz="4" w:space="0" w:color="auto"/>
            </w:tcBorders>
            <w:shd w:val="clear" w:color="auto" w:fill="auto"/>
            <w:vAlign w:val="center"/>
            <w:hideMark/>
          </w:tcPr>
          <w:p w14:paraId="007A8E3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Número de inversiones concretaras, de al menos 3 de las 9 vocaciones estratégicas de León, por año.</w:t>
            </w:r>
          </w:p>
        </w:tc>
        <w:tc>
          <w:tcPr>
            <w:tcW w:w="764" w:type="pct"/>
            <w:tcBorders>
              <w:top w:val="nil"/>
              <w:left w:val="nil"/>
              <w:bottom w:val="single" w:sz="4" w:space="0" w:color="auto"/>
              <w:right w:val="single" w:sz="4" w:space="0" w:color="auto"/>
            </w:tcBorders>
            <w:shd w:val="clear" w:color="auto" w:fill="auto"/>
            <w:vAlign w:val="center"/>
            <w:hideMark/>
          </w:tcPr>
          <w:p w14:paraId="78AEDCD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Concretar  inversiones de empresas que se encuentren dentro de 3 de las 9 vocaciones estratégicas de León por año</w:t>
            </w:r>
          </w:p>
        </w:tc>
        <w:tc>
          <w:tcPr>
            <w:tcW w:w="338" w:type="pct"/>
            <w:tcBorders>
              <w:top w:val="nil"/>
              <w:left w:val="nil"/>
              <w:bottom w:val="single" w:sz="4" w:space="0" w:color="auto"/>
              <w:right w:val="single" w:sz="4" w:space="0" w:color="auto"/>
            </w:tcBorders>
            <w:shd w:val="clear" w:color="auto" w:fill="auto"/>
            <w:vAlign w:val="center"/>
            <w:hideMark/>
          </w:tcPr>
          <w:p w14:paraId="675AE1C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2495AAB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38" w:type="pct"/>
            <w:tcBorders>
              <w:top w:val="nil"/>
              <w:left w:val="nil"/>
              <w:bottom w:val="single" w:sz="4" w:space="0" w:color="auto"/>
              <w:right w:val="single" w:sz="4" w:space="0" w:color="auto"/>
            </w:tcBorders>
            <w:shd w:val="clear" w:color="auto" w:fill="auto"/>
            <w:vAlign w:val="center"/>
            <w:hideMark/>
          </w:tcPr>
          <w:p w14:paraId="1CC363F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38" w:type="pct"/>
            <w:tcBorders>
              <w:top w:val="nil"/>
              <w:left w:val="nil"/>
              <w:bottom w:val="single" w:sz="4" w:space="0" w:color="auto"/>
              <w:right w:val="single" w:sz="4" w:space="0" w:color="auto"/>
            </w:tcBorders>
            <w:shd w:val="clear" w:color="auto" w:fill="auto"/>
            <w:vAlign w:val="center"/>
            <w:hideMark/>
          </w:tcPr>
          <w:p w14:paraId="0EDE854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6FFEB0C8" w14:textId="77777777" w:rsidTr="00C307FB">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39A59D3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2.5 Encadenamiento Productivo y Atracción de Inversiones</w:t>
            </w:r>
          </w:p>
        </w:tc>
        <w:tc>
          <w:tcPr>
            <w:tcW w:w="609" w:type="pct"/>
            <w:tcBorders>
              <w:top w:val="nil"/>
              <w:left w:val="nil"/>
              <w:bottom w:val="single" w:sz="4" w:space="0" w:color="auto"/>
              <w:right w:val="single" w:sz="4" w:space="0" w:color="auto"/>
            </w:tcBorders>
            <w:shd w:val="clear" w:color="auto" w:fill="auto"/>
            <w:vAlign w:val="center"/>
            <w:hideMark/>
          </w:tcPr>
          <w:p w14:paraId="218BFBE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2.5.2</w:t>
            </w:r>
          </w:p>
        </w:tc>
        <w:tc>
          <w:tcPr>
            <w:tcW w:w="737" w:type="pct"/>
            <w:tcBorders>
              <w:top w:val="nil"/>
              <w:left w:val="nil"/>
              <w:bottom w:val="single" w:sz="4" w:space="0" w:color="auto"/>
              <w:right w:val="single" w:sz="4" w:space="0" w:color="auto"/>
            </w:tcBorders>
            <w:shd w:val="clear" w:color="auto" w:fill="auto"/>
            <w:vAlign w:val="center"/>
            <w:hideMark/>
          </w:tcPr>
          <w:p w14:paraId="124C838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2.5.2 Establecer un esquema de atracción de inversiones.</w:t>
            </w:r>
          </w:p>
        </w:tc>
        <w:tc>
          <w:tcPr>
            <w:tcW w:w="753" w:type="pct"/>
            <w:tcBorders>
              <w:top w:val="nil"/>
              <w:left w:val="nil"/>
              <w:bottom w:val="single" w:sz="4" w:space="0" w:color="auto"/>
              <w:right w:val="single" w:sz="4" w:space="0" w:color="auto"/>
            </w:tcBorders>
            <w:shd w:val="clear" w:color="auto" w:fill="auto"/>
            <w:vAlign w:val="center"/>
            <w:hideMark/>
          </w:tcPr>
          <w:p w14:paraId="1C5D752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millones de dólares cumplidos anualmente, respecto de la meta trianual.</w:t>
            </w:r>
          </w:p>
        </w:tc>
        <w:tc>
          <w:tcPr>
            <w:tcW w:w="764" w:type="pct"/>
            <w:tcBorders>
              <w:top w:val="nil"/>
              <w:left w:val="nil"/>
              <w:bottom w:val="single" w:sz="4" w:space="0" w:color="auto"/>
              <w:right w:val="single" w:sz="4" w:space="0" w:color="auto"/>
            </w:tcBorders>
            <w:shd w:val="clear" w:color="auto" w:fill="auto"/>
            <w:vAlign w:val="center"/>
            <w:hideMark/>
          </w:tcPr>
          <w:p w14:paraId="4864471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Atraer 500 millones de dólares anuales durante el 2022-2024, de los sectores Industria, Comercio y Servicios.</w:t>
            </w:r>
          </w:p>
        </w:tc>
        <w:tc>
          <w:tcPr>
            <w:tcW w:w="338" w:type="pct"/>
            <w:tcBorders>
              <w:top w:val="nil"/>
              <w:left w:val="nil"/>
              <w:bottom w:val="single" w:sz="4" w:space="0" w:color="auto"/>
              <w:right w:val="single" w:sz="4" w:space="0" w:color="auto"/>
            </w:tcBorders>
            <w:shd w:val="clear" w:color="auto" w:fill="auto"/>
            <w:vAlign w:val="center"/>
            <w:hideMark/>
          </w:tcPr>
          <w:p w14:paraId="4A0802B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305DEE2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32%</w:t>
            </w:r>
          </w:p>
        </w:tc>
        <w:tc>
          <w:tcPr>
            <w:tcW w:w="338" w:type="pct"/>
            <w:tcBorders>
              <w:top w:val="nil"/>
              <w:left w:val="nil"/>
              <w:bottom w:val="single" w:sz="4" w:space="0" w:color="auto"/>
              <w:right w:val="single" w:sz="4" w:space="0" w:color="auto"/>
            </w:tcBorders>
            <w:shd w:val="clear" w:color="auto" w:fill="auto"/>
            <w:vAlign w:val="center"/>
            <w:hideMark/>
          </w:tcPr>
          <w:p w14:paraId="1E85C0F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0C49383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35%</w:t>
            </w:r>
          </w:p>
        </w:tc>
      </w:tr>
      <w:tr w:rsidR="00794EB9" w:rsidRPr="00794EB9" w14:paraId="7D15B767" w14:textId="77777777" w:rsidTr="00C307FB">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18D0CCD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2.5 Encadenamiento Productivo y Atracción de Inversiones</w:t>
            </w:r>
          </w:p>
        </w:tc>
        <w:tc>
          <w:tcPr>
            <w:tcW w:w="609" w:type="pct"/>
            <w:tcBorders>
              <w:top w:val="nil"/>
              <w:left w:val="nil"/>
              <w:bottom w:val="single" w:sz="4" w:space="0" w:color="auto"/>
              <w:right w:val="single" w:sz="4" w:space="0" w:color="auto"/>
            </w:tcBorders>
            <w:shd w:val="clear" w:color="auto" w:fill="auto"/>
            <w:vAlign w:val="center"/>
            <w:hideMark/>
          </w:tcPr>
          <w:p w14:paraId="1D4F020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2.5.3 </w:t>
            </w:r>
          </w:p>
        </w:tc>
        <w:tc>
          <w:tcPr>
            <w:tcW w:w="737" w:type="pct"/>
            <w:tcBorders>
              <w:top w:val="nil"/>
              <w:left w:val="nil"/>
              <w:bottom w:val="single" w:sz="4" w:space="0" w:color="auto"/>
              <w:right w:val="single" w:sz="4" w:space="0" w:color="auto"/>
            </w:tcBorders>
            <w:shd w:val="clear" w:color="auto" w:fill="auto"/>
            <w:vAlign w:val="center"/>
            <w:hideMark/>
          </w:tcPr>
          <w:p w14:paraId="7B0DFA5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2.5.3 Brindar apoyos para productores agropecuarios.</w:t>
            </w:r>
          </w:p>
        </w:tc>
        <w:tc>
          <w:tcPr>
            <w:tcW w:w="753" w:type="pct"/>
            <w:tcBorders>
              <w:top w:val="nil"/>
              <w:left w:val="nil"/>
              <w:bottom w:val="single" w:sz="4" w:space="0" w:color="auto"/>
              <w:right w:val="single" w:sz="4" w:space="0" w:color="auto"/>
            </w:tcBorders>
            <w:shd w:val="clear" w:color="auto" w:fill="auto"/>
            <w:vAlign w:val="center"/>
            <w:hideMark/>
          </w:tcPr>
          <w:p w14:paraId="624AE5F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subsidios otorgados respecto del total</w:t>
            </w:r>
          </w:p>
        </w:tc>
        <w:tc>
          <w:tcPr>
            <w:tcW w:w="764" w:type="pct"/>
            <w:tcBorders>
              <w:top w:val="nil"/>
              <w:left w:val="nil"/>
              <w:bottom w:val="single" w:sz="4" w:space="0" w:color="auto"/>
              <w:right w:val="single" w:sz="4" w:space="0" w:color="auto"/>
            </w:tcBorders>
            <w:shd w:val="clear" w:color="auto" w:fill="auto"/>
            <w:vAlign w:val="center"/>
            <w:hideMark/>
          </w:tcPr>
          <w:p w14:paraId="6E649A94" w14:textId="521C1E90" w:rsidR="00794EB9" w:rsidRPr="00794EB9" w:rsidRDefault="00CF01D0" w:rsidP="00CF01D0">
            <w:pPr>
              <w:jc w:val="center"/>
              <w:rPr>
                <w:rFonts w:ascii="Arial" w:hAnsi="Arial" w:cs="Arial"/>
                <w:sz w:val="22"/>
                <w:szCs w:val="22"/>
                <w:lang w:eastAsia="es-MX"/>
              </w:rPr>
            </w:pPr>
            <w:r>
              <w:rPr>
                <w:rFonts w:ascii="Arial" w:hAnsi="Arial" w:cs="Arial"/>
                <w:sz w:val="22"/>
                <w:szCs w:val="22"/>
                <w:lang w:eastAsia="es-MX"/>
              </w:rPr>
              <w:t>Otorgar 1,500</w:t>
            </w:r>
            <w:r w:rsidR="00794EB9" w:rsidRPr="00794EB9">
              <w:rPr>
                <w:rFonts w:ascii="Arial" w:hAnsi="Arial" w:cs="Arial"/>
                <w:sz w:val="22"/>
                <w:szCs w:val="22"/>
                <w:lang w:eastAsia="es-MX"/>
              </w:rPr>
              <w:t xml:space="preserve"> subsidios anualmente a productores agropecuarios durante el trienio</w:t>
            </w:r>
            <w:r>
              <w:rPr>
                <w:rFonts w:ascii="Arial" w:hAnsi="Arial" w:cs="Arial"/>
                <w:sz w:val="22"/>
                <w:szCs w:val="22"/>
                <w:lang w:eastAsia="es-MX"/>
              </w:rPr>
              <w:t xml:space="preserve"> </w:t>
            </w:r>
            <w:r w:rsidRPr="00255030">
              <w:rPr>
                <w:rFonts w:ascii="Arial" w:hAnsi="Arial" w:cs="Arial"/>
                <w:b/>
                <w:color w:val="002060"/>
                <w:sz w:val="18"/>
                <w:szCs w:val="18"/>
                <w:lang w:eastAsia="es-MX"/>
              </w:rPr>
              <w:t xml:space="preserve">Meta </w:t>
            </w:r>
            <w:r>
              <w:rPr>
                <w:rFonts w:ascii="Arial" w:hAnsi="Arial" w:cs="Arial"/>
                <w:b/>
                <w:color w:val="002060"/>
                <w:sz w:val="18"/>
                <w:szCs w:val="18"/>
                <w:lang w:eastAsia="es-MX"/>
              </w:rPr>
              <w:t>incrementada 27-12-2022</w:t>
            </w:r>
          </w:p>
        </w:tc>
        <w:tc>
          <w:tcPr>
            <w:tcW w:w="338" w:type="pct"/>
            <w:tcBorders>
              <w:top w:val="nil"/>
              <w:left w:val="nil"/>
              <w:bottom w:val="single" w:sz="4" w:space="0" w:color="auto"/>
              <w:right w:val="single" w:sz="4" w:space="0" w:color="auto"/>
            </w:tcBorders>
            <w:shd w:val="clear" w:color="auto" w:fill="auto"/>
            <w:vAlign w:val="center"/>
            <w:hideMark/>
          </w:tcPr>
          <w:p w14:paraId="248B10E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061478E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5A6F5A4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7CE8767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45CE5A14" w14:textId="77777777" w:rsidTr="00C307FB">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4529D42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VM. 2.5 Encadenamiento Productivo y Atracción de Inversiones</w:t>
            </w:r>
          </w:p>
        </w:tc>
        <w:tc>
          <w:tcPr>
            <w:tcW w:w="609" w:type="pct"/>
            <w:tcBorders>
              <w:top w:val="nil"/>
              <w:left w:val="nil"/>
              <w:bottom w:val="single" w:sz="4" w:space="0" w:color="auto"/>
              <w:right w:val="single" w:sz="4" w:space="0" w:color="auto"/>
            </w:tcBorders>
            <w:shd w:val="clear" w:color="auto" w:fill="auto"/>
            <w:vAlign w:val="center"/>
            <w:hideMark/>
          </w:tcPr>
          <w:p w14:paraId="70BC4E4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2.5.4</w:t>
            </w:r>
          </w:p>
        </w:tc>
        <w:tc>
          <w:tcPr>
            <w:tcW w:w="737" w:type="pct"/>
            <w:tcBorders>
              <w:top w:val="nil"/>
              <w:left w:val="nil"/>
              <w:bottom w:val="single" w:sz="4" w:space="0" w:color="auto"/>
              <w:right w:val="single" w:sz="4" w:space="0" w:color="auto"/>
            </w:tcBorders>
            <w:shd w:val="clear" w:color="auto" w:fill="auto"/>
            <w:vAlign w:val="center"/>
            <w:hideMark/>
          </w:tcPr>
          <w:p w14:paraId="0314EF6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2.5.4 Brindar apoyos para la infraestructura y equipamiento en zonas industriales consolidadas.</w:t>
            </w:r>
          </w:p>
        </w:tc>
        <w:tc>
          <w:tcPr>
            <w:tcW w:w="753" w:type="pct"/>
            <w:tcBorders>
              <w:top w:val="nil"/>
              <w:left w:val="nil"/>
              <w:bottom w:val="single" w:sz="4" w:space="0" w:color="auto"/>
              <w:right w:val="single" w:sz="4" w:space="0" w:color="auto"/>
            </w:tcBorders>
            <w:shd w:val="clear" w:color="auto" w:fill="auto"/>
            <w:vAlign w:val="center"/>
            <w:hideMark/>
          </w:tcPr>
          <w:p w14:paraId="553075E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zonas industriales consolidadas mejoradas respecto del total programado.</w:t>
            </w:r>
          </w:p>
        </w:tc>
        <w:tc>
          <w:tcPr>
            <w:tcW w:w="764" w:type="pct"/>
            <w:tcBorders>
              <w:top w:val="nil"/>
              <w:left w:val="nil"/>
              <w:bottom w:val="single" w:sz="4" w:space="0" w:color="auto"/>
              <w:right w:val="single" w:sz="4" w:space="0" w:color="auto"/>
            </w:tcBorders>
            <w:shd w:val="clear" w:color="auto" w:fill="auto"/>
            <w:vAlign w:val="center"/>
            <w:hideMark/>
          </w:tcPr>
          <w:p w14:paraId="3F2880C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Mejorar la infraestructura en 6 zonas industriales consolidadas durante el trienio, en donde laboran 34,000 trabajadores</w:t>
            </w:r>
          </w:p>
        </w:tc>
        <w:tc>
          <w:tcPr>
            <w:tcW w:w="338" w:type="pct"/>
            <w:tcBorders>
              <w:top w:val="nil"/>
              <w:left w:val="nil"/>
              <w:bottom w:val="single" w:sz="4" w:space="0" w:color="auto"/>
              <w:right w:val="single" w:sz="4" w:space="0" w:color="auto"/>
            </w:tcBorders>
            <w:shd w:val="clear" w:color="auto" w:fill="auto"/>
            <w:vAlign w:val="center"/>
            <w:hideMark/>
          </w:tcPr>
          <w:p w14:paraId="0FE0486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2A474F0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38" w:type="pct"/>
            <w:tcBorders>
              <w:top w:val="nil"/>
              <w:left w:val="nil"/>
              <w:bottom w:val="single" w:sz="4" w:space="0" w:color="auto"/>
              <w:right w:val="single" w:sz="4" w:space="0" w:color="auto"/>
            </w:tcBorders>
            <w:shd w:val="clear" w:color="auto" w:fill="auto"/>
            <w:vAlign w:val="center"/>
            <w:hideMark/>
          </w:tcPr>
          <w:p w14:paraId="0CB043D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40%</w:t>
            </w:r>
          </w:p>
        </w:tc>
        <w:tc>
          <w:tcPr>
            <w:tcW w:w="338" w:type="pct"/>
            <w:tcBorders>
              <w:top w:val="nil"/>
              <w:left w:val="nil"/>
              <w:bottom w:val="single" w:sz="4" w:space="0" w:color="auto"/>
              <w:right w:val="single" w:sz="4" w:space="0" w:color="auto"/>
            </w:tcBorders>
            <w:shd w:val="clear" w:color="auto" w:fill="auto"/>
            <w:vAlign w:val="center"/>
            <w:hideMark/>
          </w:tcPr>
          <w:p w14:paraId="6127900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20%</w:t>
            </w:r>
          </w:p>
        </w:tc>
      </w:tr>
      <w:tr w:rsidR="00794EB9" w:rsidRPr="00794EB9" w14:paraId="407623F1" w14:textId="77777777" w:rsidTr="00C307FB">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186287C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2.6 Impulso Educativo y Nuevas Vocaciones </w:t>
            </w:r>
          </w:p>
        </w:tc>
        <w:tc>
          <w:tcPr>
            <w:tcW w:w="609" w:type="pct"/>
            <w:tcBorders>
              <w:top w:val="nil"/>
              <w:left w:val="nil"/>
              <w:bottom w:val="single" w:sz="4" w:space="0" w:color="auto"/>
              <w:right w:val="single" w:sz="4" w:space="0" w:color="auto"/>
            </w:tcBorders>
            <w:shd w:val="clear" w:color="auto" w:fill="auto"/>
            <w:vAlign w:val="center"/>
            <w:hideMark/>
          </w:tcPr>
          <w:p w14:paraId="1700E22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2.6.1</w:t>
            </w:r>
          </w:p>
        </w:tc>
        <w:tc>
          <w:tcPr>
            <w:tcW w:w="737" w:type="pct"/>
            <w:tcBorders>
              <w:top w:val="nil"/>
              <w:left w:val="nil"/>
              <w:bottom w:val="single" w:sz="4" w:space="0" w:color="auto"/>
              <w:right w:val="single" w:sz="4" w:space="0" w:color="auto"/>
            </w:tcBorders>
            <w:shd w:val="clear" w:color="auto" w:fill="auto"/>
            <w:vAlign w:val="center"/>
            <w:hideMark/>
          </w:tcPr>
          <w:p w14:paraId="17F180E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2.6.1 Promover la realización de Foros orientados a nuevos modelos educativos. </w:t>
            </w:r>
          </w:p>
        </w:tc>
        <w:tc>
          <w:tcPr>
            <w:tcW w:w="753" w:type="pct"/>
            <w:tcBorders>
              <w:top w:val="nil"/>
              <w:left w:val="nil"/>
              <w:bottom w:val="single" w:sz="4" w:space="0" w:color="auto"/>
              <w:right w:val="single" w:sz="4" w:space="0" w:color="auto"/>
            </w:tcBorders>
            <w:shd w:val="clear" w:color="auto" w:fill="auto"/>
            <w:vAlign w:val="center"/>
            <w:hideMark/>
          </w:tcPr>
          <w:p w14:paraId="26EA423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personas beneficiadas en los foros programados</w:t>
            </w:r>
          </w:p>
        </w:tc>
        <w:tc>
          <w:tcPr>
            <w:tcW w:w="764" w:type="pct"/>
            <w:tcBorders>
              <w:top w:val="nil"/>
              <w:left w:val="nil"/>
              <w:bottom w:val="single" w:sz="4" w:space="0" w:color="auto"/>
              <w:right w:val="single" w:sz="4" w:space="0" w:color="auto"/>
            </w:tcBorders>
            <w:shd w:val="clear" w:color="auto" w:fill="auto"/>
            <w:vAlign w:val="center"/>
            <w:hideMark/>
          </w:tcPr>
          <w:p w14:paraId="03FAB88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Beneficiar a 2,400 participantes entre alumnos, docentes y padres de familia de manera anual durante el trienio. </w:t>
            </w:r>
          </w:p>
        </w:tc>
        <w:tc>
          <w:tcPr>
            <w:tcW w:w="338" w:type="pct"/>
            <w:tcBorders>
              <w:top w:val="nil"/>
              <w:left w:val="nil"/>
              <w:bottom w:val="single" w:sz="4" w:space="0" w:color="auto"/>
              <w:right w:val="single" w:sz="4" w:space="0" w:color="auto"/>
            </w:tcBorders>
            <w:shd w:val="clear" w:color="auto" w:fill="auto"/>
            <w:vAlign w:val="center"/>
            <w:hideMark/>
          </w:tcPr>
          <w:p w14:paraId="4485111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3FEE871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31%</w:t>
            </w:r>
          </w:p>
        </w:tc>
        <w:tc>
          <w:tcPr>
            <w:tcW w:w="338" w:type="pct"/>
            <w:tcBorders>
              <w:top w:val="nil"/>
              <w:left w:val="nil"/>
              <w:bottom w:val="single" w:sz="4" w:space="0" w:color="auto"/>
              <w:right w:val="single" w:sz="4" w:space="0" w:color="auto"/>
            </w:tcBorders>
            <w:shd w:val="clear" w:color="auto" w:fill="auto"/>
            <w:vAlign w:val="center"/>
            <w:hideMark/>
          </w:tcPr>
          <w:p w14:paraId="3CC1330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5ACE894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36%</w:t>
            </w:r>
          </w:p>
        </w:tc>
      </w:tr>
      <w:tr w:rsidR="00794EB9" w:rsidRPr="00794EB9" w14:paraId="04B304F9" w14:textId="77777777" w:rsidTr="00C307FB">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0F4DADA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2.6 Impulso Educativo y Nuevas Vocaciones </w:t>
            </w:r>
          </w:p>
        </w:tc>
        <w:tc>
          <w:tcPr>
            <w:tcW w:w="609" w:type="pct"/>
            <w:tcBorders>
              <w:top w:val="nil"/>
              <w:left w:val="nil"/>
              <w:bottom w:val="single" w:sz="4" w:space="0" w:color="auto"/>
              <w:right w:val="single" w:sz="4" w:space="0" w:color="auto"/>
            </w:tcBorders>
            <w:shd w:val="clear" w:color="auto" w:fill="auto"/>
            <w:vAlign w:val="center"/>
            <w:hideMark/>
          </w:tcPr>
          <w:p w14:paraId="320B454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2.6.2</w:t>
            </w:r>
          </w:p>
        </w:tc>
        <w:tc>
          <w:tcPr>
            <w:tcW w:w="737" w:type="pct"/>
            <w:tcBorders>
              <w:top w:val="nil"/>
              <w:left w:val="nil"/>
              <w:bottom w:val="single" w:sz="4" w:space="0" w:color="auto"/>
              <w:right w:val="single" w:sz="4" w:space="0" w:color="auto"/>
            </w:tcBorders>
            <w:shd w:val="clear" w:color="auto" w:fill="auto"/>
            <w:vAlign w:val="center"/>
            <w:hideMark/>
          </w:tcPr>
          <w:p w14:paraId="756E2A7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2.6.2 Alfabetizar a personas para que puedan desarrollarse en el ámbito educativo, laboral y social. (Convenio con INAEBA)</w:t>
            </w:r>
          </w:p>
        </w:tc>
        <w:tc>
          <w:tcPr>
            <w:tcW w:w="753" w:type="pct"/>
            <w:tcBorders>
              <w:top w:val="nil"/>
              <w:left w:val="nil"/>
              <w:bottom w:val="single" w:sz="4" w:space="0" w:color="auto"/>
              <w:right w:val="single" w:sz="4" w:space="0" w:color="auto"/>
            </w:tcBorders>
            <w:shd w:val="clear" w:color="auto" w:fill="auto"/>
            <w:vAlign w:val="center"/>
            <w:hideMark/>
          </w:tcPr>
          <w:p w14:paraId="1E60A18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personas alfabetizadas respecto de la meta anual establecida</w:t>
            </w:r>
          </w:p>
        </w:tc>
        <w:tc>
          <w:tcPr>
            <w:tcW w:w="764" w:type="pct"/>
            <w:tcBorders>
              <w:top w:val="nil"/>
              <w:left w:val="nil"/>
              <w:bottom w:val="single" w:sz="4" w:space="0" w:color="auto"/>
              <w:right w:val="single" w:sz="4" w:space="0" w:color="auto"/>
            </w:tcBorders>
            <w:shd w:val="clear" w:color="auto" w:fill="auto"/>
            <w:vAlign w:val="center"/>
            <w:hideMark/>
          </w:tcPr>
          <w:p w14:paraId="7C2180C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Atender a 5 mil personas en Alfabetización y Atención al Rezago Educativo y los que no han terminado su educación secundaria para certificarlos de manera anual, durante el trienio </w:t>
            </w:r>
          </w:p>
        </w:tc>
        <w:tc>
          <w:tcPr>
            <w:tcW w:w="338" w:type="pct"/>
            <w:tcBorders>
              <w:top w:val="nil"/>
              <w:left w:val="nil"/>
              <w:bottom w:val="single" w:sz="4" w:space="0" w:color="auto"/>
              <w:right w:val="single" w:sz="4" w:space="0" w:color="auto"/>
            </w:tcBorders>
            <w:shd w:val="clear" w:color="auto" w:fill="auto"/>
            <w:vAlign w:val="center"/>
            <w:hideMark/>
          </w:tcPr>
          <w:p w14:paraId="2C56FA4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1FCBA26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6221F68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4BFB59D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313B7C0C" w14:textId="77777777" w:rsidTr="00C307FB">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62D272D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VM. 2.6 Impulso Educativo y Nuevas Vocaciones </w:t>
            </w:r>
          </w:p>
        </w:tc>
        <w:tc>
          <w:tcPr>
            <w:tcW w:w="609" w:type="pct"/>
            <w:tcBorders>
              <w:top w:val="nil"/>
              <w:left w:val="nil"/>
              <w:bottom w:val="single" w:sz="4" w:space="0" w:color="auto"/>
              <w:right w:val="single" w:sz="4" w:space="0" w:color="auto"/>
            </w:tcBorders>
            <w:shd w:val="clear" w:color="auto" w:fill="auto"/>
            <w:vAlign w:val="center"/>
            <w:hideMark/>
          </w:tcPr>
          <w:p w14:paraId="3E8C664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2.6.3</w:t>
            </w:r>
          </w:p>
        </w:tc>
        <w:tc>
          <w:tcPr>
            <w:tcW w:w="737" w:type="pct"/>
            <w:tcBorders>
              <w:top w:val="nil"/>
              <w:left w:val="nil"/>
              <w:bottom w:val="single" w:sz="4" w:space="0" w:color="auto"/>
              <w:right w:val="single" w:sz="4" w:space="0" w:color="auto"/>
            </w:tcBorders>
            <w:shd w:val="clear" w:color="auto" w:fill="auto"/>
            <w:vAlign w:val="center"/>
            <w:hideMark/>
          </w:tcPr>
          <w:p w14:paraId="2B3D09F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2.6.3 Atender a personas que no asisten a la escuela y que se encuentran en situación de rezago educativo. (Convenio INAEBA)</w:t>
            </w:r>
          </w:p>
        </w:tc>
        <w:tc>
          <w:tcPr>
            <w:tcW w:w="753" w:type="pct"/>
            <w:tcBorders>
              <w:top w:val="nil"/>
              <w:left w:val="nil"/>
              <w:bottom w:val="single" w:sz="4" w:space="0" w:color="auto"/>
              <w:right w:val="single" w:sz="4" w:space="0" w:color="auto"/>
            </w:tcBorders>
            <w:shd w:val="clear" w:color="auto" w:fill="auto"/>
            <w:vAlign w:val="center"/>
            <w:hideMark/>
          </w:tcPr>
          <w:p w14:paraId="5FB3FD7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personas atendidas respecto de la meta anual establecida</w:t>
            </w:r>
          </w:p>
        </w:tc>
        <w:tc>
          <w:tcPr>
            <w:tcW w:w="764" w:type="pct"/>
            <w:tcBorders>
              <w:top w:val="nil"/>
              <w:left w:val="nil"/>
              <w:bottom w:val="single" w:sz="4" w:space="0" w:color="auto"/>
              <w:right w:val="single" w:sz="4" w:space="0" w:color="auto"/>
            </w:tcBorders>
            <w:shd w:val="clear" w:color="auto" w:fill="auto"/>
            <w:vAlign w:val="center"/>
            <w:hideMark/>
          </w:tcPr>
          <w:p w14:paraId="17102CB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Atender a 500 personas entre 10 y 14 años de edad en riesgo de presentar una condición de rezago educativo de manera anual durante el trienio.</w:t>
            </w:r>
          </w:p>
        </w:tc>
        <w:tc>
          <w:tcPr>
            <w:tcW w:w="338" w:type="pct"/>
            <w:tcBorders>
              <w:top w:val="nil"/>
              <w:left w:val="nil"/>
              <w:bottom w:val="single" w:sz="4" w:space="0" w:color="auto"/>
              <w:right w:val="single" w:sz="4" w:space="0" w:color="auto"/>
            </w:tcBorders>
            <w:shd w:val="clear" w:color="auto" w:fill="auto"/>
            <w:vAlign w:val="center"/>
            <w:hideMark/>
          </w:tcPr>
          <w:p w14:paraId="6290BBA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657AE41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368CD63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5403CF7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490D1BBA" w14:textId="77777777" w:rsidTr="00C307FB">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5212B47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2.7 Innovación y Emprendimiento</w:t>
            </w:r>
          </w:p>
        </w:tc>
        <w:tc>
          <w:tcPr>
            <w:tcW w:w="609" w:type="pct"/>
            <w:tcBorders>
              <w:top w:val="nil"/>
              <w:left w:val="nil"/>
              <w:bottom w:val="single" w:sz="4" w:space="0" w:color="auto"/>
              <w:right w:val="single" w:sz="4" w:space="0" w:color="auto"/>
            </w:tcBorders>
            <w:shd w:val="clear" w:color="auto" w:fill="auto"/>
            <w:vAlign w:val="center"/>
            <w:hideMark/>
          </w:tcPr>
          <w:p w14:paraId="32A15C5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2.7.1</w:t>
            </w:r>
          </w:p>
        </w:tc>
        <w:tc>
          <w:tcPr>
            <w:tcW w:w="737" w:type="pct"/>
            <w:tcBorders>
              <w:top w:val="nil"/>
              <w:left w:val="nil"/>
              <w:bottom w:val="single" w:sz="4" w:space="0" w:color="auto"/>
              <w:right w:val="single" w:sz="4" w:space="0" w:color="auto"/>
            </w:tcBorders>
            <w:shd w:val="clear" w:color="auto" w:fill="auto"/>
            <w:vAlign w:val="center"/>
            <w:hideMark/>
          </w:tcPr>
          <w:p w14:paraId="735F86A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2.7.1 Impulsar la economía naranja y el desarrollo de Laboratorios de Innovación para el apoyo a jóvenes emprendedores con énfasis en desarrollo tecnológico.</w:t>
            </w:r>
          </w:p>
        </w:tc>
        <w:tc>
          <w:tcPr>
            <w:tcW w:w="753" w:type="pct"/>
            <w:tcBorders>
              <w:top w:val="nil"/>
              <w:left w:val="nil"/>
              <w:bottom w:val="single" w:sz="4" w:space="0" w:color="auto"/>
              <w:right w:val="single" w:sz="4" w:space="0" w:color="auto"/>
            </w:tcBorders>
            <w:shd w:val="clear" w:color="auto" w:fill="auto"/>
            <w:vAlign w:val="center"/>
            <w:hideMark/>
          </w:tcPr>
          <w:p w14:paraId="32BCF4A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Número de proyectos constituidos o consolidados de emprendimiento de alto impacto o social, en el año.</w:t>
            </w:r>
          </w:p>
        </w:tc>
        <w:tc>
          <w:tcPr>
            <w:tcW w:w="764" w:type="pct"/>
            <w:tcBorders>
              <w:top w:val="nil"/>
              <w:left w:val="nil"/>
              <w:bottom w:val="single" w:sz="4" w:space="0" w:color="auto"/>
              <w:right w:val="single" w:sz="4" w:space="0" w:color="auto"/>
            </w:tcBorders>
            <w:shd w:val="clear" w:color="auto" w:fill="auto"/>
            <w:vAlign w:val="center"/>
            <w:hideMark/>
          </w:tcPr>
          <w:p w14:paraId="16038C8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Apoyar en su constitución o consolidación empresarial a 100 proyectos de emprendimiento de alto impacto o social, durante el trienio</w:t>
            </w:r>
          </w:p>
        </w:tc>
        <w:tc>
          <w:tcPr>
            <w:tcW w:w="338" w:type="pct"/>
            <w:tcBorders>
              <w:top w:val="nil"/>
              <w:left w:val="nil"/>
              <w:bottom w:val="single" w:sz="4" w:space="0" w:color="auto"/>
              <w:right w:val="single" w:sz="4" w:space="0" w:color="auto"/>
            </w:tcBorders>
            <w:shd w:val="clear" w:color="auto" w:fill="auto"/>
            <w:vAlign w:val="center"/>
            <w:hideMark/>
          </w:tcPr>
          <w:p w14:paraId="2133F92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61EA37A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32%</w:t>
            </w:r>
          </w:p>
        </w:tc>
        <w:tc>
          <w:tcPr>
            <w:tcW w:w="338" w:type="pct"/>
            <w:tcBorders>
              <w:top w:val="nil"/>
              <w:left w:val="nil"/>
              <w:bottom w:val="single" w:sz="4" w:space="0" w:color="auto"/>
              <w:right w:val="single" w:sz="4" w:space="0" w:color="auto"/>
            </w:tcBorders>
            <w:shd w:val="clear" w:color="auto" w:fill="auto"/>
            <w:vAlign w:val="center"/>
            <w:hideMark/>
          </w:tcPr>
          <w:p w14:paraId="71656CA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5B077B2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35%</w:t>
            </w:r>
          </w:p>
        </w:tc>
      </w:tr>
    </w:tbl>
    <w:p w14:paraId="16ED991F" w14:textId="77777777" w:rsidR="00794EB9" w:rsidRPr="00794EB9" w:rsidRDefault="00794EB9" w:rsidP="00794EB9">
      <w:pPr>
        <w:ind w:leftChars="-194" w:left="-388" w:firstLine="1"/>
        <w:rPr>
          <w:rFonts w:ascii="Arial" w:hAnsi="Arial" w:cs="Arial"/>
          <w:sz w:val="22"/>
          <w:szCs w:val="22"/>
        </w:rPr>
      </w:pPr>
    </w:p>
    <w:p w14:paraId="3417F8FA"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BANDERA. VIVIR MEJOR</w:t>
      </w:r>
    </w:p>
    <w:p w14:paraId="16B769F0"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ESTRATEGIA 6. INFRAESTRUCTURA PARA EL FUTURO</w:t>
      </w:r>
    </w:p>
    <w:p w14:paraId="1567CADF"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PROGRAMA: VM3. LEÓN 450</w:t>
      </w:r>
    </w:p>
    <w:p w14:paraId="49DE86B5" w14:textId="77777777" w:rsidR="00794EB9" w:rsidRPr="00794EB9" w:rsidRDefault="00794EB9" w:rsidP="00794EB9">
      <w:pPr>
        <w:spacing w:line="259" w:lineRule="auto"/>
        <w:jc w:val="both"/>
        <w:rPr>
          <w:rFonts w:ascii="Arial" w:hAnsi="Arial" w:cs="Arial"/>
          <w:sz w:val="22"/>
          <w:szCs w:val="22"/>
          <w:lang w:eastAsia="es-MX"/>
        </w:rPr>
      </w:pPr>
      <w:r w:rsidRPr="00794EB9">
        <w:rPr>
          <w:rFonts w:ascii="Arial" w:hAnsi="Arial" w:cs="Arial"/>
          <w:i/>
          <w:iCs/>
          <w:sz w:val="22"/>
          <w:szCs w:val="22"/>
          <w:lang w:eastAsia="es-MX"/>
        </w:rPr>
        <w:t xml:space="preserve">Objetivo del programa: </w:t>
      </w:r>
      <w:r w:rsidRPr="00794EB9">
        <w:rPr>
          <w:rFonts w:ascii="Arial" w:hAnsi="Arial" w:cs="Arial"/>
          <w:sz w:val="22"/>
          <w:szCs w:val="22"/>
          <w:lang w:eastAsia="es-MX"/>
        </w:rPr>
        <w:t>Establecer el sustento de planeación, infraestructura y conectividad para el desarrollo del proyecto de gran visión: León 450, que plantea el desarrollo de la ciudad y su zona metropolitana para las siguientes décadas.</w:t>
      </w:r>
    </w:p>
    <w:p w14:paraId="78E2A258" w14:textId="77777777" w:rsidR="00794EB9" w:rsidRPr="00794EB9" w:rsidRDefault="00794EB9" w:rsidP="00794EB9">
      <w:pPr>
        <w:spacing w:line="259" w:lineRule="auto"/>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258"/>
        <w:gridCol w:w="1123"/>
        <w:gridCol w:w="1364"/>
        <w:gridCol w:w="1181"/>
        <w:gridCol w:w="1374"/>
        <w:gridCol w:w="632"/>
        <w:gridCol w:w="632"/>
        <w:gridCol w:w="632"/>
        <w:gridCol w:w="632"/>
      </w:tblGrid>
      <w:tr w:rsidR="00794EB9" w:rsidRPr="00794EB9" w14:paraId="025ACA44" w14:textId="77777777" w:rsidTr="00C307FB">
        <w:trPr>
          <w:cantSplit/>
          <w:trHeight w:val="57"/>
          <w:tblHeader/>
        </w:trPr>
        <w:tc>
          <w:tcPr>
            <w:tcW w:w="7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97B0CF2"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lastRenderedPageBreak/>
              <w:t xml:space="preserve"> PROYECTOS </w:t>
            </w:r>
          </w:p>
        </w:tc>
        <w:tc>
          <w:tcPr>
            <w:tcW w:w="62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0AC66DE"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71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0F35361"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65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1D2661D"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76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FA43103"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4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8F92F10"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34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A8F2CBD"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4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1B423C7"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50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6CD7052" w14:textId="77777777" w:rsidR="00794EB9" w:rsidRPr="00794EB9" w:rsidRDefault="00794EB9" w:rsidP="00C307FB">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6F3C5893" w14:textId="77777777" w:rsidTr="00C307FB">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700E495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3.1 Visión Metropolitana</w:t>
            </w:r>
          </w:p>
        </w:tc>
        <w:tc>
          <w:tcPr>
            <w:tcW w:w="624" w:type="pct"/>
            <w:tcBorders>
              <w:top w:val="nil"/>
              <w:left w:val="nil"/>
              <w:bottom w:val="single" w:sz="4" w:space="0" w:color="auto"/>
              <w:right w:val="single" w:sz="4" w:space="0" w:color="auto"/>
            </w:tcBorders>
            <w:shd w:val="clear" w:color="auto" w:fill="auto"/>
            <w:vAlign w:val="center"/>
            <w:hideMark/>
          </w:tcPr>
          <w:p w14:paraId="6F1FDEF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3.1.1 </w:t>
            </w:r>
          </w:p>
        </w:tc>
        <w:tc>
          <w:tcPr>
            <w:tcW w:w="711" w:type="pct"/>
            <w:tcBorders>
              <w:top w:val="nil"/>
              <w:left w:val="nil"/>
              <w:bottom w:val="single" w:sz="4" w:space="0" w:color="auto"/>
              <w:right w:val="single" w:sz="4" w:space="0" w:color="auto"/>
            </w:tcBorders>
            <w:shd w:val="clear" w:color="auto" w:fill="auto"/>
            <w:vAlign w:val="center"/>
            <w:hideMark/>
          </w:tcPr>
          <w:p w14:paraId="34B9137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3.1.1 Desarrollar estudios y proyectos para la Integración de servicios a nivel metropolitano: Manejo de residuos, Agua y Drenaje, y Movilidad Regional</w:t>
            </w:r>
          </w:p>
        </w:tc>
        <w:tc>
          <w:tcPr>
            <w:tcW w:w="657" w:type="pct"/>
            <w:tcBorders>
              <w:top w:val="nil"/>
              <w:left w:val="nil"/>
              <w:bottom w:val="single" w:sz="4" w:space="0" w:color="auto"/>
              <w:right w:val="single" w:sz="4" w:space="0" w:color="auto"/>
            </w:tcBorders>
            <w:shd w:val="clear" w:color="auto" w:fill="auto"/>
            <w:vAlign w:val="center"/>
            <w:hideMark/>
          </w:tcPr>
          <w:p w14:paraId="3B2D0B4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de estudios realizados respecto del total previsto</w:t>
            </w:r>
          </w:p>
        </w:tc>
        <w:tc>
          <w:tcPr>
            <w:tcW w:w="766" w:type="pct"/>
            <w:tcBorders>
              <w:top w:val="nil"/>
              <w:left w:val="nil"/>
              <w:bottom w:val="single" w:sz="4" w:space="0" w:color="auto"/>
              <w:right w:val="single" w:sz="4" w:space="0" w:color="auto"/>
            </w:tcBorders>
            <w:shd w:val="clear" w:color="auto" w:fill="auto"/>
            <w:vAlign w:val="center"/>
            <w:hideMark/>
          </w:tcPr>
          <w:p w14:paraId="4A15B7F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Desarrollo de 3 estudios y proyectos para la integración de servicios a nivel metropolitano: Manejo de residuos, Agua y Drenaje, y Movilidad Regional durante el trienio</w:t>
            </w:r>
          </w:p>
        </w:tc>
        <w:tc>
          <w:tcPr>
            <w:tcW w:w="346" w:type="pct"/>
            <w:tcBorders>
              <w:top w:val="nil"/>
              <w:left w:val="nil"/>
              <w:bottom w:val="single" w:sz="4" w:space="0" w:color="auto"/>
              <w:right w:val="single" w:sz="4" w:space="0" w:color="auto"/>
            </w:tcBorders>
            <w:shd w:val="clear" w:color="auto" w:fill="auto"/>
            <w:vAlign w:val="center"/>
            <w:hideMark/>
          </w:tcPr>
          <w:p w14:paraId="3E3E980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025A371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346" w:type="pct"/>
            <w:tcBorders>
              <w:top w:val="nil"/>
              <w:left w:val="nil"/>
              <w:bottom w:val="single" w:sz="4" w:space="0" w:color="auto"/>
              <w:right w:val="single" w:sz="4" w:space="0" w:color="auto"/>
            </w:tcBorders>
            <w:shd w:val="clear" w:color="auto" w:fill="auto"/>
            <w:vAlign w:val="center"/>
            <w:hideMark/>
          </w:tcPr>
          <w:p w14:paraId="59FFD68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502" w:type="pct"/>
            <w:tcBorders>
              <w:top w:val="nil"/>
              <w:left w:val="nil"/>
              <w:bottom w:val="single" w:sz="4" w:space="0" w:color="auto"/>
              <w:right w:val="single" w:sz="4" w:space="0" w:color="auto"/>
            </w:tcBorders>
            <w:shd w:val="clear" w:color="auto" w:fill="auto"/>
            <w:vAlign w:val="center"/>
            <w:hideMark/>
          </w:tcPr>
          <w:p w14:paraId="46D4DD5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10C216F0" w14:textId="77777777" w:rsidTr="00C307FB">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791EF6E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3.1 Visión Metropolitana</w:t>
            </w:r>
          </w:p>
        </w:tc>
        <w:tc>
          <w:tcPr>
            <w:tcW w:w="624" w:type="pct"/>
            <w:tcBorders>
              <w:top w:val="nil"/>
              <w:left w:val="nil"/>
              <w:bottom w:val="single" w:sz="4" w:space="0" w:color="auto"/>
              <w:right w:val="single" w:sz="4" w:space="0" w:color="auto"/>
            </w:tcBorders>
            <w:shd w:val="clear" w:color="auto" w:fill="auto"/>
            <w:vAlign w:val="center"/>
            <w:hideMark/>
          </w:tcPr>
          <w:p w14:paraId="33F33E0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3.1.2</w:t>
            </w:r>
          </w:p>
        </w:tc>
        <w:tc>
          <w:tcPr>
            <w:tcW w:w="711" w:type="pct"/>
            <w:tcBorders>
              <w:top w:val="nil"/>
              <w:left w:val="nil"/>
              <w:bottom w:val="single" w:sz="4" w:space="0" w:color="auto"/>
              <w:right w:val="single" w:sz="4" w:space="0" w:color="auto"/>
            </w:tcBorders>
            <w:shd w:val="clear" w:color="auto" w:fill="auto"/>
            <w:vAlign w:val="center"/>
            <w:hideMark/>
          </w:tcPr>
          <w:p w14:paraId="15A0913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3.1.2 Desarrollar Programas Parciales de desarrollo urbano para la integración metropolitana  y regional (zonas oriente, poniente, sur y norte) y estudios para control urbano.</w:t>
            </w:r>
          </w:p>
        </w:tc>
        <w:tc>
          <w:tcPr>
            <w:tcW w:w="657" w:type="pct"/>
            <w:tcBorders>
              <w:top w:val="nil"/>
              <w:left w:val="nil"/>
              <w:bottom w:val="single" w:sz="4" w:space="0" w:color="auto"/>
              <w:right w:val="single" w:sz="4" w:space="0" w:color="auto"/>
            </w:tcBorders>
            <w:shd w:val="clear" w:color="auto" w:fill="auto"/>
            <w:vAlign w:val="center"/>
            <w:hideMark/>
          </w:tcPr>
          <w:p w14:paraId="4BEF43D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los Programas Parciales desarrollados respecto del total previsto</w:t>
            </w:r>
          </w:p>
        </w:tc>
        <w:tc>
          <w:tcPr>
            <w:tcW w:w="766" w:type="pct"/>
            <w:tcBorders>
              <w:top w:val="nil"/>
              <w:left w:val="nil"/>
              <w:bottom w:val="single" w:sz="4" w:space="0" w:color="auto"/>
              <w:right w:val="single" w:sz="4" w:space="0" w:color="auto"/>
            </w:tcBorders>
            <w:shd w:val="clear" w:color="auto" w:fill="auto"/>
            <w:vAlign w:val="center"/>
            <w:hideMark/>
          </w:tcPr>
          <w:p w14:paraId="350B7C8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Desarrollo de 4 Planes Parciales de integración metropolitana y regional (zonas oriente, poniente, sur y norte) durante el trienio</w:t>
            </w:r>
          </w:p>
        </w:tc>
        <w:tc>
          <w:tcPr>
            <w:tcW w:w="346" w:type="pct"/>
            <w:tcBorders>
              <w:top w:val="nil"/>
              <w:left w:val="nil"/>
              <w:bottom w:val="single" w:sz="4" w:space="0" w:color="auto"/>
              <w:right w:val="single" w:sz="4" w:space="0" w:color="auto"/>
            </w:tcBorders>
            <w:shd w:val="clear" w:color="auto" w:fill="auto"/>
            <w:vAlign w:val="center"/>
            <w:hideMark/>
          </w:tcPr>
          <w:p w14:paraId="14B541E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08AEF6B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38%</w:t>
            </w:r>
          </w:p>
        </w:tc>
        <w:tc>
          <w:tcPr>
            <w:tcW w:w="346" w:type="pct"/>
            <w:tcBorders>
              <w:top w:val="nil"/>
              <w:left w:val="nil"/>
              <w:bottom w:val="single" w:sz="4" w:space="0" w:color="auto"/>
              <w:right w:val="single" w:sz="4" w:space="0" w:color="auto"/>
            </w:tcBorders>
            <w:shd w:val="clear" w:color="auto" w:fill="auto"/>
            <w:vAlign w:val="center"/>
            <w:hideMark/>
          </w:tcPr>
          <w:p w14:paraId="3B3CA21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41%</w:t>
            </w:r>
          </w:p>
        </w:tc>
        <w:tc>
          <w:tcPr>
            <w:tcW w:w="502" w:type="pct"/>
            <w:tcBorders>
              <w:top w:val="nil"/>
              <w:left w:val="nil"/>
              <w:bottom w:val="single" w:sz="4" w:space="0" w:color="auto"/>
              <w:right w:val="single" w:sz="4" w:space="0" w:color="auto"/>
            </w:tcBorders>
            <w:shd w:val="clear" w:color="auto" w:fill="auto"/>
            <w:vAlign w:val="center"/>
            <w:hideMark/>
          </w:tcPr>
          <w:p w14:paraId="2023997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21%</w:t>
            </w:r>
          </w:p>
        </w:tc>
      </w:tr>
      <w:tr w:rsidR="00794EB9" w:rsidRPr="00794EB9" w14:paraId="4D4F5500" w14:textId="77777777" w:rsidTr="00C307FB">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00F69FF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VM. 3.1 Visión Metropolitana</w:t>
            </w:r>
          </w:p>
        </w:tc>
        <w:tc>
          <w:tcPr>
            <w:tcW w:w="624" w:type="pct"/>
            <w:tcBorders>
              <w:top w:val="nil"/>
              <w:left w:val="nil"/>
              <w:bottom w:val="single" w:sz="4" w:space="0" w:color="auto"/>
              <w:right w:val="single" w:sz="4" w:space="0" w:color="auto"/>
            </w:tcBorders>
            <w:shd w:val="clear" w:color="auto" w:fill="auto"/>
            <w:vAlign w:val="center"/>
            <w:hideMark/>
          </w:tcPr>
          <w:p w14:paraId="1063E26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3.1.2</w:t>
            </w:r>
          </w:p>
        </w:tc>
        <w:tc>
          <w:tcPr>
            <w:tcW w:w="711" w:type="pct"/>
            <w:tcBorders>
              <w:top w:val="nil"/>
              <w:left w:val="nil"/>
              <w:bottom w:val="single" w:sz="4" w:space="0" w:color="auto"/>
              <w:right w:val="single" w:sz="4" w:space="0" w:color="auto"/>
            </w:tcBorders>
            <w:shd w:val="clear" w:color="auto" w:fill="auto"/>
            <w:vAlign w:val="center"/>
            <w:hideMark/>
          </w:tcPr>
          <w:p w14:paraId="62F2810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3.1.2 Desarrollar Programas Parciales de desarrollo urbano para la integración metropolitana  y regional (zonas oriente, poniente, sur y norte) y estudios para control urbano.</w:t>
            </w:r>
          </w:p>
        </w:tc>
        <w:tc>
          <w:tcPr>
            <w:tcW w:w="657" w:type="pct"/>
            <w:tcBorders>
              <w:top w:val="nil"/>
              <w:left w:val="nil"/>
              <w:bottom w:val="single" w:sz="4" w:space="0" w:color="auto"/>
              <w:right w:val="single" w:sz="4" w:space="0" w:color="auto"/>
            </w:tcBorders>
            <w:shd w:val="clear" w:color="auto" w:fill="auto"/>
            <w:vAlign w:val="center"/>
            <w:hideMark/>
          </w:tcPr>
          <w:p w14:paraId="0C4D0AE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diagnóstico</w:t>
            </w:r>
          </w:p>
        </w:tc>
        <w:tc>
          <w:tcPr>
            <w:tcW w:w="766" w:type="pct"/>
            <w:tcBorders>
              <w:top w:val="nil"/>
              <w:left w:val="nil"/>
              <w:bottom w:val="single" w:sz="4" w:space="0" w:color="auto"/>
              <w:right w:val="single" w:sz="4" w:space="0" w:color="auto"/>
            </w:tcBorders>
            <w:shd w:val="clear" w:color="auto" w:fill="auto"/>
            <w:vAlign w:val="center"/>
            <w:hideMark/>
          </w:tcPr>
          <w:p w14:paraId="02A80CC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un diagnóstico estratégico metropolitano para establecer los polígonos territoriales para supervisar, de acuerdo a la prioridad enfocada al crecimiento de la ciudad en función de las solicitudes de permiso de uso de suelo.</w:t>
            </w:r>
          </w:p>
        </w:tc>
        <w:tc>
          <w:tcPr>
            <w:tcW w:w="346" w:type="pct"/>
            <w:tcBorders>
              <w:top w:val="nil"/>
              <w:left w:val="nil"/>
              <w:bottom w:val="single" w:sz="4" w:space="0" w:color="auto"/>
              <w:right w:val="single" w:sz="4" w:space="0" w:color="auto"/>
            </w:tcBorders>
            <w:shd w:val="clear" w:color="auto" w:fill="auto"/>
            <w:vAlign w:val="center"/>
            <w:hideMark/>
          </w:tcPr>
          <w:p w14:paraId="03FFAF8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02FD711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38%</w:t>
            </w:r>
          </w:p>
        </w:tc>
        <w:tc>
          <w:tcPr>
            <w:tcW w:w="346" w:type="pct"/>
            <w:tcBorders>
              <w:top w:val="nil"/>
              <w:left w:val="nil"/>
              <w:bottom w:val="single" w:sz="4" w:space="0" w:color="auto"/>
              <w:right w:val="single" w:sz="4" w:space="0" w:color="auto"/>
            </w:tcBorders>
            <w:shd w:val="clear" w:color="auto" w:fill="auto"/>
            <w:vAlign w:val="center"/>
            <w:hideMark/>
          </w:tcPr>
          <w:p w14:paraId="4FE9304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41%</w:t>
            </w:r>
          </w:p>
        </w:tc>
        <w:tc>
          <w:tcPr>
            <w:tcW w:w="502" w:type="pct"/>
            <w:tcBorders>
              <w:top w:val="nil"/>
              <w:left w:val="nil"/>
              <w:bottom w:val="single" w:sz="4" w:space="0" w:color="auto"/>
              <w:right w:val="single" w:sz="4" w:space="0" w:color="auto"/>
            </w:tcBorders>
            <w:shd w:val="clear" w:color="auto" w:fill="auto"/>
            <w:vAlign w:val="center"/>
            <w:hideMark/>
          </w:tcPr>
          <w:p w14:paraId="3FEEF58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21%</w:t>
            </w:r>
          </w:p>
        </w:tc>
      </w:tr>
      <w:tr w:rsidR="00794EB9" w:rsidRPr="00794EB9" w14:paraId="67E18FB0" w14:textId="77777777" w:rsidTr="00C307FB">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777CC9F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095D41A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3.2.1</w:t>
            </w:r>
          </w:p>
        </w:tc>
        <w:tc>
          <w:tcPr>
            <w:tcW w:w="711" w:type="pct"/>
            <w:tcBorders>
              <w:top w:val="nil"/>
              <w:left w:val="nil"/>
              <w:bottom w:val="single" w:sz="4" w:space="0" w:color="auto"/>
              <w:right w:val="single" w:sz="4" w:space="0" w:color="auto"/>
            </w:tcBorders>
            <w:shd w:val="clear" w:color="auto" w:fill="auto"/>
            <w:vAlign w:val="center"/>
            <w:hideMark/>
          </w:tcPr>
          <w:p w14:paraId="59AC889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3.2.1 Desarrollar el Plan Maestro Integral de Zona Oriente y Blvd. Aeropuerto.</w:t>
            </w:r>
          </w:p>
        </w:tc>
        <w:tc>
          <w:tcPr>
            <w:tcW w:w="657" w:type="pct"/>
            <w:tcBorders>
              <w:top w:val="nil"/>
              <w:left w:val="nil"/>
              <w:bottom w:val="single" w:sz="4" w:space="0" w:color="auto"/>
              <w:right w:val="single" w:sz="4" w:space="0" w:color="auto"/>
            </w:tcBorders>
            <w:shd w:val="clear" w:color="auto" w:fill="auto"/>
            <w:vAlign w:val="center"/>
            <w:hideMark/>
          </w:tcPr>
          <w:p w14:paraId="4B0122C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el Plan Maestro respecto del total previsto</w:t>
            </w:r>
          </w:p>
        </w:tc>
        <w:tc>
          <w:tcPr>
            <w:tcW w:w="766" w:type="pct"/>
            <w:tcBorders>
              <w:top w:val="nil"/>
              <w:left w:val="nil"/>
              <w:bottom w:val="single" w:sz="4" w:space="0" w:color="auto"/>
              <w:right w:val="single" w:sz="4" w:space="0" w:color="auto"/>
            </w:tcBorders>
            <w:shd w:val="clear" w:color="auto" w:fill="auto"/>
            <w:vAlign w:val="center"/>
            <w:hideMark/>
          </w:tcPr>
          <w:p w14:paraId="059F49C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el Plan Maestro para el 2022.</w:t>
            </w:r>
          </w:p>
        </w:tc>
        <w:tc>
          <w:tcPr>
            <w:tcW w:w="346" w:type="pct"/>
            <w:tcBorders>
              <w:top w:val="nil"/>
              <w:left w:val="nil"/>
              <w:bottom w:val="single" w:sz="4" w:space="0" w:color="auto"/>
              <w:right w:val="single" w:sz="4" w:space="0" w:color="auto"/>
            </w:tcBorders>
            <w:shd w:val="clear" w:color="auto" w:fill="auto"/>
            <w:vAlign w:val="center"/>
            <w:hideMark/>
          </w:tcPr>
          <w:p w14:paraId="4ADD9D2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32E2967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46" w:type="pct"/>
            <w:tcBorders>
              <w:top w:val="nil"/>
              <w:left w:val="nil"/>
              <w:bottom w:val="single" w:sz="4" w:space="0" w:color="auto"/>
              <w:right w:val="single" w:sz="4" w:space="0" w:color="auto"/>
            </w:tcBorders>
            <w:shd w:val="clear" w:color="auto" w:fill="auto"/>
            <w:vAlign w:val="center"/>
            <w:hideMark/>
          </w:tcPr>
          <w:p w14:paraId="39B24C8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502" w:type="pct"/>
            <w:tcBorders>
              <w:top w:val="nil"/>
              <w:left w:val="nil"/>
              <w:bottom w:val="single" w:sz="4" w:space="0" w:color="auto"/>
              <w:right w:val="single" w:sz="4" w:space="0" w:color="auto"/>
            </w:tcBorders>
            <w:shd w:val="clear" w:color="auto" w:fill="auto"/>
            <w:vAlign w:val="center"/>
            <w:hideMark/>
          </w:tcPr>
          <w:p w14:paraId="082E00C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4985126F" w14:textId="77777777" w:rsidTr="00C307FB">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53523D4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1505038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3.2.2</w:t>
            </w:r>
          </w:p>
        </w:tc>
        <w:tc>
          <w:tcPr>
            <w:tcW w:w="711" w:type="pct"/>
            <w:tcBorders>
              <w:top w:val="nil"/>
              <w:left w:val="nil"/>
              <w:bottom w:val="single" w:sz="4" w:space="0" w:color="auto"/>
              <w:right w:val="single" w:sz="4" w:space="0" w:color="auto"/>
            </w:tcBorders>
            <w:shd w:val="clear" w:color="auto" w:fill="auto"/>
            <w:vAlign w:val="center"/>
            <w:hideMark/>
          </w:tcPr>
          <w:p w14:paraId="7C64A01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3.2.2 Realizar la construcción del paso a desnivel Blvd. Aeropuerto - Blvd. Siglo XXI.</w:t>
            </w:r>
          </w:p>
        </w:tc>
        <w:tc>
          <w:tcPr>
            <w:tcW w:w="657" w:type="pct"/>
            <w:tcBorders>
              <w:top w:val="nil"/>
              <w:left w:val="nil"/>
              <w:bottom w:val="single" w:sz="4" w:space="0" w:color="auto"/>
              <w:right w:val="single" w:sz="4" w:space="0" w:color="auto"/>
            </w:tcBorders>
            <w:shd w:val="clear" w:color="auto" w:fill="auto"/>
            <w:vAlign w:val="center"/>
            <w:hideMark/>
          </w:tcPr>
          <w:p w14:paraId="3B5D801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construcción del paso a desnivel respecto del total</w:t>
            </w:r>
          </w:p>
        </w:tc>
        <w:tc>
          <w:tcPr>
            <w:tcW w:w="766" w:type="pct"/>
            <w:tcBorders>
              <w:top w:val="nil"/>
              <w:left w:val="nil"/>
              <w:bottom w:val="single" w:sz="4" w:space="0" w:color="auto"/>
              <w:right w:val="single" w:sz="4" w:space="0" w:color="auto"/>
            </w:tcBorders>
            <w:shd w:val="clear" w:color="auto" w:fill="auto"/>
            <w:vAlign w:val="center"/>
            <w:hideMark/>
          </w:tcPr>
          <w:p w14:paraId="0D08035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Construir el paso a desnivel Blvd. Aeropuerto - Blvd. Siglo XXI  para 2023.</w:t>
            </w:r>
          </w:p>
        </w:tc>
        <w:tc>
          <w:tcPr>
            <w:tcW w:w="346" w:type="pct"/>
            <w:tcBorders>
              <w:top w:val="nil"/>
              <w:left w:val="nil"/>
              <w:bottom w:val="single" w:sz="4" w:space="0" w:color="auto"/>
              <w:right w:val="single" w:sz="4" w:space="0" w:color="auto"/>
            </w:tcBorders>
            <w:shd w:val="clear" w:color="auto" w:fill="auto"/>
            <w:vAlign w:val="center"/>
            <w:hideMark/>
          </w:tcPr>
          <w:p w14:paraId="07750CA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307339A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4F77DDD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502" w:type="pct"/>
            <w:tcBorders>
              <w:top w:val="nil"/>
              <w:left w:val="nil"/>
              <w:bottom w:val="single" w:sz="4" w:space="0" w:color="auto"/>
              <w:right w:val="single" w:sz="4" w:space="0" w:color="auto"/>
            </w:tcBorders>
            <w:shd w:val="clear" w:color="auto" w:fill="auto"/>
            <w:vAlign w:val="center"/>
            <w:hideMark/>
          </w:tcPr>
          <w:p w14:paraId="4485511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r>
      <w:tr w:rsidR="00794EB9" w:rsidRPr="00794EB9" w14:paraId="1370CCBD" w14:textId="77777777" w:rsidTr="00C307FB">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11210AD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3BA882E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3.2.3</w:t>
            </w:r>
          </w:p>
        </w:tc>
        <w:tc>
          <w:tcPr>
            <w:tcW w:w="711" w:type="pct"/>
            <w:tcBorders>
              <w:top w:val="nil"/>
              <w:left w:val="nil"/>
              <w:bottom w:val="single" w:sz="4" w:space="0" w:color="auto"/>
              <w:right w:val="single" w:sz="4" w:space="0" w:color="auto"/>
            </w:tcBorders>
            <w:shd w:val="clear" w:color="auto" w:fill="auto"/>
            <w:vAlign w:val="center"/>
            <w:hideMark/>
          </w:tcPr>
          <w:p w14:paraId="4AB30B1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3.2.3 Ejecutar la obra del Puente Blvd. San Nicolás y Circuito Siglo XXI poniente.</w:t>
            </w:r>
          </w:p>
        </w:tc>
        <w:tc>
          <w:tcPr>
            <w:tcW w:w="657" w:type="pct"/>
            <w:tcBorders>
              <w:top w:val="nil"/>
              <w:left w:val="nil"/>
              <w:bottom w:val="single" w:sz="4" w:space="0" w:color="auto"/>
              <w:right w:val="single" w:sz="4" w:space="0" w:color="auto"/>
            </w:tcBorders>
            <w:shd w:val="clear" w:color="auto" w:fill="auto"/>
            <w:vAlign w:val="center"/>
            <w:hideMark/>
          </w:tcPr>
          <w:p w14:paraId="51BC96F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de construcción respecto del total</w:t>
            </w:r>
          </w:p>
        </w:tc>
        <w:tc>
          <w:tcPr>
            <w:tcW w:w="766" w:type="pct"/>
            <w:tcBorders>
              <w:top w:val="nil"/>
              <w:left w:val="nil"/>
              <w:bottom w:val="single" w:sz="4" w:space="0" w:color="auto"/>
              <w:right w:val="single" w:sz="4" w:space="0" w:color="auto"/>
            </w:tcBorders>
            <w:shd w:val="clear" w:color="auto" w:fill="auto"/>
            <w:vAlign w:val="center"/>
            <w:hideMark/>
          </w:tcPr>
          <w:p w14:paraId="4AF965D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Construir el Puente Blvd. San Nicolás y Blvd. Siglo XXI para 2023.</w:t>
            </w:r>
          </w:p>
        </w:tc>
        <w:tc>
          <w:tcPr>
            <w:tcW w:w="346" w:type="pct"/>
            <w:tcBorders>
              <w:top w:val="nil"/>
              <w:left w:val="nil"/>
              <w:bottom w:val="single" w:sz="4" w:space="0" w:color="auto"/>
              <w:right w:val="single" w:sz="4" w:space="0" w:color="auto"/>
            </w:tcBorders>
            <w:shd w:val="clear" w:color="auto" w:fill="auto"/>
            <w:vAlign w:val="center"/>
            <w:hideMark/>
          </w:tcPr>
          <w:p w14:paraId="5CC5B61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27E74BE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46" w:type="pct"/>
            <w:tcBorders>
              <w:top w:val="nil"/>
              <w:left w:val="nil"/>
              <w:bottom w:val="single" w:sz="4" w:space="0" w:color="auto"/>
              <w:right w:val="single" w:sz="4" w:space="0" w:color="auto"/>
            </w:tcBorders>
            <w:shd w:val="clear" w:color="auto" w:fill="auto"/>
            <w:vAlign w:val="center"/>
            <w:hideMark/>
          </w:tcPr>
          <w:p w14:paraId="6F58861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502" w:type="pct"/>
            <w:tcBorders>
              <w:top w:val="nil"/>
              <w:left w:val="nil"/>
              <w:bottom w:val="single" w:sz="4" w:space="0" w:color="auto"/>
              <w:right w:val="single" w:sz="4" w:space="0" w:color="auto"/>
            </w:tcBorders>
            <w:shd w:val="clear" w:color="auto" w:fill="auto"/>
            <w:vAlign w:val="center"/>
            <w:hideMark/>
          </w:tcPr>
          <w:p w14:paraId="321CBC4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7BAA0B84" w14:textId="77777777" w:rsidTr="00C307FB">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696B1E5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4D76D0F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3.2.4 </w:t>
            </w:r>
          </w:p>
        </w:tc>
        <w:tc>
          <w:tcPr>
            <w:tcW w:w="711" w:type="pct"/>
            <w:tcBorders>
              <w:top w:val="nil"/>
              <w:left w:val="nil"/>
              <w:bottom w:val="single" w:sz="4" w:space="0" w:color="auto"/>
              <w:right w:val="single" w:sz="4" w:space="0" w:color="auto"/>
            </w:tcBorders>
            <w:shd w:val="clear" w:color="auto" w:fill="auto"/>
            <w:vAlign w:val="center"/>
            <w:hideMark/>
          </w:tcPr>
          <w:p w14:paraId="623C18E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3.2.4 Implementar las acciones derivadas del Plan Maestro Integral de Zona Oriente. </w:t>
            </w:r>
          </w:p>
        </w:tc>
        <w:tc>
          <w:tcPr>
            <w:tcW w:w="657" w:type="pct"/>
            <w:tcBorders>
              <w:top w:val="nil"/>
              <w:left w:val="nil"/>
              <w:bottom w:val="single" w:sz="4" w:space="0" w:color="auto"/>
              <w:right w:val="single" w:sz="4" w:space="0" w:color="auto"/>
            </w:tcBorders>
            <w:shd w:val="clear" w:color="auto" w:fill="auto"/>
            <w:vAlign w:val="center"/>
            <w:hideMark/>
          </w:tcPr>
          <w:p w14:paraId="369543F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acciones con respecto al total de acciones del Plan Maestro </w:t>
            </w:r>
          </w:p>
        </w:tc>
        <w:tc>
          <w:tcPr>
            <w:tcW w:w="766" w:type="pct"/>
            <w:tcBorders>
              <w:top w:val="nil"/>
              <w:left w:val="nil"/>
              <w:bottom w:val="single" w:sz="4" w:space="0" w:color="auto"/>
              <w:right w:val="single" w:sz="4" w:space="0" w:color="auto"/>
            </w:tcBorders>
            <w:shd w:val="clear" w:color="auto" w:fill="auto"/>
            <w:vAlign w:val="center"/>
            <w:hideMark/>
          </w:tcPr>
          <w:p w14:paraId="175C5A7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Implementar el 30% de las acciones programadas en el Plan Maestro</w:t>
            </w:r>
          </w:p>
        </w:tc>
        <w:tc>
          <w:tcPr>
            <w:tcW w:w="346" w:type="pct"/>
            <w:tcBorders>
              <w:top w:val="nil"/>
              <w:left w:val="nil"/>
              <w:bottom w:val="single" w:sz="4" w:space="0" w:color="auto"/>
              <w:right w:val="single" w:sz="4" w:space="0" w:color="auto"/>
            </w:tcBorders>
            <w:shd w:val="clear" w:color="auto" w:fill="auto"/>
            <w:vAlign w:val="center"/>
            <w:hideMark/>
          </w:tcPr>
          <w:p w14:paraId="4D06EF2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1E1285C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18%</w:t>
            </w:r>
          </w:p>
        </w:tc>
        <w:tc>
          <w:tcPr>
            <w:tcW w:w="346" w:type="pct"/>
            <w:tcBorders>
              <w:top w:val="nil"/>
              <w:left w:val="nil"/>
              <w:bottom w:val="single" w:sz="4" w:space="0" w:color="auto"/>
              <w:right w:val="single" w:sz="4" w:space="0" w:color="auto"/>
            </w:tcBorders>
            <w:shd w:val="clear" w:color="auto" w:fill="auto"/>
            <w:vAlign w:val="center"/>
            <w:hideMark/>
          </w:tcPr>
          <w:p w14:paraId="47A3543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64%</w:t>
            </w:r>
          </w:p>
        </w:tc>
        <w:tc>
          <w:tcPr>
            <w:tcW w:w="502" w:type="pct"/>
            <w:tcBorders>
              <w:top w:val="nil"/>
              <w:left w:val="nil"/>
              <w:bottom w:val="single" w:sz="4" w:space="0" w:color="auto"/>
              <w:right w:val="single" w:sz="4" w:space="0" w:color="auto"/>
            </w:tcBorders>
            <w:shd w:val="clear" w:color="auto" w:fill="auto"/>
            <w:vAlign w:val="center"/>
            <w:hideMark/>
          </w:tcPr>
          <w:p w14:paraId="5FE1FCB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18%</w:t>
            </w:r>
          </w:p>
        </w:tc>
      </w:tr>
      <w:tr w:rsidR="00794EB9" w:rsidRPr="00794EB9" w14:paraId="16587DBD" w14:textId="77777777" w:rsidTr="00C307FB">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4588C8E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2B8F386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3.2.5 </w:t>
            </w:r>
          </w:p>
        </w:tc>
        <w:tc>
          <w:tcPr>
            <w:tcW w:w="711" w:type="pct"/>
            <w:tcBorders>
              <w:top w:val="nil"/>
              <w:left w:val="nil"/>
              <w:bottom w:val="single" w:sz="4" w:space="0" w:color="auto"/>
              <w:right w:val="single" w:sz="4" w:space="0" w:color="auto"/>
            </w:tcBorders>
            <w:shd w:val="clear" w:color="auto" w:fill="auto"/>
            <w:vAlign w:val="center"/>
            <w:hideMark/>
          </w:tcPr>
          <w:p w14:paraId="3072B68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3.2.5 Liberar el Derecho de vía de obras  de infraestructura estratégica</w:t>
            </w:r>
          </w:p>
        </w:tc>
        <w:tc>
          <w:tcPr>
            <w:tcW w:w="657" w:type="pct"/>
            <w:tcBorders>
              <w:top w:val="nil"/>
              <w:left w:val="nil"/>
              <w:bottom w:val="single" w:sz="4" w:space="0" w:color="auto"/>
              <w:right w:val="single" w:sz="4" w:space="0" w:color="auto"/>
            </w:tcBorders>
            <w:shd w:val="clear" w:color="auto" w:fill="auto"/>
            <w:vAlign w:val="center"/>
            <w:hideMark/>
          </w:tcPr>
          <w:p w14:paraId="3BD067D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liberación de derecho de vía respecto del total por liberar</w:t>
            </w:r>
          </w:p>
        </w:tc>
        <w:tc>
          <w:tcPr>
            <w:tcW w:w="766" w:type="pct"/>
            <w:tcBorders>
              <w:top w:val="nil"/>
              <w:left w:val="nil"/>
              <w:bottom w:val="single" w:sz="4" w:space="0" w:color="auto"/>
              <w:right w:val="single" w:sz="4" w:space="0" w:color="auto"/>
            </w:tcBorders>
            <w:shd w:val="clear" w:color="auto" w:fill="auto"/>
            <w:vAlign w:val="center"/>
            <w:hideMark/>
          </w:tcPr>
          <w:p w14:paraId="452BF83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Liberar el derecho de vía del Blvd. Cañaveral-Conexión con Eje Metropolitano</w:t>
            </w:r>
          </w:p>
        </w:tc>
        <w:tc>
          <w:tcPr>
            <w:tcW w:w="346" w:type="pct"/>
            <w:tcBorders>
              <w:top w:val="nil"/>
              <w:left w:val="nil"/>
              <w:bottom w:val="single" w:sz="4" w:space="0" w:color="auto"/>
              <w:right w:val="single" w:sz="4" w:space="0" w:color="auto"/>
            </w:tcBorders>
            <w:shd w:val="clear" w:color="auto" w:fill="auto"/>
            <w:vAlign w:val="center"/>
            <w:hideMark/>
          </w:tcPr>
          <w:p w14:paraId="42DF669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0F70C48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46" w:type="pct"/>
            <w:tcBorders>
              <w:top w:val="nil"/>
              <w:left w:val="nil"/>
              <w:bottom w:val="single" w:sz="4" w:space="0" w:color="auto"/>
              <w:right w:val="single" w:sz="4" w:space="0" w:color="auto"/>
            </w:tcBorders>
            <w:shd w:val="clear" w:color="auto" w:fill="auto"/>
            <w:vAlign w:val="center"/>
            <w:hideMark/>
          </w:tcPr>
          <w:p w14:paraId="742FE53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502" w:type="pct"/>
            <w:tcBorders>
              <w:top w:val="nil"/>
              <w:left w:val="nil"/>
              <w:bottom w:val="single" w:sz="4" w:space="0" w:color="auto"/>
              <w:right w:val="single" w:sz="4" w:space="0" w:color="auto"/>
            </w:tcBorders>
            <w:shd w:val="clear" w:color="auto" w:fill="auto"/>
            <w:vAlign w:val="center"/>
            <w:hideMark/>
          </w:tcPr>
          <w:p w14:paraId="6C79C3C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599DBE38" w14:textId="77777777" w:rsidTr="00C307FB">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5BDC8A6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36B6B45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3.2.6</w:t>
            </w:r>
          </w:p>
        </w:tc>
        <w:tc>
          <w:tcPr>
            <w:tcW w:w="711" w:type="pct"/>
            <w:tcBorders>
              <w:top w:val="nil"/>
              <w:left w:val="nil"/>
              <w:bottom w:val="single" w:sz="4" w:space="0" w:color="auto"/>
              <w:right w:val="single" w:sz="4" w:space="0" w:color="auto"/>
            </w:tcBorders>
            <w:shd w:val="clear" w:color="auto" w:fill="auto"/>
            <w:vAlign w:val="center"/>
            <w:hideMark/>
          </w:tcPr>
          <w:p w14:paraId="1A30368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3.2.6 Realizar la pavimentación de Blvd. Cañaveral tramo Vicente Valtierra - al límite sur de fraccionamiento Mayorca a tramo Blvd. Guanajuato a Bvld. Juan Alonso de Torres ( Eje Metropolitano)</w:t>
            </w:r>
          </w:p>
        </w:tc>
        <w:tc>
          <w:tcPr>
            <w:tcW w:w="657" w:type="pct"/>
            <w:tcBorders>
              <w:top w:val="nil"/>
              <w:left w:val="nil"/>
              <w:bottom w:val="single" w:sz="4" w:space="0" w:color="auto"/>
              <w:right w:val="single" w:sz="4" w:space="0" w:color="auto"/>
            </w:tcBorders>
            <w:shd w:val="clear" w:color="auto" w:fill="auto"/>
            <w:vAlign w:val="center"/>
            <w:hideMark/>
          </w:tcPr>
          <w:p w14:paraId="46A9C91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de construcción respecto de lo programado</w:t>
            </w:r>
          </w:p>
        </w:tc>
        <w:tc>
          <w:tcPr>
            <w:tcW w:w="766" w:type="pct"/>
            <w:tcBorders>
              <w:top w:val="nil"/>
              <w:left w:val="nil"/>
              <w:bottom w:val="single" w:sz="4" w:space="0" w:color="auto"/>
              <w:right w:val="single" w:sz="4" w:space="0" w:color="auto"/>
            </w:tcBorders>
            <w:shd w:val="clear" w:color="auto" w:fill="auto"/>
            <w:vAlign w:val="center"/>
            <w:hideMark/>
          </w:tcPr>
          <w:p w14:paraId="7A94599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Ejecutar la pavimentación programada para 2023. </w:t>
            </w:r>
          </w:p>
        </w:tc>
        <w:tc>
          <w:tcPr>
            <w:tcW w:w="346" w:type="pct"/>
            <w:tcBorders>
              <w:top w:val="nil"/>
              <w:left w:val="nil"/>
              <w:bottom w:val="single" w:sz="4" w:space="0" w:color="auto"/>
              <w:right w:val="single" w:sz="4" w:space="0" w:color="auto"/>
            </w:tcBorders>
            <w:shd w:val="clear" w:color="auto" w:fill="auto"/>
            <w:vAlign w:val="center"/>
            <w:hideMark/>
          </w:tcPr>
          <w:p w14:paraId="283DAE5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61568B0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5020B80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502" w:type="pct"/>
            <w:tcBorders>
              <w:top w:val="nil"/>
              <w:left w:val="nil"/>
              <w:bottom w:val="single" w:sz="4" w:space="0" w:color="auto"/>
              <w:right w:val="single" w:sz="4" w:space="0" w:color="auto"/>
            </w:tcBorders>
            <w:shd w:val="clear" w:color="auto" w:fill="auto"/>
            <w:vAlign w:val="center"/>
            <w:hideMark/>
          </w:tcPr>
          <w:p w14:paraId="1240C3A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35CB39B9" w14:textId="77777777" w:rsidTr="00C307FB">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1397562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2FD171B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3.2.7</w:t>
            </w:r>
          </w:p>
        </w:tc>
        <w:tc>
          <w:tcPr>
            <w:tcW w:w="711" w:type="pct"/>
            <w:tcBorders>
              <w:top w:val="nil"/>
              <w:left w:val="nil"/>
              <w:bottom w:val="single" w:sz="4" w:space="0" w:color="auto"/>
              <w:right w:val="single" w:sz="4" w:space="0" w:color="auto"/>
            </w:tcBorders>
            <w:shd w:val="clear" w:color="auto" w:fill="auto"/>
            <w:vAlign w:val="center"/>
            <w:hideMark/>
          </w:tcPr>
          <w:p w14:paraId="11040E8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3.2.7 Ejecutar las obras del Blvd. Timoteo Lozano (Blvd. S.XXI-Blvd. Mayorazgo).</w:t>
            </w:r>
          </w:p>
        </w:tc>
        <w:tc>
          <w:tcPr>
            <w:tcW w:w="657" w:type="pct"/>
            <w:tcBorders>
              <w:top w:val="nil"/>
              <w:left w:val="nil"/>
              <w:bottom w:val="single" w:sz="4" w:space="0" w:color="auto"/>
              <w:right w:val="single" w:sz="4" w:space="0" w:color="auto"/>
            </w:tcBorders>
            <w:shd w:val="clear" w:color="auto" w:fill="auto"/>
            <w:vAlign w:val="center"/>
            <w:hideMark/>
          </w:tcPr>
          <w:p w14:paraId="63AE792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de construcción, respecto del total</w:t>
            </w:r>
          </w:p>
        </w:tc>
        <w:tc>
          <w:tcPr>
            <w:tcW w:w="766" w:type="pct"/>
            <w:tcBorders>
              <w:top w:val="nil"/>
              <w:left w:val="nil"/>
              <w:bottom w:val="single" w:sz="4" w:space="0" w:color="auto"/>
              <w:right w:val="single" w:sz="4" w:space="0" w:color="auto"/>
            </w:tcBorders>
            <w:shd w:val="clear" w:color="auto" w:fill="auto"/>
            <w:vAlign w:val="center"/>
            <w:hideMark/>
          </w:tcPr>
          <w:p w14:paraId="376BCAA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Construir el Blvd. Timoteo Lozano (Blvd. S.XXI-Blvd. Mayorazgo) para 2023.</w:t>
            </w:r>
          </w:p>
        </w:tc>
        <w:tc>
          <w:tcPr>
            <w:tcW w:w="346" w:type="pct"/>
            <w:tcBorders>
              <w:top w:val="nil"/>
              <w:left w:val="nil"/>
              <w:bottom w:val="single" w:sz="4" w:space="0" w:color="auto"/>
              <w:right w:val="single" w:sz="4" w:space="0" w:color="auto"/>
            </w:tcBorders>
            <w:shd w:val="clear" w:color="auto" w:fill="auto"/>
            <w:vAlign w:val="center"/>
            <w:hideMark/>
          </w:tcPr>
          <w:p w14:paraId="3D49521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40DE05E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346" w:type="pct"/>
            <w:tcBorders>
              <w:top w:val="nil"/>
              <w:left w:val="nil"/>
              <w:bottom w:val="single" w:sz="4" w:space="0" w:color="auto"/>
              <w:right w:val="single" w:sz="4" w:space="0" w:color="auto"/>
            </w:tcBorders>
            <w:shd w:val="clear" w:color="auto" w:fill="auto"/>
            <w:vAlign w:val="center"/>
            <w:hideMark/>
          </w:tcPr>
          <w:p w14:paraId="209563C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50%</w:t>
            </w:r>
          </w:p>
        </w:tc>
        <w:tc>
          <w:tcPr>
            <w:tcW w:w="502" w:type="pct"/>
            <w:tcBorders>
              <w:top w:val="nil"/>
              <w:left w:val="nil"/>
              <w:bottom w:val="single" w:sz="4" w:space="0" w:color="auto"/>
              <w:right w:val="single" w:sz="4" w:space="0" w:color="auto"/>
            </w:tcBorders>
            <w:shd w:val="clear" w:color="auto" w:fill="auto"/>
            <w:vAlign w:val="center"/>
            <w:hideMark/>
          </w:tcPr>
          <w:p w14:paraId="1E22BD7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26E4368C" w14:textId="77777777" w:rsidTr="00C307FB">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5072509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4C8A774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3.2.8</w:t>
            </w:r>
          </w:p>
        </w:tc>
        <w:tc>
          <w:tcPr>
            <w:tcW w:w="711" w:type="pct"/>
            <w:tcBorders>
              <w:top w:val="nil"/>
              <w:left w:val="nil"/>
              <w:bottom w:val="single" w:sz="4" w:space="0" w:color="auto"/>
              <w:right w:val="single" w:sz="4" w:space="0" w:color="auto"/>
            </w:tcBorders>
            <w:shd w:val="clear" w:color="auto" w:fill="auto"/>
            <w:vAlign w:val="center"/>
            <w:hideMark/>
          </w:tcPr>
          <w:p w14:paraId="770F21D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3.2.8 Eje Norte- Sur: Ejecutar la primera etapa del mejoramiento de vialidades del Malecón del Río cuerpo Poniente, tramo: Blvd. Insurgentes a Blvd. Torres Landa</w:t>
            </w:r>
          </w:p>
        </w:tc>
        <w:tc>
          <w:tcPr>
            <w:tcW w:w="657" w:type="pct"/>
            <w:tcBorders>
              <w:top w:val="nil"/>
              <w:left w:val="nil"/>
              <w:bottom w:val="single" w:sz="4" w:space="0" w:color="auto"/>
              <w:right w:val="single" w:sz="4" w:space="0" w:color="auto"/>
            </w:tcBorders>
            <w:shd w:val="clear" w:color="auto" w:fill="auto"/>
            <w:vAlign w:val="center"/>
            <w:hideMark/>
          </w:tcPr>
          <w:p w14:paraId="1A91BAF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de construcción de la 1a etapa de la obra respecto del total</w:t>
            </w:r>
          </w:p>
        </w:tc>
        <w:tc>
          <w:tcPr>
            <w:tcW w:w="766" w:type="pct"/>
            <w:tcBorders>
              <w:top w:val="nil"/>
              <w:left w:val="nil"/>
              <w:bottom w:val="single" w:sz="4" w:space="0" w:color="auto"/>
              <w:right w:val="single" w:sz="4" w:space="0" w:color="auto"/>
            </w:tcBorders>
            <w:shd w:val="clear" w:color="auto" w:fill="auto"/>
            <w:vAlign w:val="center"/>
            <w:hideMark/>
          </w:tcPr>
          <w:p w14:paraId="63BDDCB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 Ejecutar la primera etapa del mejoramiento de vialidades del Malecón del Río cuerpo Poniente, tramo: Blvd. Insurgentes a Blvd. Torres Landa para el 2023.</w:t>
            </w:r>
          </w:p>
        </w:tc>
        <w:tc>
          <w:tcPr>
            <w:tcW w:w="346" w:type="pct"/>
            <w:tcBorders>
              <w:top w:val="nil"/>
              <w:left w:val="nil"/>
              <w:bottom w:val="single" w:sz="4" w:space="0" w:color="auto"/>
              <w:right w:val="single" w:sz="4" w:space="0" w:color="auto"/>
            </w:tcBorders>
            <w:shd w:val="clear" w:color="auto" w:fill="auto"/>
            <w:vAlign w:val="center"/>
            <w:hideMark/>
          </w:tcPr>
          <w:p w14:paraId="05C9033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0B8C36C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1D1F6C08"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502" w:type="pct"/>
            <w:tcBorders>
              <w:top w:val="nil"/>
              <w:left w:val="nil"/>
              <w:bottom w:val="single" w:sz="4" w:space="0" w:color="auto"/>
              <w:right w:val="single" w:sz="4" w:space="0" w:color="auto"/>
            </w:tcBorders>
            <w:shd w:val="clear" w:color="auto" w:fill="auto"/>
            <w:vAlign w:val="center"/>
            <w:hideMark/>
          </w:tcPr>
          <w:p w14:paraId="598037A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6958279E" w14:textId="77777777" w:rsidTr="00C307FB">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1C0D5EC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47F9711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3.2.9</w:t>
            </w:r>
          </w:p>
        </w:tc>
        <w:tc>
          <w:tcPr>
            <w:tcW w:w="711" w:type="pct"/>
            <w:tcBorders>
              <w:top w:val="nil"/>
              <w:left w:val="nil"/>
              <w:bottom w:val="single" w:sz="4" w:space="0" w:color="auto"/>
              <w:right w:val="single" w:sz="4" w:space="0" w:color="auto"/>
            </w:tcBorders>
            <w:shd w:val="clear" w:color="auto" w:fill="auto"/>
            <w:vAlign w:val="center"/>
            <w:hideMark/>
          </w:tcPr>
          <w:p w14:paraId="4774BB8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3.2.9. Vía Rápida Blvd. Morelos: Elaborar el Plan Integral de cruceros y pasos a desnivel entre Blvd. Hidalgo y Blvd. Adolfo López Mateos Norte.</w:t>
            </w:r>
          </w:p>
        </w:tc>
        <w:tc>
          <w:tcPr>
            <w:tcW w:w="657" w:type="pct"/>
            <w:tcBorders>
              <w:top w:val="nil"/>
              <w:left w:val="nil"/>
              <w:bottom w:val="single" w:sz="4" w:space="0" w:color="auto"/>
              <w:right w:val="single" w:sz="4" w:space="0" w:color="auto"/>
            </w:tcBorders>
            <w:shd w:val="clear" w:color="auto" w:fill="auto"/>
            <w:vAlign w:val="center"/>
            <w:hideMark/>
          </w:tcPr>
          <w:p w14:paraId="6449FB29"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elaboración del Plan integral de cruceros y pasos a desnivel.</w:t>
            </w:r>
          </w:p>
        </w:tc>
        <w:tc>
          <w:tcPr>
            <w:tcW w:w="766" w:type="pct"/>
            <w:tcBorders>
              <w:top w:val="nil"/>
              <w:left w:val="nil"/>
              <w:bottom w:val="single" w:sz="4" w:space="0" w:color="auto"/>
              <w:right w:val="single" w:sz="4" w:space="0" w:color="auto"/>
            </w:tcBorders>
            <w:shd w:val="clear" w:color="auto" w:fill="auto"/>
            <w:vAlign w:val="center"/>
            <w:hideMark/>
          </w:tcPr>
          <w:p w14:paraId="05352FB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Realizar el Plan integral, Paso a desnivel en Blvd. J. Ma. Morelos, tramo: camino de acceso a Rivera de Presa a Blvd. H. Bustos para 2022. </w:t>
            </w:r>
          </w:p>
        </w:tc>
        <w:tc>
          <w:tcPr>
            <w:tcW w:w="346" w:type="pct"/>
            <w:tcBorders>
              <w:top w:val="nil"/>
              <w:left w:val="nil"/>
              <w:bottom w:val="single" w:sz="4" w:space="0" w:color="auto"/>
              <w:right w:val="single" w:sz="4" w:space="0" w:color="auto"/>
            </w:tcBorders>
            <w:shd w:val="clear" w:color="auto" w:fill="auto"/>
            <w:vAlign w:val="center"/>
            <w:hideMark/>
          </w:tcPr>
          <w:p w14:paraId="6473139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2DC402A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46" w:type="pct"/>
            <w:tcBorders>
              <w:top w:val="nil"/>
              <w:left w:val="nil"/>
              <w:bottom w:val="single" w:sz="4" w:space="0" w:color="auto"/>
              <w:right w:val="single" w:sz="4" w:space="0" w:color="auto"/>
            </w:tcBorders>
            <w:shd w:val="clear" w:color="auto" w:fill="auto"/>
            <w:vAlign w:val="center"/>
            <w:hideMark/>
          </w:tcPr>
          <w:p w14:paraId="53A6258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502" w:type="pct"/>
            <w:tcBorders>
              <w:top w:val="nil"/>
              <w:left w:val="nil"/>
              <w:bottom w:val="single" w:sz="4" w:space="0" w:color="auto"/>
              <w:right w:val="single" w:sz="4" w:space="0" w:color="auto"/>
            </w:tcBorders>
            <w:shd w:val="clear" w:color="auto" w:fill="auto"/>
            <w:vAlign w:val="center"/>
            <w:hideMark/>
          </w:tcPr>
          <w:p w14:paraId="27FB28C7"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111D3C9B" w14:textId="77777777" w:rsidTr="00C307FB">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75F4C39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4A0181D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3.2.10</w:t>
            </w:r>
          </w:p>
        </w:tc>
        <w:tc>
          <w:tcPr>
            <w:tcW w:w="711" w:type="pct"/>
            <w:tcBorders>
              <w:top w:val="nil"/>
              <w:left w:val="nil"/>
              <w:bottom w:val="single" w:sz="4" w:space="0" w:color="auto"/>
              <w:right w:val="single" w:sz="4" w:space="0" w:color="auto"/>
            </w:tcBorders>
            <w:shd w:val="clear" w:color="auto" w:fill="auto"/>
            <w:vAlign w:val="center"/>
            <w:hideMark/>
          </w:tcPr>
          <w:p w14:paraId="36DE7E8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3.2.10. Realizar el Proyecto Ejecutivo y estudio de factibilidad de la obra del Centro de Gobierno.</w:t>
            </w:r>
          </w:p>
        </w:tc>
        <w:tc>
          <w:tcPr>
            <w:tcW w:w="657" w:type="pct"/>
            <w:tcBorders>
              <w:top w:val="nil"/>
              <w:left w:val="nil"/>
              <w:bottom w:val="single" w:sz="4" w:space="0" w:color="auto"/>
              <w:right w:val="single" w:sz="4" w:space="0" w:color="auto"/>
            </w:tcBorders>
            <w:shd w:val="clear" w:color="auto" w:fill="auto"/>
            <w:vAlign w:val="center"/>
            <w:hideMark/>
          </w:tcPr>
          <w:p w14:paraId="10A9CD9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Porcentaje de avance del proyecto ejecutivo y estudio de factibilidad </w:t>
            </w:r>
          </w:p>
        </w:tc>
        <w:tc>
          <w:tcPr>
            <w:tcW w:w="766" w:type="pct"/>
            <w:tcBorders>
              <w:top w:val="nil"/>
              <w:left w:val="nil"/>
              <w:bottom w:val="single" w:sz="4" w:space="0" w:color="auto"/>
              <w:right w:val="single" w:sz="4" w:space="0" w:color="auto"/>
            </w:tcBorders>
            <w:shd w:val="clear" w:color="auto" w:fill="auto"/>
            <w:vAlign w:val="center"/>
            <w:hideMark/>
          </w:tcPr>
          <w:p w14:paraId="5D405EE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Realizar el proyecto ejecutivo y estudio de factibilidad del Centro de Gobierno</w:t>
            </w:r>
          </w:p>
        </w:tc>
        <w:tc>
          <w:tcPr>
            <w:tcW w:w="346" w:type="pct"/>
            <w:tcBorders>
              <w:top w:val="nil"/>
              <w:left w:val="nil"/>
              <w:bottom w:val="single" w:sz="4" w:space="0" w:color="auto"/>
              <w:right w:val="single" w:sz="4" w:space="0" w:color="auto"/>
            </w:tcBorders>
            <w:shd w:val="clear" w:color="auto" w:fill="auto"/>
            <w:vAlign w:val="center"/>
            <w:hideMark/>
          </w:tcPr>
          <w:p w14:paraId="0985062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4F4AD2C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25%</w:t>
            </w:r>
          </w:p>
        </w:tc>
        <w:tc>
          <w:tcPr>
            <w:tcW w:w="346" w:type="pct"/>
            <w:tcBorders>
              <w:top w:val="nil"/>
              <w:left w:val="nil"/>
              <w:bottom w:val="single" w:sz="4" w:space="0" w:color="auto"/>
              <w:right w:val="single" w:sz="4" w:space="0" w:color="auto"/>
            </w:tcBorders>
            <w:shd w:val="clear" w:color="auto" w:fill="auto"/>
            <w:vAlign w:val="center"/>
            <w:hideMark/>
          </w:tcPr>
          <w:p w14:paraId="0484DB6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75%</w:t>
            </w:r>
          </w:p>
        </w:tc>
        <w:tc>
          <w:tcPr>
            <w:tcW w:w="502" w:type="pct"/>
            <w:tcBorders>
              <w:top w:val="nil"/>
              <w:left w:val="nil"/>
              <w:bottom w:val="single" w:sz="4" w:space="0" w:color="auto"/>
              <w:right w:val="single" w:sz="4" w:space="0" w:color="auto"/>
            </w:tcBorders>
            <w:shd w:val="clear" w:color="auto" w:fill="auto"/>
            <w:vAlign w:val="center"/>
            <w:hideMark/>
          </w:tcPr>
          <w:p w14:paraId="77E1163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1F887E89" w14:textId="77777777" w:rsidTr="00C307FB">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29AAC1E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16DC97B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3.1.11</w:t>
            </w:r>
          </w:p>
        </w:tc>
        <w:tc>
          <w:tcPr>
            <w:tcW w:w="711" w:type="pct"/>
            <w:tcBorders>
              <w:top w:val="nil"/>
              <w:left w:val="nil"/>
              <w:bottom w:val="single" w:sz="4" w:space="0" w:color="auto"/>
              <w:right w:val="single" w:sz="4" w:space="0" w:color="auto"/>
            </w:tcBorders>
            <w:shd w:val="clear" w:color="auto" w:fill="auto"/>
            <w:vAlign w:val="center"/>
            <w:hideMark/>
          </w:tcPr>
          <w:p w14:paraId="27B57CE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3.2.11 Realizar el Plan Maestro y de Viabilidad para el corredor urbano la Gran Calzada (entre Calzada de los Héroes y Distrito León MX)  </w:t>
            </w:r>
          </w:p>
        </w:tc>
        <w:tc>
          <w:tcPr>
            <w:tcW w:w="657" w:type="pct"/>
            <w:tcBorders>
              <w:top w:val="nil"/>
              <w:left w:val="nil"/>
              <w:bottom w:val="single" w:sz="4" w:space="0" w:color="auto"/>
              <w:right w:val="single" w:sz="4" w:space="0" w:color="auto"/>
            </w:tcBorders>
            <w:shd w:val="clear" w:color="auto" w:fill="auto"/>
            <w:vAlign w:val="center"/>
            <w:hideMark/>
          </w:tcPr>
          <w:p w14:paraId="7884BA6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elaboración del Plan Maestro</w:t>
            </w:r>
          </w:p>
        </w:tc>
        <w:tc>
          <w:tcPr>
            <w:tcW w:w="766" w:type="pct"/>
            <w:tcBorders>
              <w:top w:val="nil"/>
              <w:left w:val="nil"/>
              <w:bottom w:val="single" w:sz="4" w:space="0" w:color="auto"/>
              <w:right w:val="single" w:sz="4" w:space="0" w:color="auto"/>
            </w:tcBorders>
            <w:shd w:val="clear" w:color="auto" w:fill="auto"/>
            <w:vAlign w:val="center"/>
            <w:hideMark/>
          </w:tcPr>
          <w:p w14:paraId="16F0B6A6"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Elaborar el Plan Maestro y de Viabilidad para el corredor urbano la Gran Calzada (entre Calzada de los Héroes y Distrito León MX) para el 2022.</w:t>
            </w:r>
          </w:p>
        </w:tc>
        <w:tc>
          <w:tcPr>
            <w:tcW w:w="346" w:type="pct"/>
            <w:tcBorders>
              <w:top w:val="nil"/>
              <w:left w:val="nil"/>
              <w:bottom w:val="single" w:sz="4" w:space="0" w:color="auto"/>
              <w:right w:val="single" w:sz="4" w:space="0" w:color="auto"/>
            </w:tcBorders>
            <w:shd w:val="clear" w:color="auto" w:fill="auto"/>
            <w:vAlign w:val="center"/>
            <w:hideMark/>
          </w:tcPr>
          <w:p w14:paraId="2B9BCA0F"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12A36D6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100%</w:t>
            </w:r>
          </w:p>
        </w:tc>
        <w:tc>
          <w:tcPr>
            <w:tcW w:w="346" w:type="pct"/>
            <w:tcBorders>
              <w:top w:val="nil"/>
              <w:left w:val="nil"/>
              <w:bottom w:val="single" w:sz="4" w:space="0" w:color="auto"/>
              <w:right w:val="single" w:sz="4" w:space="0" w:color="auto"/>
            </w:tcBorders>
            <w:shd w:val="clear" w:color="auto" w:fill="auto"/>
            <w:vAlign w:val="center"/>
            <w:hideMark/>
          </w:tcPr>
          <w:p w14:paraId="22A9CF7B"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502" w:type="pct"/>
            <w:tcBorders>
              <w:top w:val="nil"/>
              <w:left w:val="nil"/>
              <w:bottom w:val="single" w:sz="4" w:space="0" w:color="auto"/>
              <w:right w:val="single" w:sz="4" w:space="0" w:color="auto"/>
            </w:tcBorders>
            <w:shd w:val="clear" w:color="auto" w:fill="auto"/>
            <w:vAlign w:val="center"/>
            <w:hideMark/>
          </w:tcPr>
          <w:p w14:paraId="67897633"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1887D211" w14:textId="77777777" w:rsidTr="00C307FB">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526B18D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71A516D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3.2.12</w:t>
            </w:r>
          </w:p>
        </w:tc>
        <w:tc>
          <w:tcPr>
            <w:tcW w:w="711" w:type="pct"/>
            <w:tcBorders>
              <w:top w:val="nil"/>
              <w:left w:val="nil"/>
              <w:bottom w:val="single" w:sz="4" w:space="0" w:color="auto"/>
              <w:right w:val="single" w:sz="4" w:space="0" w:color="auto"/>
            </w:tcBorders>
            <w:shd w:val="clear" w:color="auto" w:fill="auto"/>
            <w:vAlign w:val="center"/>
            <w:hideMark/>
          </w:tcPr>
          <w:p w14:paraId="656955E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3.2.12 Ejecutar las obras de mejoramiento vial, ciclista y peatonal de acuerdo con el Plan Maestro y de Viabilidad.</w:t>
            </w:r>
          </w:p>
        </w:tc>
        <w:tc>
          <w:tcPr>
            <w:tcW w:w="657" w:type="pct"/>
            <w:tcBorders>
              <w:top w:val="nil"/>
              <w:left w:val="nil"/>
              <w:bottom w:val="single" w:sz="4" w:space="0" w:color="auto"/>
              <w:right w:val="single" w:sz="4" w:space="0" w:color="auto"/>
            </w:tcBorders>
            <w:shd w:val="clear" w:color="auto" w:fill="auto"/>
            <w:vAlign w:val="center"/>
            <w:hideMark/>
          </w:tcPr>
          <w:p w14:paraId="151129B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avance en la ejecución de las obras de acuerdo al presupuesto autorizado</w:t>
            </w:r>
          </w:p>
        </w:tc>
        <w:tc>
          <w:tcPr>
            <w:tcW w:w="766" w:type="pct"/>
            <w:tcBorders>
              <w:top w:val="nil"/>
              <w:left w:val="nil"/>
              <w:bottom w:val="single" w:sz="4" w:space="0" w:color="auto"/>
              <w:right w:val="single" w:sz="4" w:space="0" w:color="auto"/>
            </w:tcBorders>
            <w:shd w:val="clear" w:color="auto" w:fill="auto"/>
            <w:vAlign w:val="center"/>
            <w:hideMark/>
          </w:tcPr>
          <w:p w14:paraId="4E79AD5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 xml:space="preserve">Realizar las obras de mejoramiento vial, ciclista y peatonal programadas y presupuestadas para el trienio de acuerdo con el Plan Maestro </w:t>
            </w:r>
          </w:p>
        </w:tc>
        <w:tc>
          <w:tcPr>
            <w:tcW w:w="346" w:type="pct"/>
            <w:tcBorders>
              <w:top w:val="nil"/>
              <w:left w:val="nil"/>
              <w:bottom w:val="single" w:sz="4" w:space="0" w:color="auto"/>
              <w:right w:val="single" w:sz="4" w:space="0" w:color="auto"/>
            </w:tcBorders>
            <w:shd w:val="clear" w:color="auto" w:fill="auto"/>
            <w:vAlign w:val="center"/>
            <w:hideMark/>
          </w:tcPr>
          <w:p w14:paraId="2CFCB3DC"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758CC80D"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10%</w:t>
            </w:r>
          </w:p>
        </w:tc>
        <w:tc>
          <w:tcPr>
            <w:tcW w:w="346" w:type="pct"/>
            <w:tcBorders>
              <w:top w:val="nil"/>
              <w:left w:val="nil"/>
              <w:bottom w:val="single" w:sz="4" w:space="0" w:color="auto"/>
              <w:right w:val="single" w:sz="4" w:space="0" w:color="auto"/>
            </w:tcBorders>
            <w:shd w:val="clear" w:color="auto" w:fill="auto"/>
            <w:vAlign w:val="center"/>
            <w:hideMark/>
          </w:tcPr>
          <w:p w14:paraId="34E37F5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45%</w:t>
            </w:r>
          </w:p>
        </w:tc>
        <w:tc>
          <w:tcPr>
            <w:tcW w:w="502" w:type="pct"/>
            <w:tcBorders>
              <w:top w:val="nil"/>
              <w:left w:val="nil"/>
              <w:bottom w:val="single" w:sz="4" w:space="0" w:color="auto"/>
              <w:right w:val="single" w:sz="4" w:space="0" w:color="auto"/>
            </w:tcBorders>
            <w:shd w:val="clear" w:color="auto" w:fill="auto"/>
            <w:vAlign w:val="center"/>
            <w:hideMark/>
          </w:tcPr>
          <w:p w14:paraId="1699777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45%</w:t>
            </w:r>
          </w:p>
        </w:tc>
      </w:tr>
      <w:tr w:rsidR="00794EB9" w:rsidRPr="00794EB9" w14:paraId="090941D8" w14:textId="77777777" w:rsidTr="00C307FB">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2D92898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VM.3.3 Conectividad para todos</w:t>
            </w:r>
          </w:p>
        </w:tc>
        <w:tc>
          <w:tcPr>
            <w:tcW w:w="624" w:type="pct"/>
            <w:tcBorders>
              <w:top w:val="nil"/>
              <w:left w:val="nil"/>
              <w:bottom w:val="single" w:sz="4" w:space="0" w:color="auto"/>
              <w:right w:val="single" w:sz="4" w:space="0" w:color="auto"/>
            </w:tcBorders>
            <w:shd w:val="clear" w:color="auto" w:fill="auto"/>
            <w:vAlign w:val="center"/>
            <w:hideMark/>
          </w:tcPr>
          <w:p w14:paraId="69B1DD9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3.3.1</w:t>
            </w:r>
          </w:p>
        </w:tc>
        <w:tc>
          <w:tcPr>
            <w:tcW w:w="711" w:type="pct"/>
            <w:tcBorders>
              <w:top w:val="nil"/>
              <w:left w:val="nil"/>
              <w:bottom w:val="single" w:sz="4" w:space="0" w:color="auto"/>
              <w:right w:val="single" w:sz="4" w:space="0" w:color="auto"/>
            </w:tcBorders>
            <w:shd w:val="clear" w:color="auto" w:fill="auto"/>
            <w:vAlign w:val="center"/>
            <w:hideMark/>
          </w:tcPr>
          <w:p w14:paraId="678F183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3.3.1 Dar mantenimiento a los nodos rurales e instalar nuevos nodos según el programa Conectividad para Todos. </w:t>
            </w:r>
          </w:p>
        </w:tc>
        <w:tc>
          <w:tcPr>
            <w:tcW w:w="657" w:type="pct"/>
            <w:tcBorders>
              <w:top w:val="nil"/>
              <w:left w:val="nil"/>
              <w:bottom w:val="single" w:sz="4" w:space="0" w:color="auto"/>
              <w:right w:val="single" w:sz="4" w:space="0" w:color="auto"/>
            </w:tcBorders>
            <w:shd w:val="clear" w:color="auto" w:fill="auto"/>
            <w:vAlign w:val="center"/>
            <w:hideMark/>
          </w:tcPr>
          <w:p w14:paraId="77A0C37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nodos funcionando en el año</w:t>
            </w:r>
          </w:p>
        </w:tc>
        <w:tc>
          <w:tcPr>
            <w:tcW w:w="766" w:type="pct"/>
            <w:tcBorders>
              <w:top w:val="nil"/>
              <w:left w:val="nil"/>
              <w:bottom w:val="single" w:sz="4" w:space="0" w:color="auto"/>
              <w:right w:val="single" w:sz="4" w:space="0" w:color="auto"/>
            </w:tcBorders>
            <w:shd w:val="clear" w:color="auto" w:fill="auto"/>
            <w:vAlign w:val="center"/>
            <w:hideMark/>
          </w:tcPr>
          <w:p w14:paraId="5507504E" w14:textId="77777777" w:rsidR="00CF01D0" w:rsidRPr="00CF01D0" w:rsidRDefault="00CF01D0" w:rsidP="00CF01D0">
            <w:pPr>
              <w:jc w:val="center"/>
              <w:rPr>
                <w:rFonts w:ascii="Arial" w:hAnsi="Arial" w:cs="Arial"/>
                <w:sz w:val="22"/>
                <w:szCs w:val="22"/>
                <w:lang w:eastAsia="es-MX"/>
              </w:rPr>
            </w:pPr>
            <w:r w:rsidRPr="00CF01D0">
              <w:rPr>
                <w:rFonts w:ascii="Arial" w:hAnsi="Arial" w:cs="Arial"/>
                <w:sz w:val="22"/>
                <w:szCs w:val="22"/>
                <w:lang w:eastAsia="es-MX"/>
              </w:rPr>
              <w:t>Dar mantenimiento a 114 nodos integrados por: 96 nodos rurales, 3 plazas de la ciudadanía, 11 sitios de la red de parques y 4 barrios históricos, durante el trienio.</w:t>
            </w:r>
          </w:p>
          <w:p w14:paraId="6D77324C" w14:textId="023DE370" w:rsidR="00794EB9" w:rsidRPr="00794EB9" w:rsidRDefault="00CF01D0" w:rsidP="00F17E23">
            <w:pPr>
              <w:jc w:val="center"/>
              <w:rPr>
                <w:rFonts w:ascii="Arial" w:hAnsi="Arial" w:cs="Arial"/>
                <w:sz w:val="22"/>
                <w:szCs w:val="22"/>
                <w:lang w:eastAsia="es-MX"/>
              </w:rPr>
            </w:pPr>
            <w:r w:rsidRPr="00255030">
              <w:rPr>
                <w:rFonts w:ascii="Arial" w:hAnsi="Arial" w:cs="Arial"/>
                <w:b/>
                <w:color w:val="002060"/>
                <w:sz w:val="18"/>
                <w:szCs w:val="18"/>
                <w:lang w:eastAsia="es-MX"/>
              </w:rPr>
              <w:t xml:space="preserve">Meta </w:t>
            </w:r>
            <w:r w:rsidR="00F17E23">
              <w:rPr>
                <w:rFonts w:ascii="Arial" w:hAnsi="Arial" w:cs="Arial"/>
                <w:b/>
                <w:color w:val="002060"/>
                <w:sz w:val="18"/>
                <w:szCs w:val="18"/>
                <w:lang w:eastAsia="es-MX"/>
              </w:rPr>
              <w:t>incrementada</w:t>
            </w:r>
            <w:r>
              <w:rPr>
                <w:rFonts w:ascii="Arial" w:hAnsi="Arial" w:cs="Arial"/>
                <w:b/>
                <w:color w:val="002060"/>
                <w:sz w:val="18"/>
                <w:szCs w:val="18"/>
                <w:lang w:eastAsia="es-MX"/>
              </w:rPr>
              <w:t xml:space="preserve"> 27-12-2022</w:t>
            </w:r>
          </w:p>
        </w:tc>
        <w:tc>
          <w:tcPr>
            <w:tcW w:w="346" w:type="pct"/>
            <w:tcBorders>
              <w:top w:val="nil"/>
              <w:left w:val="nil"/>
              <w:bottom w:val="single" w:sz="4" w:space="0" w:color="auto"/>
              <w:right w:val="single" w:sz="4" w:space="0" w:color="auto"/>
            </w:tcBorders>
            <w:shd w:val="clear" w:color="auto" w:fill="auto"/>
            <w:vAlign w:val="center"/>
            <w:hideMark/>
          </w:tcPr>
          <w:p w14:paraId="10D182E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50968931"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49%</w:t>
            </w:r>
          </w:p>
        </w:tc>
        <w:tc>
          <w:tcPr>
            <w:tcW w:w="346" w:type="pct"/>
            <w:tcBorders>
              <w:top w:val="nil"/>
              <w:left w:val="nil"/>
              <w:bottom w:val="single" w:sz="4" w:space="0" w:color="auto"/>
              <w:right w:val="single" w:sz="4" w:space="0" w:color="auto"/>
            </w:tcBorders>
            <w:shd w:val="clear" w:color="auto" w:fill="auto"/>
            <w:vAlign w:val="center"/>
            <w:hideMark/>
          </w:tcPr>
          <w:p w14:paraId="3A19F10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25%</w:t>
            </w:r>
          </w:p>
        </w:tc>
        <w:tc>
          <w:tcPr>
            <w:tcW w:w="502" w:type="pct"/>
            <w:tcBorders>
              <w:top w:val="nil"/>
              <w:left w:val="nil"/>
              <w:bottom w:val="single" w:sz="4" w:space="0" w:color="auto"/>
              <w:right w:val="single" w:sz="4" w:space="0" w:color="auto"/>
            </w:tcBorders>
            <w:shd w:val="clear" w:color="auto" w:fill="auto"/>
            <w:vAlign w:val="center"/>
            <w:hideMark/>
          </w:tcPr>
          <w:p w14:paraId="10402CF4"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26%</w:t>
            </w:r>
          </w:p>
        </w:tc>
      </w:tr>
      <w:tr w:rsidR="00794EB9" w:rsidRPr="00794EB9" w14:paraId="62B81048" w14:textId="77777777" w:rsidTr="00C307FB">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432FAD9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VM.3.3 Conectividad para todos</w:t>
            </w:r>
          </w:p>
        </w:tc>
        <w:tc>
          <w:tcPr>
            <w:tcW w:w="624" w:type="pct"/>
            <w:tcBorders>
              <w:top w:val="nil"/>
              <w:left w:val="nil"/>
              <w:bottom w:val="single" w:sz="4" w:space="0" w:color="auto"/>
              <w:right w:val="single" w:sz="4" w:space="0" w:color="auto"/>
            </w:tcBorders>
            <w:shd w:val="clear" w:color="auto" w:fill="auto"/>
            <w:vAlign w:val="center"/>
            <w:hideMark/>
          </w:tcPr>
          <w:p w14:paraId="17238DE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3.3.2</w:t>
            </w:r>
          </w:p>
        </w:tc>
        <w:tc>
          <w:tcPr>
            <w:tcW w:w="711" w:type="pct"/>
            <w:tcBorders>
              <w:top w:val="nil"/>
              <w:left w:val="nil"/>
              <w:bottom w:val="single" w:sz="4" w:space="0" w:color="auto"/>
              <w:right w:val="single" w:sz="4" w:space="0" w:color="auto"/>
            </w:tcBorders>
            <w:shd w:val="clear" w:color="auto" w:fill="auto"/>
            <w:vAlign w:val="center"/>
            <w:hideMark/>
          </w:tcPr>
          <w:p w14:paraId="4A0820D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3.3.2 Dar mantenimiento a 456 sensores y plataforma de big data. Sistema de Inteligencia Municipal</w:t>
            </w:r>
          </w:p>
        </w:tc>
        <w:tc>
          <w:tcPr>
            <w:tcW w:w="657" w:type="pct"/>
            <w:tcBorders>
              <w:top w:val="nil"/>
              <w:left w:val="nil"/>
              <w:bottom w:val="single" w:sz="4" w:space="0" w:color="auto"/>
              <w:right w:val="single" w:sz="4" w:space="0" w:color="auto"/>
            </w:tcBorders>
            <w:shd w:val="clear" w:color="auto" w:fill="auto"/>
            <w:vAlign w:val="center"/>
            <w:hideMark/>
          </w:tcPr>
          <w:p w14:paraId="34E112AE"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Porcentaje de sensores atendidos respecto del total</w:t>
            </w:r>
          </w:p>
        </w:tc>
        <w:tc>
          <w:tcPr>
            <w:tcW w:w="766" w:type="pct"/>
            <w:tcBorders>
              <w:top w:val="nil"/>
              <w:left w:val="nil"/>
              <w:bottom w:val="single" w:sz="4" w:space="0" w:color="auto"/>
              <w:right w:val="single" w:sz="4" w:space="0" w:color="auto"/>
            </w:tcBorders>
            <w:shd w:val="clear" w:color="auto" w:fill="auto"/>
            <w:vAlign w:val="center"/>
            <w:hideMark/>
          </w:tcPr>
          <w:p w14:paraId="39965BA0"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Dar mantenimiento a 456 sensores y a la Plataforma de Inteligencia Municipal en funcionamiento, durante el trienio</w:t>
            </w:r>
          </w:p>
        </w:tc>
        <w:tc>
          <w:tcPr>
            <w:tcW w:w="346" w:type="pct"/>
            <w:tcBorders>
              <w:top w:val="nil"/>
              <w:left w:val="nil"/>
              <w:bottom w:val="single" w:sz="4" w:space="0" w:color="auto"/>
              <w:right w:val="single" w:sz="4" w:space="0" w:color="auto"/>
            </w:tcBorders>
            <w:shd w:val="clear" w:color="auto" w:fill="auto"/>
            <w:vAlign w:val="center"/>
            <w:hideMark/>
          </w:tcPr>
          <w:p w14:paraId="5845EEB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0DE43B1A"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31%</w:t>
            </w:r>
          </w:p>
        </w:tc>
        <w:tc>
          <w:tcPr>
            <w:tcW w:w="346" w:type="pct"/>
            <w:tcBorders>
              <w:top w:val="nil"/>
              <w:left w:val="nil"/>
              <w:bottom w:val="single" w:sz="4" w:space="0" w:color="auto"/>
              <w:right w:val="single" w:sz="4" w:space="0" w:color="auto"/>
            </w:tcBorders>
            <w:shd w:val="clear" w:color="auto" w:fill="auto"/>
            <w:vAlign w:val="center"/>
            <w:hideMark/>
          </w:tcPr>
          <w:p w14:paraId="07BC0CA5"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33%</w:t>
            </w:r>
          </w:p>
        </w:tc>
        <w:tc>
          <w:tcPr>
            <w:tcW w:w="502" w:type="pct"/>
            <w:tcBorders>
              <w:top w:val="nil"/>
              <w:left w:val="nil"/>
              <w:bottom w:val="single" w:sz="4" w:space="0" w:color="auto"/>
              <w:right w:val="single" w:sz="4" w:space="0" w:color="auto"/>
            </w:tcBorders>
            <w:shd w:val="clear" w:color="auto" w:fill="auto"/>
            <w:vAlign w:val="center"/>
            <w:hideMark/>
          </w:tcPr>
          <w:p w14:paraId="543DD242" w14:textId="77777777" w:rsidR="00794EB9" w:rsidRPr="00794EB9" w:rsidRDefault="00794EB9" w:rsidP="00C307FB">
            <w:pPr>
              <w:jc w:val="center"/>
              <w:rPr>
                <w:rFonts w:ascii="Arial" w:hAnsi="Arial" w:cs="Arial"/>
                <w:sz w:val="22"/>
                <w:szCs w:val="22"/>
                <w:lang w:eastAsia="es-MX"/>
              </w:rPr>
            </w:pPr>
            <w:r w:rsidRPr="00794EB9">
              <w:rPr>
                <w:rFonts w:ascii="Arial" w:hAnsi="Arial" w:cs="Arial"/>
                <w:sz w:val="22"/>
                <w:szCs w:val="22"/>
                <w:lang w:eastAsia="es-MX"/>
              </w:rPr>
              <w:t>36%</w:t>
            </w:r>
          </w:p>
        </w:tc>
      </w:tr>
    </w:tbl>
    <w:p w14:paraId="4A557FFC" w14:textId="77777777" w:rsidR="00794EB9" w:rsidRPr="00794EB9" w:rsidRDefault="00794EB9" w:rsidP="00794EB9">
      <w:pPr>
        <w:ind w:leftChars="-194" w:left="-388" w:firstLine="1"/>
        <w:jc w:val="both"/>
        <w:rPr>
          <w:rFonts w:ascii="Arial" w:hAnsi="Arial" w:cs="Arial"/>
          <w:sz w:val="22"/>
          <w:szCs w:val="22"/>
        </w:rPr>
      </w:pPr>
    </w:p>
    <w:p w14:paraId="4D1BBA9E" w14:textId="77777777" w:rsidR="00794EB9" w:rsidRPr="00794EB9" w:rsidRDefault="00794EB9" w:rsidP="00794EB9">
      <w:pPr>
        <w:jc w:val="both"/>
        <w:rPr>
          <w:rFonts w:ascii="Arial" w:hAnsi="Arial" w:cs="Arial"/>
          <w:sz w:val="22"/>
          <w:szCs w:val="22"/>
        </w:rPr>
      </w:pPr>
    </w:p>
    <w:p w14:paraId="3BD31198" w14:textId="77777777" w:rsidR="00794EB9" w:rsidRPr="00794EB9" w:rsidRDefault="00794EB9" w:rsidP="00794EB9">
      <w:pPr>
        <w:jc w:val="both"/>
        <w:rPr>
          <w:rFonts w:ascii="Arial" w:hAnsi="Arial" w:cs="Arial"/>
          <w:b/>
          <w:bCs/>
          <w:sz w:val="22"/>
          <w:szCs w:val="22"/>
        </w:rPr>
      </w:pPr>
    </w:p>
    <w:p w14:paraId="2B56D806" w14:textId="77777777" w:rsidR="00794EB9" w:rsidRPr="00794EB9" w:rsidRDefault="00794EB9" w:rsidP="00794EB9">
      <w:pPr>
        <w:pStyle w:val="TtuloPG"/>
        <w:pBdr>
          <w:top w:val="single" w:sz="4" w:space="1" w:color="auto"/>
          <w:left w:val="single" w:sz="4" w:space="4" w:color="auto"/>
          <w:bottom w:val="single" w:sz="4" w:space="1" w:color="auto"/>
          <w:right w:val="single" w:sz="4" w:space="4" w:color="auto"/>
        </w:pBdr>
        <w:rPr>
          <w:color w:val="auto"/>
          <w:sz w:val="22"/>
          <w:szCs w:val="22"/>
        </w:rPr>
      </w:pPr>
      <w:r w:rsidRPr="00794EB9">
        <w:rPr>
          <w:color w:val="auto"/>
          <w:sz w:val="22"/>
          <w:szCs w:val="22"/>
        </w:rPr>
        <w:t>VIII. LINEAMIENTOS PARA LA EJECUCIÓN, EL SEGUIMIENTO Y EVALUACIÓN.</w:t>
      </w:r>
    </w:p>
    <w:p w14:paraId="3DAA35EC" w14:textId="77777777" w:rsidR="00794EB9" w:rsidRPr="00794EB9" w:rsidRDefault="00794EB9" w:rsidP="00794EB9">
      <w:pPr>
        <w:jc w:val="both"/>
        <w:rPr>
          <w:rFonts w:ascii="Arial" w:hAnsi="Arial" w:cs="Arial"/>
          <w:sz w:val="22"/>
          <w:szCs w:val="22"/>
        </w:rPr>
      </w:pPr>
    </w:p>
    <w:p w14:paraId="45E36D1C"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Los criterios generales para la instrumentación y ejecución del Programa de Gobierno Municipal de León, Guanajuato, 2021-2024, consideran las atribuciones comunes de las dependencias y entidades de la administración pública municipal y la orientación de su actuar hacia la implementación de los programas y acciones estratégicas, bajo un modelo de gestión de gobierno denominado ALIADA.</w:t>
      </w:r>
    </w:p>
    <w:p w14:paraId="40DDA4DC" w14:textId="77777777" w:rsidR="00794EB9" w:rsidRPr="00794EB9" w:rsidRDefault="00794EB9" w:rsidP="00794EB9">
      <w:pPr>
        <w:jc w:val="both"/>
        <w:rPr>
          <w:rFonts w:ascii="Arial" w:hAnsi="Arial" w:cs="Arial"/>
          <w:sz w:val="22"/>
          <w:szCs w:val="22"/>
        </w:rPr>
      </w:pPr>
    </w:p>
    <w:p w14:paraId="120A7606"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En relación a los procesos de seguimiento y evaluación se consideran las atribuciones de la Dirección General de Gestión Gubernamental que permitirán promover ejercicios de vinculación y articulación de esfuerzos para favorecer el cumplimiento de las diferentes </w:t>
      </w:r>
      <w:r w:rsidRPr="00794EB9">
        <w:rPr>
          <w:rFonts w:ascii="Arial" w:hAnsi="Arial" w:cs="Arial"/>
          <w:sz w:val="22"/>
          <w:szCs w:val="22"/>
        </w:rPr>
        <w:lastRenderedPageBreak/>
        <w:t>acciones y metas establecidas, además del proceso de evaluación asociado a indicadores estratégicos a cargo del Instituto Municipal de Planeación, favoreciendo la contribución y congruencia con los instrumentos superiores de planeación como la Agenda 2030, el PED 2040 y el PMD 2045.</w:t>
      </w:r>
    </w:p>
    <w:p w14:paraId="365E7F73" w14:textId="77777777" w:rsidR="00794EB9" w:rsidRPr="00794EB9" w:rsidRDefault="00794EB9" w:rsidP="00794EB9">
      <w:pPr>
        <w:jc w:val="both"/>
        <w:rPr>
          <w:rFonts w:ascii="Arial" w:hAnsi="Arial" w:cs="Arial"/>
          <w:sz w:val="22"/>
          <w:szCs w:val="22"/>
        </w:rPr>
      </w:pPr>
    </w:p>
    <w:p w14:paraId="624C2C40" w14:textId="77777777" w:rsidR="00794EB9" w:rsidRPr="00794EB9" w:rsidRDefault="00794EB9" w:rsidP="00794EB9">
      <w:pPr>
        <w:pStyle w:val="TtuloPG2"/>
        <w:ind w:left="0"/>
        <w:jc w:val="both"/>
        <w:rPr>
          <w:color w:val="auto"/>
          <w:sz w:val="22"/>
          <w:szCs w:val="22"/>
        </w:rPr>
      </w:pPr>
      <w:r w:rsidRPr="00794EB9">
        <w:rPr>
          <w:color w:val="auto"/>
          <w:sz w:val="22"/>
          <w:szCs w:val="22"/>
        </w:rPr>
        <w:t>INSTRUMENTACIÓN</w:t>
      </w:r>
    </w:p>
    <w:p w14:paraId="1F4A8C69" w14:textId="77777777" w:rsidR="00794EB9" w:rsidRPr="00794EB9" w:rsidRDefault="00794EB9" w:rsidP="00794EB9">
      <w:pPr>
        <w:jc w:val="both"/>
        <w:rPr>
          <w:rFonts w:ascii="Arial" w:hAnsi="Arial" w:cs="Arial"/>
          <w:sz w:val="22"/>
          <w:szCs w:val="22"/>
        </w:rPr>
      </w:pPr>
    </w:p>
    <w:p w14:paraId="09F966F9"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La ejecución de las acciones estará a cargo de las direcciones generales centralizadas y descentralizadas de la administración pública municipal, mismas que deberán “planear, programar, organizar, dirigir, controlar y evaluar las actividades que tenga encomendadas en los términos del Programa de Gobierno Municipal”, de conformidad con el artículo 18, fracción VI, del Reglamento Interior de la Administración Pública Municipal de León, Guanajuato, y con sus atribuciones particulares.</w:t>
      </w:r>
    </w:p>
    <w:p w14:paraId="3FF0153B" w14:textId="77777777" w:rsidR="00794EB9" w:rsidRPr="00794EB9" w:rsidRDefault="00794EB9" w:rsidP="00794EB9">
      <w:pPr>
        <w:jc w:val="both"/>
        <w:rPr>
          <w:rFonts w:ascii="Arial" w:hAnsi="Arial" w:cs="Arial"/>
          <w:sz w:val="22"/>
          <w:szCs w:val="22"/>
        </w:rPr>
      </w:pPr>
    </w:p>
    <w:p w14:paraId="786B49CD"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Para favorecer este proceso de instrumentación, se plantea la aplicación del Modelo ALIADA, mismo que integra los factores clave que inciden en la gestión pública actual, a través de herramientas metodológicas de planeación estratégica, gestión de proyectos y alineación organizacional para incrementar la eficiencia y efectividad del gobierno municipal en la creación de Valor Social. </w:t>
      </w:r>
    </w:p>
    <w:p w14:paraId="46FB47B7" w14:textId="77777777" w:rsidR="00794EB9" w:rsidRPr="00794EB9" w:rsidRDefault="00794EB9" w:rsidP="00794EB9">
      <w:pPr>
        <w:jc w:val="both"/>
        <w:rPr>
          <w:rFonts w:ascii="Arial" w:hAnsi="Arial" w:cs="Arial"/>
          <w:iCs/>
          <w:sz w:val="22"/>
          <w:szCs w:val="22"/>
          <w:lang w:eastAsia="es-MX"/>
        </w:rPr>
      </w:pPr>
    </w:p>
    <w:p w14:paraId="30FB1644" w14:textId="77777777" w:rsidR="00794EB9" w:rsidRPr="00794EB9" w:rsidRDefault="00794EB9" w:rsidP="00794EB9">
      <w:pPr>
        <w:jc w:val="center"/>
        <w:rPr>
          <w:rFonts w:ascii="Arial" w:hAnsi="Arial" w:cs="Arial"/>
          <w:sz w:val="22"/>
          <w:szCs w:val="22"/>
          <w:lang w:eastAsia="es-MX"/>
        </w:rPr>
      </w:pPr>
      <w:r w:rsidRPr="00794EB9">
        <w:rPr>
          <w:rFonts w:ascii="Arial" w:hAnsi="Arial" w:cs="Arial"/>
          <w:noProof/>
          <w:sz w:val="22"/>
          <w:szCs w:val="22"/>
          <w:bdr w:val="none" w:sz="0" w:space="0" w:color="auto" w:frame="1"/>
          <w:lang w:val="es-MX" w:eastAsia="es-MX"/>
        </w:rPr>
        <w:drawing>
          <wp:inline distT="0" distB="0" distL="0" distR="0" wp14:anchorId="7080D2B1" wp14:editId="191FD048">
            <wp:extent cx="3446133" cy="3524250"/>
            <wp:effectExtent l="0" t="0" r="2540" b="0"/>
            <wp:docPr id="3" name="Imagen 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Diagrama&#10;&#10;Descripción generada automáticamente"/>
                    <pic:cNvPicPr>
                      <a:picLocks noChangeAspect="1" noChangeArrowheads="1"/>
                    </pic:cNvPicPr>
                  </pic:nvPicPr>
                  <pic:blipFill>
                    <a:blip r:embed="rId98" cstate="print">
                      <a:extLst>
                        <a:ext uri="{BEBA8EAE-BF5A-486C-A8C5-ECC9F3942E4B}">
                          <a14:imgProps xmlns:a14="http://schemas.microsoft.com/office/drawing/2010/main">
                            <a14:imgLayer r:embed="rId9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446133" cy="3524250"/>
                    </a:xfrm>
                    <a:prstGeom prst="rect">
                      <a:avLst/>
                    </a:prstGeom>
                    <a:noFill/>
                    <a:ln>
                      <a:noFill/>
                    </a:ln>
                  </pic:spPr>
                </pic:pic>
              </a:graphicData>
            </a:graphic>
          </wp:inline>
        </w:drawing>
      </w:r>
    </w:p>
    <w:p w14:paraId="2B91FFED" w14:textId="77777777" w:rsidR="00794EB9" w:rsidRPr="00794EB9" w:rsidRDefault="00794EB9" w:rsidP="00794EB9">
      <w:pPr>
        <w:jc w:val="center"/>
        <w:rPr>
          <w:rFonts w:ascii="Arial" w:hAnsi="Arial" w:cs="Arial"/>
          <w:sz w:val="22"/>
          <w:szCs w:val="22"/>
          <w:lang w:eastAsia="es-MX"/>
        </w:rPr>
      </w:pPr>
    </w:p>
    <w:p w14:paraId="1B13FD0B" w14:textId="77777777" w:rsidR="00794EB9" w:rsidRPr="00794EB9" w:rsidRDefault="00794EB9" w:rsidP="00794EB9">
      <w:pPr>
        <w:jc w:val="both"/>
        <w:rPr>
          <w:rFonts w:ascii="Arial" w:hAnsi="Arial" w:cs="Arial"/>
          <w:sz w:val="22"/>
          <w:szCs w:val="22"/>
          <w:lang w:eastAsia="es-MX"/>
        </w:rPr>
      </w:pPr>
      <w:r w:rsidRPr="00794EB9">
        <w:rPr>
          <w:rFonts w:ascii="Arial" w:hAnsi="Arial" w:cs="Arial"/>
          <w:sz w:val="22"/>
          <w:szCs w:val="22"/>
          <w:lang w:eastAsia="es-MX"/>
        </w:rPr>
        <w:t>©️ El Modelo de Gestión Política ALIADA es de autoría total de Syntagma Branding. Queda prohibido copiar, reproducir, distribuir, publicar, transmitir, difundir, o en cualquier modo explotar cualquier parte de este documento sin la autorización previa por escrito de Syntagma Branding.</w:t>
      </w:r>
    </w:p>
    <w:p w14:paraId="68DF4F95" w14:textId="77777777" w:rsidR="00794EB9" w:rsidRPr="00794EB9" w:rsidRDefault="00794EB9" w:rsidP="00794EB9">
      <w:pPr>
        <w:jc w:val="both"/>
        <w:rPr>
          <w:rFonts w:ascii="Arial" w:hAnsi="Arial" w:cs="Arial"/>
          <w:iCs/>
          <w:sz w:val="22"/>
          <w:szCs w:val="22"/>
          <w:lang w:eastAsia="es-MX"/>
        </w:rPr>
      </w:pPr>
    </w:p>
    <w:p w14:paraId="59FCF6FF" w14:textId="77777777" w:rsidR="00794EB9" w:rsidRPr="00794EB9" w:rsidRDefault="00794EB9" w:rsidP="00794EB9">
      <w:pPr>
        <w:jc w:val="both"/>
        <w:rPr>
          <w:rFonts w:ascii="Arial" w:hAnsi="Arial" w:cs="Arial"/>
          <w:iCs/>
          <w:sz w:val="22"/>
          <w:szCs w:val="22"/>
          <w:lang w:eastAsia="es-MX"/>
        </w:rPr>
      </w:pPr>
      <w:r w:rsidRPr="00794EB9">
        <w:rPr>
          <w:rFonts w:ascii="Arial" w:hAnsi="Arial" w:cs="Arial"/>
          <w:iCs/>
          <w:sz w:val="22"/>
          <w:szCs w:val="22"/>
          <w:lang w:eastAsia="es-MX"/>
        </w:rPr>
        <w:t>El modelo plantea un enfoque integral que considera diversas herramientas:</w:t>
      </w:r>
    </w:p>
    <w:p w14:paraId="589C75BE" w14:textId="77777777" w:rsidR="00794EB9" w:rsidRPr="00794EB9" w:rsidRDefault="00794EB9" w:rsidP="00794EB9">
      <w:pPr>
        <w:jc w:val="both"/>
        <w:rPr>
          <w:rFonts w:ascii="Arial" w:hAnsi="Arial" w:cs="Arial"/>
          <w:iCs/>
          <w:sz w:val="22"/>
          <w:szCs w:val="22"/>
          <w:lang w:eastAsia="es-MX"/>
        </w:rPr>
      </w:pPr>
    </w:p>
    <w:p w14:paraId="055DE374" w14:textId="77777777" w:rsidR="00794EB9" w:rsidRPr="00794EB9" w:rsidRDefault="00794EB9" w:rsidP="0018463D">
      <w:pPr>
        <w:pStyle w:val="Prrafodelista"/>
        <w:numPr>
          <w:ilvl w:val="0"/>
          <w:numId w:val="17"/>
        </w:numPr>
        <w:jc w:val="both"/>
        <w:textDirection w:val="btLr"/>
        <w:rPr>
          <w:rFonts w:ascii="Arial" w:hAnsi="Arial" w:cs="Arial"/>
          <w:sz w:val="22"/>
          <w:szCs w:val="22"/>
          <w:lang w:eastAsia="es-MX"/>
        </w:rPr>
      </w:pPr>
      <w:r w:rsidRPr="00794EB9">
        <w:rPr>
          <w:rFonts w:ascii="Arial" w:hAnsi="Arial" w:cs="Arial"/>
          <w:sz w:val="22"/>
          <w:szCs w:val="22"/>
          <w:lang w:eastAsia="es-MX"/>
        </w:rPr>
        <w:lastRenderedPageBreak/>
        <w:t xml:space="preserve">El diseño y aplicación de una </w:t>
      </w:r>
      <w:r w:rsidRPr="00794EB9">
        <w:rPr>
          <w:rFonts w:ascii="Arial" w:hAnsi="Arial" w:cs="Arial"/>
          <w:b/>
          <w:i/>
          <w:sz w:val="22"/>
          <w:szCs w:val="22"/>
          <w:lang w:eastAsia="es-MX"/>
        </w:rPr>
        <w:t>fórmula para la determinación de impacto social</w:t>
      </w:r>
      <w:r w:rsidRPr="00794EB9">
        <w:rPr>
          <w:rFonts w:ascii="Arial" w:hAnsi="Arial" w:cs="Arial"/>
          <w:sz w:val="22"/>
          <w:szCs w:val="22"/>
        </w:rPr>
        <w:t xml:space="preserve"> </w:t>
      </w:r>
      <w:r w:rsidRPr="00794EB9">
        <w:rPr>
          <w:rFonts w:ascii="Arial" w:hAnsi="Arial" w:cs="Arial"/>
          <w:sz w:val="22"/>
          <w:szCs w:val="22"/>
          <w:lang w:eastAsia="es-MX"/>
        </w:rPr>
        <w:t>para la ponderación de programas y proyectos</w:t>
      </w:r>
    </w:p>
    <w:p w14:paraId="7DEB7C0E" w14:textId="77777777" w:rsidR="00794EB9" w:rsidRPr="00794EB9" w:rsidRDefault="00794EB9" w:rsidP="0018463D">
      <w:pPr>
        <w:pStyle w:val="Prrafodelista"/>
        <w:numPr>
          <w:ilvl w:val="0"/>
          <w:numId w:val="17"/>
        </w:numPr>
        <w:jc w:val="both"/>
        <w:textDirection w:val="btLr"/>
        <w:rPr>
          <w:rFonts w:ascii="Arial" w:hAnsi="Arial" w:cs="Arial"/>
          <w:b/>
          <w:sz w:val="22"/>
          <w:szCs w:val="22"/>
          <w:lang w:eastAsia="es-MX"/>
        </w:rPr>
      </w:pPr>
      <w:r w:rsidRPr="00794EB9">
        <w:rPr>
          <w:rFonts w:ascii="Arial" w:hAnsi="Arial" w:cs="Arial"/>
          <w:sz w:val="22"/>
          <w:szCs w:val="22"/>
          <w:lang w:eastAsia="es-MX"/>
        </w:rPr>
        <w:t xml:space="preserve">El llenado de una </w:t>
      </w:r>
      <w:r w:rsidRPr="00794EB9">
        <w:rPr>
          <w:rFonts w:ascii="Arial" w:hAnsi="Arial" w:cs="Arial"/>
          <w:b/>
          <w:i/>
          <w:sz w:val="22"/>
          <w:szCs w:val="22"/>
          <w:lang w:eastAsia="es-MX"/>
        </w:rPr>
        <w:t xml:space="preserve">matriz de impacto social </w:t>
      </w:r>
      <w:r w:rsidRPr="00794EB9">
        <w:rPr>
          <w:rFonts w:ascii="Arial" w:hAnsi="Arial" w:cs="Arial"/>
          <w:sz w:val="22"/>
          <w:szCs w:val="22"/>
          <w:lang w:eastAsia="es-MX"/>
        </w:rPr>
        <w:t>para evaluar la pertinencia de su ejecución, considerando como prioritarios los que mayor Impacto Social presenten</w:t>
      </w:r>
    </w:p>
    <w:p w14:paraId="4E0317A7" w14:textId="77777777" w:rsidR="00794EB9" w:rsidRPr="00794EB9" w:rsidRDefault="00794EB9" w:rsidP="0018463D">
      <w:pPr>
        <w:pStyle w:val="Prrafodelista"/>
        <w:numPr>
          <w:ilvl w:val="0"/>
          <w:numId w:val="17"/>
        </w:numPr>
        <w:jc w:val="both"/>
        <w:textDirection w:val="btLr"/>
        <w:rPr>
          <w:rFonts w:ascii="Arial" w:hAnsi="Arial" w:cs="Arial"/>
          <w:sz w:val="22"/>
          <w:szCs w:val="22"/>
          <w:lang w:eastAsia="es-MX"/>
        </w:rPr>
      </w:pPr>
      <w:r w:rsidRPr="00794EB9">
        <w:rPr>
          <w:rFonts w:ascii="Arial" w:hAnsi="Arial" w:cs="Arial"/>
          <w:sz w:val="22"/>
          <w:szCs w:val="22"/>
          <w:lang w:eastAsia="es-MX"/>
        </w:rPr>
        <w:t xml:space="preserve">La aplicación del enfoque </w:t>
      </w:r>
      <w:r w:rsidRPr="00794EB9">
        <w:rPr>
          <w:rFonts w:ascii="Arial" w:hAnsi="Arial" w:cs="Arial"/>
          <w:b/>
          <w:i/>
          <w:sz w:val="22"/>
          <w:szCs w:val="22"/>
          <w:lang w:eastAsia="es-MX"/>
        </w:rPr>
        <w:t>social CANVAS para municipio</w:t>
      </w:r>
      <w:r w:rsidRPr="00794EB9">
        <w:rPr>
          <w:rFonts w:ascii="Arial" w:hAnsi="Arial" w:cs="Arial"/>
          <w:sz w:val="22"/>
          <w:szCs w:val="22"/>
          <w:lang w:eastAsia="es-MX"/>
        </w:rPr>
        <w:t xml:space="preserve"> para responder a las preguntas de ¿Cómo? ¿Qué? ¿A quién? y ¿Cuánto recurso se necesita? </w:t>
      </w:r>
    </w:p>
    <w:p w14:paraId="67AF312A" w14:textId="77777777" w:rsidR="00794EB9" w:rsidRPr="00794EB9" w:rsidRDefault="00794EB9" w:rsidP="0018463D">
      <w:pPr>
        <w:pStyle w:val="Prrafodelista"/>
        <w:numPr>
          <w:ilvl w:val="0"/>
          <w:numId w:val="17"/>
        </w:numPr>
        <w:jc w:val="both"/>
        <w:textDirection w:val="btLr"/>
        <w:rPr>
          <w:rFonts w:ascii="Arial" w:hAnsi="Arial" w:cs="Arial"/>
          <w:b/>
          <w:i/>
          <w:sz w:val="22"/>
          <w:szCs w:val="22"/>
          <w:lang w:eastAsia="es-MX"/>
        </w:rPr>
      </w:pPr>
      <w:r w:rsidRPr="00794EB9">
        <w:rPr>
          <w:rFonts w:ascii="Arial" w:hAnsi="Arial" w:cs="Arial"/>
          <w:sz w:val="22"/>
          <w:szCs w:val="22"/>
          <w:lang w:eastAsia="es-MX"/>
        </w:rPr>
        <w:t xml:space="preserve">La utilización del </w:t>
      </w:r>
      <w:r w:rsidRPr="00794EB9">
        <w:rPr>
          <w:rFonts w:ascii="Arial" w:hAnsi="Arial" w:cs="Arial"/>
          <w:b/>
          <w:i/>
          <w:sz w:val="22"/>
          <w:szCs w:val="22"/>
          <w:lang w:eastAsia="es-MX"/>
        </w:rPr>
        <w:t>mapa de alineación estratégica</w:t>
      </w:r>
    </w:p>
    <w:p w14:paraId="46FE0DBF" w14:textId="77777777" w:rsidR="00794EB9" w:rsidRPr="00794EB9" w:rsidRDefault="00794EB9" w:rsidP="0018463D">
      <w:pPr>
        <w:pStyle w:val="Prrafodelista"/>
        <w:numPr>
          <w:ilvl w:val="0"/>
          <w:numId w:val="17"/>
        </w:numPr>
        <w:jc w:val="both"/>
        <w:textDirection w:val="btLr"/>
        <w:rPr>
          <w:rFonts w:ascii="Arial" w:hAnsi="Arial" w:cs="Arial"/>
          <w:sz w:val="22"/>
          <w:szCs w:val="22"/>
          <w:lang w:eastAsia="es-MX"/>
        </w:rPr>
      </w:pPr>
      <w:r w:rsidRPr="00794EB9">
        <w:rPr>
          <w:rFonts w:ascii="Arial" w:hAnsi="Arial" w:cs="Arial"/>
          <w:sz w:val="22"/>
          <w:szCs w:val="22"/>
          <w:lang w:eastAsia="es-MX"/>
        </w:rPr>
        <w:t xml:space="preserve">La conformación de una </w:t>
      </w:r>
      <w:r w:rsidRPr="00794EB9">
        <w:rPr>
          <w:rFonts w:ascii="Arial" w:hAnsi="Arial" w:cs="Arial"/>
          <w:b/>
          <w:i/>
          <w:sz w:val="22"/>
          <w:szCs w:val="22"/>
          <w:lang w:eastAsia="es-MX"/>
        </w:rPr>
        <w:t xml:space="preserve">gráfica de cultura organizacional </w:t>
      </w:r>
      <w:r w:rsidRPr="00794EB9">
        <w:rPr>
          <w:rFonts w:ascii="Arial" w:hAnsi="Arial" w:cs="Arial"/>
          <w:sz w:val="22"/>
          <w:szCs w:val="22"/>
          <w:lang w:eastAsia="es-MX"/>
        </w:rPr>
        <w:t>que considera distintos tipos de cultura en los que se puede inscribir una organización como lo es la administración pública</w:t>
      </w:r>
    </w:p>
    <w:p w14:paraId="1B622B09" w14:textId="77777777" w:rsidR="00794EB9" w:rsidRPr="00794EB9" w:rsidRDefault="00794EB9" w:rsidP="0018463D">
      <w:pPr>
        <w:pStyle w:val="Prrafodelista"/>
        <w:numPr>
          <w:ilvl w:val="0"/>
          <w:numId w:val="17"/>
        </w:numPr>
        <w:jc w:val="both"/>
        <w:textDirection w:val="btLr"/>
        <w:rPr>
          <w:rFonts w:ascii="Arial" w:hAnsi="Arial" w:cs="Arial"/>
          <w:b/>
          <w:i/>
          <w:sz w:val="22"/>
          <w:szCs w:val="22"/>
          <w:lang w:eastAsia="es-MX"/>
        </w:rPr>
      </w:pPr>
      <w:r w:rsidRPr="00794EB9">
        <w:rPr>
          <w:rFonts w:ascii="Arial" w:hAnsi="Arial" w:cs="Arial"/>
          <w:sz w:val="22"/>
          <w:szCs w:val="22"/>
          <w:lang w:eastAsia="es-MX"/>
        </w:rPr>
        <w:t xml:space="preserve">El monitoreo e impacto de los programas, proyectos y acciones en el marco de los </w:t>
      </w:r>
      <w:r w:rsidRPr="00794EB9">
        <w:rPr>
          <w:rFonts w:ascii="Arial" w:hAnsi="Arial" w:cs="Arial"/>
          <w:b/>
          <w:i/>
          <w:sz w:val="22"/>
          <w:szCs w:val="22"/>
          <w:lang w:eastAsia="es-MX"/>
        </w:rPr>
        <w:t xml:space="preserve">indicadores de los Objetivos de Desarrollo Sostenible </w:t>
      </w:r>
      <w:r w:rsidRPr="00794EB9">
        <w:rPr>
          <w:rFonts w:ascii="Arial" w:hAnsi="Arial" w:cs="Arial"/>
          <w:sz w:val="22"/>
          <w:szCs w:val="22"/>
          <w:lang w:eastAsia="es-MX"/>
        </w:rPr>
        <w:t>de la Agenda 2030 de la ONU</w:t>
      </w:r>
    </w:p>
    <w:p w14:paraId="2019B929" w14:textId="77777777" w:rsidR="00794EB9" w:rsidRPr="00794EB9" w:rsidRDefault="00794EB9" w:rsidP="0018463D">
      <w:pPr>
        <w:pStyle w:val="Prrafodelista"/>
        <w:numPr>
          <w:ilvl w:val="0"/>
          <w:numId w:val="17"/>
        </w:numPr>
        <w:jc w:val="both"/>
        <w:textDirection w:val="btLr"/>
        <w:rPr>
          <w:rFonts w:ascii="Arial" w:hAnsi="Arial" w:cs="Arial"/>
          <w:sz w:val="22"/>
          <w:szCs w:val="22"/>
          <w:lang w:eastAsia="es-MX"/>
        </w:rPr>
      </w:pPr>
      <w:r w:rsidRPr="00794EB9">
        <w:rPr>
          <w:rFonts w:ascii="Arial" w:hAnsi="Arial" w:cs="Arial"/>
          <w:sz w:val="22"/>
          <w:szCs w:val="22"/>
          <w:lang w:eastAsia="es-MX"/>
        </w:rPr>
        <w:t xml:space="preserve">La implementación de la </w:t>
      </w:r>
      <w:r w:rsidRPr="00794EB9">
        <w:rPr>
          <w:rFonts w:ascii="Arial" w:hAnsi="Arial" w:cs="Arial"/>
          <w:b/>
          <w:i/>
          <w:sz w:val="22"/>
          <w:szCs w:val="22"/>
          <w:lang w:eastAsia="es-MX"/>
        </w:rPr>
        <w:t xml:space="preserve">metodología del marco lógico </w:t>
      </w:r>
      <w:r w:rsidRPr="00794EB9">
        <w:rPr>
          <w:rFonts w:ascii="Arial" w:hAnsi="Arial" w:cs="Arial"/>
          <w:sz w:val="22"/>
          <w:szCs w:val="22"/>
          <w:lang w:eastAsia="es-MX"/>
        </w:rPr>
        <w:t>para el seguimiento y evaluación de los programas y proyectos con un enfoque de gestión por resultados, que considera los objetivos de los programas, así como los indicadores, las metas, los medios de verificación y supuestos.</w:t>
      </w:r>
    </w:p>
    <w:p w14:paraId="15E118EA" w14:textId="77777777" w:rsidR="00794EB9" w:rsidRPr="00794EB9" w:rsidRDefault="00794EB9" w:rsidP="00794EB9">
      <w:pPr>
        <w:pStyle w:val="Prrafodelista"/>
        <w:jc w:val="both"/>
        <w:rPr>
          <w:rFonts w:ascii="Arial" w:hAnsi="Arial" w:cs="Arial"/>
          <w:sz w:val="22"/>
          <w:szCs w:val="22"/>
          <w:lang w:eastAsia="es-MX"/>
        </w:rPr>
      </w:pPr>
    </w:p>
    <w:p w14:paraId="77857344" w14:textId="77777777" w:rsidR="00794EB9" w:rsidRPr="00794EB9" w:rsidRDefault="00794EB9" w:rsidP="00794EB9">
      <w:pPr>
        <w:jc w:val="both"/>
        <w:rPr>
          <w:rFonts w:ascii="Arial" w:hAnsi="Arial" w:cs="Arial"/>
          <w:iCs/>
          <w:sz w:val="22"/>
          <w:szCs w:val="22"/>
          <w:lang w:eastAsia="es-MX"/>
        </w:rPr>
      </w:pPr>
      <w:r w:rsidRPr="00794EB9">
        <w:rPr>
          <w:rFonts w:ascii="Arial" w:hAnsi="Arial" w:cs="Arial"/>
          <w:iCs/>
          <w:sz w:val="22"/>
          <w:szCs w:val="22"/>
          <w:lang w:eastAsia="es-MX"/>
        </w:rPr>
        <w:t xml:space="preserve">De manera particular, el modelo permitirá impulsar la implementación de </w:t>
      </w:r>
      <w:r w:rsidRPr="00794EB9">
        <w:rPr>
          <w:rFonts w:ascii="Arial" w:hAnsi="Arial" w:cs="Arial"/>
          <w:b/>
          <w:iCs/>
          <w:sz w:val="22"/>
          <w:szCs w:val="22"/>
          <w:lang w:eastAsia="es-MX"/>
        </w:rPr>
        <w:t>11 programas derivados,</w:t>
      </w:r>
      <w:r w:rsidRPr="00794EB9">
        <w:rPr>
          <w:rFonts w:ascii="Arial" w:hAnsi="Arial" w:cs="Arial"/>
          <w:iCs/>
          <w:sz w:val="22"/>
          <w:szCs w:val="22"/>
          <w:lang w:eastAsia="es-MX"/>
        </w:rPr>
        <w:t xml:space="preserve"> bajo un esquema de administración y gestión de proyectos:</w:t>
      </w:r>
    </w:p>
    <w:p w14:paraId="55A3E2A0" w14:textId="77777777" w:rsidR="00794EB9" w:rsidRPr="00794EB9" w:rsidRDefault="00794EB9" w:rsidP="00794EB9">
      <w:pPr>
        <w:jc w:val="both"/>
        <w:rPr>
          <w:rFonts w:ascii="Arial" w:hAnsi="Arial" w:cs="Arial"/>
          <w:iCs/>
          <w:sz w:val="22"/>
          <w:szCs w:val="22"/>
          <w:lang w:eastAsia="es-MX"/>
        </w:rPr>
      </w:pPr>
    </w:p>
    <w:p w14:paraId="0B39F5C3"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VT1. Gobierno Cercano 24/7</w:t>
      </w:r>
    </w:p>
    <w:p w14:paraId="4995E0F4"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VT2. Movilidad Segura</w:t>
      </w:r>
    </w:p>
    <w:p w14:paraId="15E3C370"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 xml:space="preserve">Programa VT3. Nuevo Modelo de Seguridad * </w:t>
      </w:r>
      <w:r w:rsidRPr="00794EB9">
        <w:rPr>
          <w:rStyle w:val="Refdenotaalpie"/>
          <w:rFonts w:ascii="Arial" w:hAnsi="Arial" w:cs="Arial"/>
          <w:iCs/>
          <w:sz w:val="22"/>
          <w:szCs w:val="22"/>
          <w:lang w:eastAsia="es-MX"/>
        </w:rPr>
        <w:footnoteReference w:id="3"/>
      </w:r>
    </w:p>
    <w:p w14:paraId="5DCD6E83"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VT4. León Ciudad Emoción</w:t>
      </w:r>
    </w:p>
    <w:p w14:paraId="2D1574BA"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VS1. León Verde</w:t>
      </w:r>
    </w:p>
    <w:p w14:paraId="2B2BD4F2"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VS2. León sin hambre</w:t>
      </w:r>
    </w:p>
    <w:p w14:paraId="4B95056E"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VS3. León Saludable</w:t>
      </w:r>
    </w:p>
    <w:p w14:paraId="2EFE2BAC"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VS4. León para todos</w:t>
      </w:r>
    </w:p>
    <w:p w14:paraId="67DE2FBC"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VM1. Salir adelante</w:t>
      </w:r>
    </w:p>
    <w:p w14:paraId="51DA3FB9"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VM2. León de Oportunidades</w:t>
      </w:r>
    </w:p>
    <w:p w14:paraId="3CCB82C9"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VM3. León 450</w:t>
      </w:r>
    </w:p>
    <w:p w14:paraId="6665260B" w14:textId="77777777" w:rsidR="00794EB9" w:rsidRPr="00794EB9" w:rsidRDefault="00794EB9" w:rsidP="00794EB9">
      <w:pPr>
        <w:jc w:val="both"/>
        <w:rPr>
          <w:rFonts w:ascii="Arial" w:hAnsi="Arial" w:cs="Arial"/>
          <w:iCs/>
          <w:sz w:val="22"/>
          <w:szCs w:val="22"/>
          <w:lang w:eastAsia="es-MX"/>
        </w:rPr>
      </w:pPr>
    </w:p>
    <w:p w14:paraId="517169B5" w14:textId="77777777" w:rsidR="00794EB9" w:rsidRPr="00794EB9" w:rsidRDefault="00794EB9" w:rsidP="00794EB9">
      <w:pPr>
        <w:jc w:val="both"/>
        <w:rPr>
          <w:rFonts w:ascii="Arial" w:hAnsi="Arial" w:cs="Arial"/>
          <w:i/>
          <w:iCs/>
          <w:sz w:val="22"/>
          <w:szCs w:val="22"/>
          <w:u w:val="single"/>
          <w:lang w:eastAsia="es-MX"/>
        </w:rPr>
      </w:pPr>
      <w:r w:rsidRPr="00794EB9">
        <w:rPr>
          <w:rFonts w:ascii="Arial" w:hAnsi="Arial" w:cs="Arial"/>
          <w:i/>
          <w:iCs/>
          <w:sz w:val="22"/>
          <w:szCs w:val="22"/>
          <w:u w:val="single"/>
          <w:lang w:eastAsia="es-MX"/>
        </w:rPr>
        <w:t>(*3 Como parte de este programa, se considera la elaboración del PROGRAMA PARA LA PREVENCIÓN SOCIAL DE LA VIOLENCIA Y LA DELINCUENCIA DEL MUNICIPIO DE LEÓN, que se desprende de lo establecido en la LEY GENERAL PARA LA PREVENCIÓN SOCIAL DE LA VIOLENCIA Y LA DELINCUENCIA)</w:t>
      </w:r>
    </w:p>
    <w:p w14:paraId="06F12C4F" w14:textId="77777777" w:rsidR="00794EB9" w:rsidRPr="00794EB9" w:rsidRDefault="00794EB9" w:rsidP="00794EB9">
      <w:pPr>
        <w:pStyle w:val="TtuloPG2"/>
        <w:ind w:leftChars="0" w:firstLineChars="0" w:firstLine="0"/>
        <w:jc w:val="both"/>
        <w:rPr>
          <w:color w:val="auto"/>
          <w:sz w:val="22"/>
          <w:szCs w:val="22"/>
        </w:rPr>
      </w:pPr>
    </w:p>
    <w:p w14:paraId="6D3D8739" w14:textId="77777777" w:rsidR="00794EB9" w:rsidRPr="00794EB9" w:rsidRDefault="00794EB9" w:rsidP="00794EB9">
      <w:pPr>
        <w:pStyle w:val="TtuloPG2"/>
        <w:ind w:leftChars="0" w:left="2"/>
        <w:jc w:val="both"/>
        <w:rPr>
          <w:color w:val="auto"/>
          <w:sz w:val="22"/>
          <w:szCs w:val="22"/>
        </w:rPr>
      </w:pPr>
      <w:r w:rsidRPr="00794EB9">
        <w:rPr>
          <w:color w:val="auto"/>
          <w:sz w:val="22"/>
          <w:szCs w:val="22"/>
        </w:rPr>
        <w:t>SEGUIMIENTO DE INDICADORES DE GESTIÓN Y METAS</w:t>
      </w:r>
    </w:p>
    <w:p w14:paraId="6C797C35" w14:textId="77777777" w:rsidR="00794EB9" w:rsidRPr="00794EB9" w:rsidRDefault="00794EB9" w:rsidP="00794EB9">
      <w:pPr>
        <w:pStyle w:val="TtuloPG2"/>
        <w:ind w:leftChars="0" w:left="2"/>
        <w:jc w:val="both"/>
        <w:rPr>
          <w:color w:val="auto"/>
          <w:sz w:val="22"/>
          <w:szCs w:val="22"/>
        </w:rPr>
      </w:pPr>
    </w:p>
    <w:p w14:paraId="0B9EE9AE" w14:textId="77777777" w:rsidR="00794EB9" w:rsidRPr="00794EB9" w:rsidRDefault="00794EB9" w:rsidP="00794EB9">
      <w:pPr>
        <w:jc w:val="both"/>
        <w:rPr>
          <w:rFonts w:ascii="Arial" w:hAnsi="Arial" w:cs="Arial"/>
          <w:i/>
          <w:sz w:val="22"/>
          <w:szCs w:val="22"/>
        </w:rPr>
      </w:pPr>
      <w:r w:rsidRPr="00794EB9">
        <w:rPr>
          <w:rFonts w:ascii="Arial" w:hAnsi="Arial" w:cs="Arial"/>
          <w:sz w:val="22"/>
          <w:szCs w:val="22"/>
        </w:rPr>
        <w:t xml:space="preserve">El proceso de seguimiento estará a cargo de la Dirección General de Gestión Gubernamental y se realizará de conformidad con el artículo 10 del Reglamento Interior de la Administración Pública Municipal de León, Guanajuato </w:t>
      </w:r>
      <w:r w:rsidRPr="00794EB9">
        <w:rPr>
          <w:rFonts w:ascii="Arial" w:hAnsi="Arial" w:cs="Arial"/>
          <w:i/>
          <w:sz w:val="22"/>
          <w:szCs w:val="22"/>
        </w:rPr>
        <w:t>“para coordinar y dar seguimiento a los avances, resultados y cumplimiento de los objetivos del Programa de Gobierno”.</w:t>
      </w:r>
    </w:p>
    <w:p w14:paraId="6A776564" w14:textId="77777777" w:rsidR="00794EB9" w:rsidRPr="00794EB9" w:rsidRDefault="00794EB9" w:rsidP="00794EB9">
      <w:pPr>
        <w:jc w:val="both"/>
        <w:rPr>
          <w:rFonts w:ascii="Arial" w:hAnsi="Arial" w:cs="Arial"/>
          <w:sz w:val="22"/>
          <w:szCs w:val="22"/>
        </w:rPr>
      </w:pPr>
    </w:p>
    <w:p w14:paraId="01799B7A" w14:textId="77777777" w:rsidR="00794EB9" w:rsidRPr="00794EB9" w:rsidRDefault="00794EB9" w:rsidP="00794EB9">
      <w:pPr>
        <w:jc w:val="both"/>
        <w:rPr>
          <w:rFonts w:ascii="Arial" w:hAnsi="Arial" w:cs="Arial"/>
          <w:i/>
          <w:sz w:val="22"/>
          <w:szCs w:val="22"/>
        </w:rPr>
      </w:pPr>
      <w:r w:rsidRPr="00794EB9">
        <w:rPr>
          <w:rFonts w:ascii="Arial" w:hAnsi="Arial" w:cs="Arial"/>
          <w:sz w:val="22"/>
          <w:szCs w:val="22"/>
        </w:rPr>
        <w:t xml:space="preserve">Adicionalmente, considera lo establecido en el artículo 11, fracciones II y III, en las que se establece que dicho seguimiento se realizará a partir del diseño e implementación </w:t>
      </w:r>
      <w:r w:rsidRPr="00794EB9">
        <w:rPr>
          <w:rFonts w:ascii="Arial" w:hAnsi="Arial" w:cs="Arial"/>
          <w:i/>
          <w:sz w:val="22"/>
          <w:szCs w:val="22"/>
        </w:rPr>
        <w:t xml:space="preserve">de “herramientas para monitorear el avance de su cumplimiento y proponer estrategias de </w:t>
      </w:r>
      <w:r w:rsidRPr="00794EB9">
        <w:rPr>
          <w:rFonts w:ascii="Arial" w:hAnsi="Arial" w:cs="Arial"/>
          <w:i/>
          <w:sz w:val="22"/>
          <w:szCs w:val="22"/>
        </w:rPr>
        <w:lastRenderedPageBreak/>
        <w:t>carácter general que permitan eficientar el trabajo de las dependencias”</w:t>
      </w:r>
      <w:r w:rsidRPr="00794EB9">
        <w:rPr>
          <w:rFonts w:ascii="Arial" w:hAnsi="Arial" w:cs="Arial"/>
          <w:sz w:val="22"/>
          <w:szCs w:val="22"/>
        </w:rPr>
        <w:t xml:space="preserve">, además de </w:t>
      </w:r>
      <w:r w:rsidRPr="00794EB9">
        <w:rPr>
          <w:rFonts w:ascii="Arial" w:hAnsi="Arial" w:cs="Arial"/>
          <w:i/>
          <w:sz w:val="22"/>
          <w:szCs w:val="22"/>
        </w:rPr>
        <w:t>“monitorear y dar seguimiento a los avances, resultados y cumplimiento de los objetivos del Programa de Gobierno”.</w:t>
      </w:r>
    </w:p>
    <w:p w14:paraId="314E4B3F" w14:textId="77777777" w:rsidR="00794EB9" w:rsidRPr="00794EB9" w:rsidRDefault="00794EB9" w:rsidP="00794EB9">
      <w:pPr>
        <w:jc w:val="both"/>
        <w:rPr>
          <w:rFonts w:ascii="Arial" w:hAnsi="Arial" w:cs="Arial"/>
          <w:sz w:val="22"/>
          <w:szCs w:val="22"/>
        </w:rPr>
      </w:pPr>
    </w:p>
    <w:p w14:paraId="23A98502"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En ese sentido, el proceso considera el seguimiento en la plataforma denominada SISPbR en la que se registrarán los contenidos del planteamiento estratégico del presente programa de gobierno, organizado por:</w:t>
      </w:r>
    </w:p>
    <w:p w14:paraId="396069E4" w14:textId="77777777" w:rsidR="00794EB9" w:rsidRPr="00794EB9" w:rsidRDefault="00794EB9" w:rsidP="00794EB9">
      <w:pPr>
        <w:jc w:val="both"/>
        <w:rPr>
          <w:rFonts w:ascii="Arial" w:hAnsi="Arial" w:cs="Arial"/>
          <w:sz w:val="22"/>
          <w:szCs w:val="22"/>
        </w:rPr>
      </w:pPr>
    </w:p>
    <w:p w14:paraId="42CB2EF3" w14:textId="77777777" w:rsidR="00794EB9" w:rsidRPr="00794EB9" w:rsidRDefault="00794EB9" w:rsidP="00794EB9">
      <w:pPr>
        <w:ind w:left="1440" w:firstLine="720"/>
        <w:jc w:val="both"/>
        <w:rPr>
          <w:rFonts w:ascii="Arial" w:hAnsi="Arial" w:cs="Arial"/>
          <w:b/>
          <w:sz w:val="22"/>
          <w:szCs w:val="22"/>
        </w:rPr>
      </w:pPr>
      <w:r w:rsidRPr="00794EB9">
        <w:rPr>
          <w:rFonts w:ascii="Arial" w:hAnsi="Arial" w:cs="Arial"/>
          <w:b/>
          <w:sz w:val="22"/>
          <w:szCs w:val="22"/>
        </w:rPr>
        <w:t>Programas derivados</w:t>
      </w:r>
    </w:p>
    <w:p w14:paraId="07D4FDA4" w14:textId="77777777" w:rsidR="00794EB9" w:rsidRPr="00794EB9" w:rsidRDefault="00794EB9" w:rsidP="00794EB9">
      <w:pPr>
        <w:ind w:left="1440" w:firstLine="720"/>
        <w:jc w:val="both"/>
        <w:rPr>
          <w:rFonts w:ascii="Arial" w:hAnsi="Arial" w:cs="Arial"/>
          <w:sz w:val="22"/>
          <w:szCs w:val="22"/>
        </w:rPr>
      </w:pPr>
      <w:r w:rsidRPr="00794EB9">
        <w:rPr>
          <w:rFonts w:ascii="Arial" w:hAnsi="Arial" w:cs="Arial"/>
          <w:sz w:val="22"/>
          <w:szCs w:val="22"/>
        </w:rPr>
        <w:t>Objetivos de los programas</w:t>
      </w:r>
    </w:p>
    <w:p w14:paraId="11133C7F" w14:textId="77777777" w:rsidR="00794EB9" w:rsidRPr="00794EB9" w:rsidRDefault="00794EB9" w:rsidP="00794EB9">
      <w:pPr>
        <w:ind w:left="2160" w:firstLine="720"/>
        <w:jc w:val="both"/>
        <w:rPr>
          <w:rFonts w:ascii="Arial" w:hAnsi="Arial" w:cs="Arial"/>
          <w:b/>
          <w:sz w:val="22"/>
          <w:szCs w:val="22"/>
        </w:rPr>
      </w:pPr>
      <w:r w:rsidRPr="00794EB9">
        <w:rPr>
          <w:rFonts w:ascii="Arial" w:hAnsi="Arial" w:cs="Arial"/>
          <w:b/>
          <w:sz w:val="22"/>
          <w:szCs w:val="22"/>
        </w:rPr>
        <w:t>Proyectos</w:t>
      </w:r>
    </w:p>
    <w:p w14:paraId="2A04854B" w14:textId="77777777" w:rsidR="00794EB9" w:rsidRPr="00794EB9" w:rsidRDefault="00794EB9" w:rsidP="00794EB9">
      <w:pPr>
        <w:ind w:left="2160" w:firstLine="720"/>
        <w:jc w:val="both"/>
        <w:rPr>
          <w:rFonts w:ascii="Arial" w:hAnsi="Arial" w:cs="Arial"/>
          <w:sz w:val="22"/>
          <w:szCs w:val="22"/>
        </w:rPr>
      </w:pPr>
      <w:r w:rsidRPr="00794EB9">
        <w:rPr>
          <w:rFonts w:ascii="Arial" w:hAnsi="Arial" w:cs="Arial"/>
          <w:sz w:val="22"/>
          <w:szCs w:val="22"/>
        </w:rPr>
        <w:t xml:space="preserve">Objetivos </w:t>
      </w:r>
    </w:p>
    <w:p w14:paraId="0A7A47B8" w14:textId="77777777" w:rsidR="00794EB9" w:rsidRPr="00794EB9" w:rsidRDefault="00794EB9" w:rsidP="00794EB9">
      <w:pPr>
        <w:ind w:left="2880" w:firstLine="720"/>
        <w:jc w:val="both"/>
        <w:rPr>
          <w:rFonts w:ascii="Arial" w:hAnsi="Arial" w:cs="Arial"/>
          <w:b/>
          <w:sz w:val="22"/>
          <w:szCs w:val="22"/>
          <w:u w:val="single"/>
        </w:rPr>
      </w:pPr>
      <w:r w:rsidRPr="00794EB9">
        <w:rPr>
          <w:rFonts w:ascii="Arial" w:hAnsi="Arial" w:cs="Arial"/>
          <w:b/>
          <w:sz w:val="22"/>
          <w:szCs w:val="22"/>
          <w:u w:val="single"/>
        </w:rPr>
        <w:t>Acciones</w:t>
      </w:r>
    </w:p>
    <w:p w14:paraId="101E1D89" w14:textId="77777777" w:rsidR="00794EB9" w:rsidRPr="00794EB9" w:rsidRDefault="00794EB9" w:rsidP="00794EB9">
      <w:pPr>
        <w:ind w:left="2880" w:firstLine="720"/>
        <w:jc w:val="both"/>
        <w:rPr>
          <w:rFonts w:ascii="Arial" w:hAnsi="Arial" w:cs="Arial"/>
          <w:b/>
          <w:sz w:val="22"/>
          <w:szCs w:val="22"/>
          <w:u w:val="single"/>
        </w:rPr>
      </w:pPr>
      <w:r w:rsidRPr="00794EB9">
        <w:rPr>
          <w:rFonts w:ascii="Arial" w:hAnsi="Arial" w:cs="Arial"/>
          <w:b/>
          <w:sz w:val="22"/>
          <w:szCs w:val="22"/>
          <w:u w:val="single"/>
        </w:rPr>
        <w:t xml:space="preserve">Metas </w:t>
      </w:r>
    </w:p>
    <w:p w14:paraId="6E5FD361" w14:textId="77777777" w:rsidR="00794EB9" w:rsidRPr="00794EB9" w:rsidRDefault="00794EB9" w:rsidP="00794EB9">
      <w:pPr>
        <w:ind w:left="2880" w:firstLine="720"/>
        <w:jc w:val="both"/>
        <w:rPr>
          <w:rFonts w:ascii="Arial" w:hAnsi="Arial" w:cs="Arial"/>
          <w:b/>
          <w:sz w:val="22"/>
          <w:szCs w:val="22"/>
          <w:u w:val="single"/>
        </w:rPr>
      </w:pPr>
      <w:r w:rsidRPr="00794EB9">
        <w:rPr>
          <w:rFonts w:ascii="Arial" w:hAnsi="Arial" w:cs="Arial"/>
          <w:b/>
          <w:sz w:val="22"/>
          <w:szCs w:val="22"/>
          <w:u w:val="single"/>
        </w:rPr>
        <w:t>Indicadores</w:t>
      </w:r>
    </w:p>
    <w:p w14:paraId="6D3D1C6F" w14:textId="77777777" w:rsidR="00794EB9" w:rsidRPr="00794EB9" w:rsidRDefault="00794EB9" w:rsidP="00794EB9">
      <w:pPr>
        <w:ind w:left="2160" w:firstLine="720"/>
        <w:jc w:val="both"/>
        <w:rPr>
          <w:rFonts w:ascii="Arial" w:hAnsi="Arial" w:cs="Arial"/>
          <w:sz w:val="22"/>
          <w:szCs w:val="22"/>
        </w:rPr>
      </w:pPr>
    </w:p>
    <w:p w14:paraId="5C78B340"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La plataforma de seguimiento permitirá monitorear de manera mensual el avance y cumplimiento de los </w:t>
      </w:r>
      <w:r w:rsidRPr="00794EB9">
        <w:rPr>
          <w:rFonts w:ascii="Arial" w:hAnsi="Arial" w:cs="Arial"/>
          <w:b/>
          <w:sz w:val="22"/>
          <w:szCs w:val="22"/>
        </w:rPr>
        <w:t>indicadores de gestión y metas asociadas a las acciones</w:t>
      </w:r>
      <w:r w:rsidRPr="00794EB9">
        <w:rPr>
          <w:rFonts w:ascii="Arial" w:hAnsi="Arial" w:cs="Arial"/>
          <w:sz w:val="22"/>
          <w:szCs w:val="22"/>
        </w:rPr>
        <w:t>.</w:t>
      </w:r>
    </w:p>
    <w:p w14:paraId="1D8191DE" w14:textId="77777777" w:rsidR="00794EB9" w:rsidRPr="00794EB9" w:rsidRDefault="00794EB9" w:rsidP="00794EB9">
      <w:pPr>
        <w:jc w:val="both"/>
        <w:rPr>
          <w:rFonts w:ascii="Arial" w:hAnsi="Arial" w:cs="Arial"/>
          <w:sz w:val="22"/>
          <w:szCs w:val="22"/>
        </w:rPr>
      </w:pPr>
    </w:p>
    <w:p w14:paraId="0EC5AF8B"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Cada una de las acciones estará ligada a las dependencias y entidades de la administración pública municipal que son responsables de su ejecución e implementación.</w:t>
      </w:r>
    </w:p>
    <w:p w14:paraId="50EC1C52" w14:textId="77777777" w:rsidR="00794EB9" w:rsidRPr="00794EB9" w:rsidRDefault="00794EB9" w:rsidP="00794EB9">
      <w:pPr>
        <w:jc w:val="both"/>
        <w:rPr>
          <w:rFonts w:ascii="Arial" w:hAnsi="Arial" w:cs="Arial"/>
          <w:sz w:val="22"/>
          <w:szCs w:val="22"/>
        </w:rPr>
      </w:pPr>
    </w:p>
    <w:p w14:paraId="0D0751CE"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La plataforma permitirá contar con reportes parciales o sectoriales sobre el avance de las acciones estratégicas del programa de gobierno.</w:t>
      </w:r>
    </w:p>
    <w:p w14:paraId="6CDA0168" w14:textId="77777777" w:rsidR="00794EB9" w:rsidRPr="00794EB9" w:rsidRDefault="00794EB9" w:rsidP="00794EB9">
      <w:pPr>
        <w:jc w:val="both"/>
        <w:rPr>
          <w:rFonts w:ascii="Arial" w:hAnsi="Arial" w:cs="Arial"/>
          <w:sz w:val="22"/>
          <w:szCs w:val="22"/>
        </w:rPr>
      </w:pPr>
    </w:p>
    <w:p w14:paraId="0274EE1E"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Con este enfoque de seguimiento y monitoreo, se dará cumplimiento a lo establecido en el artículo 11, fracción IV, en relación a </w:t>
      </w:r>
      <w:r w:rsidRPr="00794EB9">
        <w:rPr>
          <w:rFonts w:ascii="Arial" w:hAnsi="Arial" w:cs="Arial"/>
          <w:i/>
          <w:sz w:val="22"/>
          <w:szCs w:val="22"/>
        </w:rPr>
        <w:t>“supervisar, analizar y evaluar el cumplimiento de los indicadores de gestión, así como el impacto de los programas y acciones contenidas en el Programa de Gobierno Municipal”</w:t>
      </w:r>
      <w:r w:rsidRPr="00794EB9">
        <w:rPr>
          <w:rFonts w:ascii="Arial" w:hAnsi="Arial" w:cs="Arial"/>
          <w:sz w:val="22"/>
          <w:szCs w:val="22"/>
        </w:rPr>
        <w:t xml:space="preserve"> a cargo de la Dirección General de Gestión Gubernamental.</w:t>
      </w:r>
    </w:p>
    <w:p w14:paraId="5ADFA7C6" w14:textId="77777777" w:rsidR="00794EB9" w:rsidRPr="00794EB9" w:rsidRDefault="00794EB9" w:rsidP="00794EB9">
      <w:pPr>
        <w:jc w:val="both"/>
        <w:rPr>
          <w:rFonts w:ascii="Arial" w:hAnsi="Arial" w:cs="Arial"/>
          <w:sz w:val="22"/>
          <w:szCs w:val="22"/>
        </w:rPr>
      </w:pPr>
    </w:p>
    <w:p w14:paraId="51343D95"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El proceso de seguimiento estará orientado a los indicadores de gestión y sus metas anuales correspondientes.</w:t>
      </w:r>
    </w:p>
    <w:p w14:paraId="5C2B6820" w14:textId="77777777" w:rsidR="00794EB9" w:rsidRPr="00794EB9" w:rsidRDefault="00794EB9" w:rsidP="00794EB9">
      <w:pPr>
        <w:jc w:val="both"/>
        <w:rPr>
          <w:rFonts w:ascii="Arial" w:hAnsi="Arial" w:cs="Arial"/>
          <w:sz w:val="22"/>
          <w:szCs w:val="22"/>
        </w:rPr>
      </w:pPr>
    </w:p>
    <w:p w14:paraId="08467C27"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Estos indicadores están asociados a las acciones, enmarcadas en proyectos y en 11 programas, distribuidos en las tres banderas.</w:t>
      </w:r>
    </w:p>
    <w:p w14:paraId="1315A68F" w14:textId="77777777" w:rsidR="00794EB9" w:rsidRPr="00794EB9" w:rsidRDefault="00794EB9" w:rsidP="00794EB9">
      <w:pPr>
        <w:jc w:val="both"/>
        <w:rPr>
          <w:rFonts w:ascii="Arial" w:hAnsi="Arial" w:cs="Arial"/>
          <w:b/>
          <w:bCs/>
          <w:sz w:val="22"/>
          <w:szCs w:val="22"/>
        </w:rPr>
      </w:pPr>
    </w:p>
    <w:p w14:paraId="40A36CE1" w14:textId="77777777" w:rsidR="00794EB9" w:rsidRPr="00794EB9" w:rsidRDefault="00794EB9" w:rsidP="00794EB9">
      <w:pPr>
        <w:jc w:val="both"/>
        <w:rPr>
          <w:rFonts w:ascii="Arial" w:hAnsi="Arial" w:cs="Arial"/>
          <w:b/>
          <w:bCs/>
          <w:sz w:val="22"/>
          <w:szCs w:val="22"/>
        </w:rPr>
      </w:pPr>
    </w:p>
    <w:p w14:paraId="5894BEAA" w14:textId="77777777" w:rsidR="00794EB9" w:rsidRPr="00794EB9" w:rsidRDefault="00794EB9" w:rsidP="00794EB9">
      <w:pPr>
        <w:jc w:val="both"/>
        <w:rPr>
          <w:rFonts w:ascii="Arial" w:hAnsi="Arial" w:cs="Arial"/>
          <w:b/>
          <w:bCs/>
          <w:sz w:val="22"/>
          <w:szCs w:val="22"/>
        </w:rPr>
      </w:pPr>
      <w:r w:rsidRPr="00794EB9">
        <w:rPr>
          <w:rFonts w:ascii="Arial" w:hAnsi="Arial" w:cs="Arial"/>
          <w:b/>
          <w:bCs/>
          <w:noProof/>
          <w:sz w:val="22"/>
          <w:szCs w:val="22"/>
          <w:lang w:val="es-MX" w:eastAsia="es-MX"/>
        </w:rPr>
        <w:lastRenderedPageBreak/>
        <w:drawing>
          <wp:inline distT="0" distB="0" distL="0" distR="0" wp14:anchorId="748616EC" wp14:editId="572A417C">
            <wp:extent cx="5560304" cy="2655667"/>
            <wp:effectExtent l="0" t="0" r="254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BEBA8EAE-BF5A-486C-A8C5-ECC9F3942E4B}">
                          <a14:imgProps xmlns:a14="http://schemas.microsoft.com/office/drawing/2010/main">
                            <a14:imgLayer r:embed="rId101">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5560304" cy="2655667"/>
                    </a:xfrm>
                    <a:prstGeom prst="rect">
                      <a:avLst/>
                    </a:prstGeom>
                    <a:noFill/>
                  </pic:spPr>
                </pic:pic>
              </a:graphicData>
            </a:graphic>
          </wp:inline>
        </w:drawing>
      </w:r>
    </w:p>
    <w:p w14:paraId="5D63722C" w14:textId="77777777" w:rsidR="00794EB9" w:rsidRPr="00794EB9" w:rsidRDefault="00794EB9" w:rsidP="00794EB9">
      <w:pPr>
        <w:jc w:val="both"/>
        <w:rPr>
          <w:rFonts w:ascii="Arial" w:hAnsi="Arial" w:cs="Arial"/>
          <w:b/>
          <w:bCs/>
          <w:sz w:val="22"/>
          <w:szCs w:val="22"/>
        </w:rPr>
      </w:pPr>
    </w:p>
    <w:p w14:paraId="4B1FE9D6" w14:textId="77777777" w:rsidR="00794EB9" w:rsidRPr="00794EB9" w:rsidRDefault="00794EB9" w:rsidP="00794EB9">
      <w:pPr>
        <w:pStyle w:val="TtuloPG2"/>
        <w:ind w:left="0"/>
        <w:jc w:val="both"/>
        <w:rPr>
          <w:color w:val="auto"/>
          <w:sz w:val="22"/>
          <w:szCs w:val="22"/>
        </w:rPr>
      </w:pPr>
      <w:r w:rsidRPr="00794EB9">
        <w:rPr>
          <w:color w:val="auto"/>
          <w:sz w:val="22"/>
          <w:szCs w:val="22"/>
        </w:rPr>
        <w:t>EVALUACIÓN DE IMPACTO</w:t>
      </w:r>
    </w:p>
    <w:p w14:paraId="225A8724" w14:textId="77777777" w:rsidR="00794EB9" w:rsidRPr="00794EB9" w:rsidRDefault="00794EB9" w:rsidP="00794EB9">
      <w:pPr>
        <w:jc w:val="both"/>
        <w:rPr>
          <w:rFonts w:ascii="Arial" w:hAnsi="Arial" w:cs="Arial"/>
          <w:sz w:val="22"/>
          <w:szCs w:val="22"/>
        </w:rPr>
      </w:pPr>
    </w:p>
    <w:p w14:paraId="05FF461A"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Este proceso estará orientado a la revisión, valoración y consecuente evaluación del grado de cumplimiento de los </w:t>
      </w:r>
      <w:r w:rsidRPr="00794EB9">
        <w:rPr>
          <w:rFonts w:ascii="Arial" w:hAnsi="Arial" w:cs="Arial"/>
          <w:b/>
          <w:sz w:val="22"/>
          <w:szCs w:val="22"/>
        </w:rPr>
        <w:t>objetivos particulares de los programas derivados</w:t>
      </w:r>
      <w:r w:rsidRPr="00794EB9">
        <w:rPr>
          <w:rFonts w:ascii="Arial" w:hAnsi="Arial" w:cs="Arial"/>
          <w:sz w:val="22"/>
          <w:szCs w:val="22"/>
        </w:rPr>
        <w:t>, a partir de la implementación de los proyectos y sus acciones.</w:t>
      </w:r>
    </w:p>
    <w:p w14:paraId="2D30F4A4" w14:textId="77777777" w:rsidR="00794EB9" w:rsidRPr="00794EB9" w:rsidRDefault="00794EB9" w:rsidP="00794EB9">
      <w:pPr>
        <w:jc w:val="both"/>
        <w:rPr>
          <w:rFonts w:ascii="Arial" w:hAnsi="Arial" w:cs="Arial"/>
          <w:sz w:val="22"/>
          <w:szCs w:val="22"/>
        </w:rPr>
      </w:pPr>
    </w:p>
    <w:p w14:paraId="4A25FCF6"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A su vez, la evaluación de dichos objetivos particulares permitirá contar con un panorama general del impacto o aporte a los tres objetivos generales de las Banderas, así como conocer en qué medida abonan a los objetivos de los instrumentos superiores de planeación y a los compromisos internacionales.</w:t>
      </w:r>
    </w:p>
    <w:p w14:paraId="2E664ADA" w14:textId="77777777" w:rsidR="00794EB9" w:rsidRPr="00794EB9" w:rsidRDefault="00794EB9" w:rsidP="00794EB9">
      <w:pPr>
        <w:jc w:val="both"/>
        <w:rPr>
          <w:rFonts w:ascii="Arial" w:hAnsi="Arial" w:cs="Arial"/>
          <w:bCs/>
          <w:sz w:val="22"/>
          <w:szCs w:val="22"/>
        </w:rPr>
      </w:pPr>
    </w:p>
    <w:p w14:paraId="25524CBD"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El proceso de evaluación considera la alineación de objetivos en los siguientes niveles:</w:t>
      </w:r>
    </w:p>
    <w:p w14:paraId="6156A355" w14:textId="77777777" w:rsidR="00794EB9" w:rsidRPr="00794EB9" w:rsidRDefault="00794EB9" w:rsidP="00794EB9">
      <w:pPr>
        <w:jc w:val="both"/>
        <w:rPr>
          <w:rFonts w:ascii="Arial" w:hAnsi="Arial" w:cs="Arial"/>
          <w:sz w:val="22"/>
          <w:szCs w:val="22"/>
        </w:rPr>
      </w:pPr>
    </w:p>
    <w:p w14:paraId="53C4E851" w14:textId="77777777" w:rsidR="00794EB9" w:rsidRPr="00794EB9" w:rsidRDefault="00794EB9" w:rsidP="00794EB9">
      <w:pPr>
        <w:ind w:left="720"/>
        <w:jc w:val="both"/>
        <w:rPr>
          <w:rFonts w:ascii="Arial" w:hAnsi="Arial" w:cs="Arial"/>
          <w:b/>
          <w:sz w:val="22"/>
          <w:szCs w:val="22"/>
        </w:rPr>
      </w:pPr>
      <w:r w:rsidRPr="00794EB9">
        <w:rPr>
          <w:rFonts w:ascii="Arial" w:hAnsi="Arial" w:cs="Arial"/>
          <w:b/>
          <w:sz w:val="22"/>
          <w:szCs w:val="22"/>
        </w:rPr>
        <w:t>Agenda 2030</w:t>
      </w:r>
    </w:p>
    <w:p w14:paraId="44114F9B" w14:textId="77777777" w:rsidR="00794EB9" w:rsidRPr="00794EB9" w:rsidRDefault="00794EB9" w:rsidP="00794EB9">
      <w:pPr>
        <w:ind w:left="720"/>
        <w:jc w:val="both"/>
        <w:rPr>
          <w:rFonts w:ascii="Arial" w:hAnsi="Arial" w:cs="Arial"/>
          <w:sz w:val="22"/>
          <w:szCs w:val="22"/>
        </w:rPr>
      </w:pPr>
      <w:r w:rsidRPr="00794EB9">
        <w:rPr>
          <w:rFonts w:ascii="Arial" w:hAnsi="Arial" w:cs="Arial"/>
          <w:sz w:val="22"/>
          <w:szCs w:val="22"/>
        </w:rPr>
        <w:t>Objetivos de Desarrollo Sostenible</w:t>
      </w:r>
    </w:p>
    <w:p w14:paraId="6727C187" w14:textId="77777777" w:rsidR="00794EB9" w:rsidRPr="00794EB9" w:rsidRDefault="00794EB9" w:rsidP="00794EB9">
      <w:pPr>
        <w:ind w:left="1440"/>
        <w:jc w:val="both"/>
        <w:rPr>
          <w:rFonts w:ascii="Arial" w:hAnsi="Arial" w:cs="Arial"/>
          <w:b/>
          <w:sz w:val="22"/>
          <w:szCs w:val="22"/>
        </w:rPr>
      </w:pPr>
      <w:r w:rsidRPr="00794EB9">
        <w:rPr>
          <w:rFonts w:ascii="Arial" w:hAnsi="Arial" w:cs="Arial"/>
          <w:b/>
          <w:sz w:val="22"/>
          <w:szCs w:val="22"/>
        </w:rPr>
        <w:t>Plan Estatal de Desarrollo 2040</w:t>
      </w:r>
    </w:p>
    <w:p w14:paraId="7B38382C" w14:textId="77777777" w:rsidR="00794EB9" w:rsidRPr="00794EB9" w:rsidRDefault="00794EB9" w:rsidP="00794EB9">
      <w:pPr>
        <w:ind w:left="720" w:firstLine="720"/>
        <w:jc w:val="both"/>
        <w:rPr>
          <w:rFonts w:ascii="Arial" w:hAnsi="Arial" w:cs="Arial"/>
          <w:sz w:val="22"/>
          <w:szCs w:val="22"/>
        </w:rPr>
      </w:pPr>
      <w:r w:rsidRPr="00794EB9">
        <w:rPr>
          <w:rFonts w:ascii="Arial" w:hAnsi="Arial" w:cs="Arial"/>
          <w:sz w:val="22"/>
          <w:szCs w:val="22"/>
        </w:rPr>
        <w:t>Objetivos de largo plazo</w:t>
      </w:r>
    </w:p>
    <w:p w14:paraId="36CFF1E9" w14:textId="77777777" w:rsidR="00794EB9" w:rsidRPr="00794EB9" w:rsidRDefault="00794EB9" w:rsidP="00794EB9">
      <w:pPr>
        <w:ind w:left="1440"/>
        <w:jc w:val="both"/>
        <w:rPr>
          <w:rFonts w:ascii="Arial" w:hAnsi="Arial" w:cs="Arial"/>
          <w:b/>
          <w:sz w:val="22"/>
          <w:szCs w:val="22"/>
        </w:rPr>
      </w:pPr>
      <w:r w:rsidRPr="00794EB9">
        <w:rPr>
          <w:rFonts w:ascii="Arial" w:hAnsi="Arial" w:cs="Arial"/>
          <w:b/>
          <w:sz w:val="22"/>
          <w:szCs w:val="22"/>
        </w:rPr>
        <w:t>Pilares del PMD 2045</w:t>
      </w:r>
    </w:p>
    <w:p w14:paraId="62805048" w14:textId="77777777" w:rsidR="00794EB9" w:rsidRPr="00794EB9" w:rsidRDefault="00794EB9" w:rsidP="00794EB9">
      <w:pPr>
        <w:ind w:left="1440"/>
        <w:jc w:val="both"/>
        <w:rPr>
          <w:rFonts w:ascii="Arial" w:hAnsi="Arial" w:cs="Arial"/>
          <w:sz w:val="22"/>
          <w:szCs w:val="22"/>
        </w:rPr>
      </w:pPr>
      <w:r w:rsidRPr="00794EB9">
        <w:rPr>
          <w:rFonts w:ascii="Arial" w:hAnsi="Arial" w:cs="Arial"/>
          <w:sz w:val="22"/>
          <w:szCs w:val="22"/>
        </w:rPr>
        <w:t xml:space="preserve">Objetivos </w:t>
      </w:r>
    </w:p>
    <w:p w14:paraId="6F94D5C9" w14:textId="77777777" w:rsidR="00794EB9" w:rsidRPr="00794EB9" w:rsidRDefault="00794EB9" w:rsidP="00794EB9">
      <w:pPr>
        <w:ind w:left="2160"/>
        <w:jc w:val="both"/>
        <w:rPr>
          <w:rFonts w:ascii="Arial" w:hAnsi="Arial" w:cs="Arial"/>
          <w:b/>
          <w:sz w:val="22"/>
          <w:szCs w:val="22"/>
        </w:rPr>
      </w:pPr>
      <w:r w:rsidRPr="00794EB9">
        <w:rPr>
          <w:rFonts w:ascii="Arial" w:hAnsi="Arial" w:cs="Arial"/>
          <w:b/>
          <w:sz w:val="22"/>
          <w:szCs w:val="22"/>
        </w:rPr>
        <w:t>Banderas</w:t>
      </w:r>
    </w:p>
    <w:p w14:paraId="3BDA74FC" w14:textId="77777777" w:rsidR="00794EB9" w:rsidRPr="00794EB9" w:rsidRDefault="00794EB9" w:rsidP="00794EB9">
      <w:pPr>
        <w:ind w:left="2160"/>
        <w:jc w:val="both"/>
        <w:rPr>
          <w:rFonts w:ascii="Arial" w:hAnsi="Arial" w:cs="Arial"/>
          <w:sz w:val="22"/>
          <w:szCs w:val="22"/>
        </w:rPr>
      </w:pPr>
      <w:r w:rsidRPr="00794EB9">
        <w:rPr>
          <w:rFonts w:ascii="Arial" w:hAnsi="Arial" w:cs="Arial"/>
          <w:sz w:val="22"/>
          <w:szCs w:val="22"/>
        </w:rPr>
        <w:t>Objetivos generales</w:t>
      </w:r>
    </w:p>
    <w:p w14:paraId="46C6AFDA" w14:textId="77777777" w:rsidR="00794EB9" w:rsidRPr="00794EB9" w:rsidRDefault="00794EB9" w:rsidP="00794EB9">
      <w:pPr>
        <w:ind w:left="2160" w:firstLine="720"/>
        <w:jc w:val="both"/>
        <w:rPr>
          <w:rFonts w:ascii="Arial" w:hAnsi="Arial" w:cs="Arial"/>
          <w:b/>
          <w:sz w:val="22"/>
          <w:szCs w:val="22"/>
        </w:rPr>
      </w:pPr>
      <w:r w:rsidRPr="00794EB9">
        <w:rPr>
          <w:rFonts w:ascii="Arial" w:hAnsi="Arial" w:cs="Arial"/>
          <w:b/>
          <w:sz w:val="22"/>
          <w:szCs w:val="22"/>
        </w:rPr>
        <w:t>Programas derivados</w:t>
      </w:r>
    </w:p>
    <w:p w14:paraId="4F5522E6" w14:textId="77777777" w:rsidR="00794EB9" w:rsidRPr="00794EB9" w:rsidRDefault="00794EB9" w:rsidP="00794EB9">
      <w:pPr>
        <w:ind w:left="2160" w:firstLine="720"/>
        <w:jc w:val="both"/>
        <w:rPr>
          <w:rFonts w:ascii="Arial" w:hAnsi="Arial" w:cs="Arial"/>
          <w:sz w:val="22"/>
          <w:szCs w:val="22"/>
        </w:rPr>
      </w:pPr>
      <w:r w:rsidRPr="00794EB9">
        <w:rPr>
          <w:rFonts w:ascii="Arial" w:hAnsi="Arial" w:cs="Arial"/>
          <w:sz w:val="22"/>
          <w:szCs w:val="22"/>
        </w:rPr>
        <w:t>Objetivos de los programas</w:t>
      </w:r>
    </w:p>
    <w:p w14:paraId="1028B031" w14:textId="77777777" w:rsidR="00794EB9" w:rsidRPr="00794EB9" w:rsidRDefault="00794EB9" w:rsidP="00794EB9">
      <w:pPr>
        <w:ind w:left="2160" w:firstLine="720"/>
        <w:jc w:val="both"/>
        <w:rPr>
          <w:rFonts w:ascii="Arial" w:hAnsi="Arial" w:cs="Arial"/>
          <w:sz w:val="22"/>
          <w:szCs w:val="22"/>
        </w:rPr>
      </w:pPr>
    </w:p>
    <w:p w14:paraId="03FC0B17" w14:textId="77777777" w:rsidR="00794EB9" w:rsidRPr="00794EB9" w:rsidRDefault="00794EB9" w:rsidP="00794EB9">
      <w:pPr>
        <w:jc w:val="both"/>
        <w:rPr>
          <w:rFonts w:ascii="Arial" w:hAnsi="Arial" w:cs="Arial"/>
          <w:bCs/>
          <w:sz w:val="22"/>
          <w:szCs w:val="22"/>
        </w:rPr>
      </w:pPr>
      <w:r w:rsidRPr="00794EB9">
        <w:rPr>
          <w:rFonts w:ascii="Arial" w:hAnsi="Arial" w:cs="Arial"/>
          <w:noProof/>
          <w:sz w:val="22"/>
          <w:szCs w:val="22"/>
          <w:lang w:val="es-MX" w:eastAsia="es-MX"/>
        </w:rPr>
        <w:lastRenderedPageBreak/>
        <w:drawing>
          <wp:inline distT="0" distB="0" distL="0" distR="0" wp14:anchorId="0B1F25AA" wp14:editId="44F4A8A6">
            <wp:extent cx="5912485" cy="3237085"/>
            <wp:effectExtent l="0" t="0" r="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BEBA8EAE-BF5A-486C-A8C5-ECC9F3942E4B}">
                          <a14:imgProps xmlns:a14="http://schemas.microsoft.com/office/drawing/2010/main">
                            <a14:imgLayer r:embed="rId103">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5912485" cy="3237085"/>
                    </a:xfrm>
                    <a:prstGeom prst="rect">
                      <a:avLst/>
                    </a:prstGeom>
                    <a:noFill/>
                    <a:ln>
                      <a:noFill/>
                    </a:ln>
                  </pic:spPr>
                </pic:pic>
              </a:graphicData>
            </a:graphic>
          </wp:inline>
        </w:drawing>
      </w:r>
    </w:p>
    <w:p w14:paraId="7742292D" w14:textId="77777777" w:rsidR="00794EB9" w:rsidRPr="00794EB9" w:rsidRDefault="00794EB9" w:rsidP="00794EB9">
      <w:pPr>
        <w:jc w:val="both"/>
        <w:rPr>
          <w:rFonts w:ascii="Arial" w:hAnsi="Arial" w:cs="Arial"/>
          <w:b/>
          <w:bCs/>
          <w:sz w:val="22"/>
          <w:szCs w:val="22"/>
        </w:rPr>
      </w:pPr>
    </w:p>
    <w:p w14:paraId="4032898D"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El proceso de evaluación de los objetivos estará a cargo del Instituto Municipal de Planeación (IMPLAN) para conocer el grado de avance o aporte de los programas, proyectos y acciones a los veinte pilares del modelo de desarrollo León hacia el futuro, Visión 2045 en el ámbito municipal, además de su aportación a los Objetivos de Desarrollo Sostenible de la Agenda 2030 de la ONU. </w:t>
      </w:r>
    </w:p>
    <w:p w14:paraId="6DD3B6C5" w14:textId="77777777" w:rsidR="00794EB9" w:rsidRPr="00794EB9" w:rsidRDefault="00794EB9" w:rsidP="00794EB9">
      <w:pPr>
        <w:jc w:val="both"/>
        <w:rPr>
          <w:rFonts w:ascii="Arial" w:hAnsi="Arial" w:cs="Arial"/>
          <w:sz w:val="22"/>
          <w:szCs w:val="22"/>
        </w:rPr>
      </w:pPr>
    </w:p>
    <w:p w14:paraId="6E178785"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El IMPLAN llevará a cabo un proceso de monitoreo en el que se analizarán las métricas y resultados de diversas fuentes nacionales e internacionales que permitan contar con el nivel de avance en los retos y desafíos del municipio de León.</w:t>
      </w:r>
    </w:p>
    <w:p w14:paraId="17B6DF26" w14:textId="77777777" w:rsidR="00794EB9" w:rsidRPr="00794EB9" w:rsidRDefault="00794EB9" w:rsidP="00794EB9">
      <w:pPr>
        <w:jc w:val="both"/>
        <w:rPr>
          <w:rFonts w:ascii="Arial" w:hAnsi="Arial" w:cs="Arial"/>
          <w:sz w:val="22"/>
          <w:szCs w:val="22"/>
        </w:rPr>
      </w:pPr>
    </w:p>
    <w:p w14:paraId="5D9B6296" w14:textId="77777777" w:rsidR="00794EB9" w:rsidRPr="00794EB9" w:rsidRDefault="00794EB9" w:rsidP="00794EB9">
      <w:pPr>
        <w:pStyle w:val="PMDNormal"/>
        <w:ind w:leftChars="0" w:left="2" w:hanging="2"/>
        <w:rPr>
          <w:rFonts w:ascii="Arial" w:hAnsi="Arial" w:cs="Arial"/>
          <w:bCs/>
          <w:color w:val="auto"/>
        </w:rPr>
      </w:pPr>
      <w:r w:rsidRPr="00794EB9">
        <w:rPr>
          <w:rFonts w:ascii="Arial" w:hAnsi="Arial" w:cs="Arial"/>
          <w:color w:val="auto"/>
        </w:rPr>
        <w:t xml:space="preserve">De conformidad con el </w:t>
      </w:r>
      <w:r w:rsidRPr="00794EB9">
        <w:rPr>
          <w:rFonts w:ascii="Arial" w:hAnsi="Arial" w:cs="Arial"/>
          <w:bCs/>
          <w:color w:val="auto"/>
        </w:rPr>
        <w:t xml:space="preserve">artículo 102 </w:t>
      </w:r>
      <w:r w:rsidRPr="00794EB9">
        <w:rPr>
          <w:rFonts w:ascii="Arial" w:hAnsi="Arial" w:cs="Arial"/>
          <w:color w:val="auto"/>
        </w:rPr>
        <w:t xml:space="preserve">de la </w:t>
      </w:r>
      <w:r w:rsidRPr="00794EB9">
        <w:rPr>
          <w:rFonts w:ascii="Arial" w:hAnsi="Arial" w:cs="Arial"/>
          <w:bCs/>
          <w:color w:val="auto"/>
        </w:rPr>
        <w:t>Ley Orgánica Municipal</w:t>
      </w:r>
      <w:r w:rsidRPr="00794EB9">
        <w:rPr>
          <w:rFonts w:ascii="Arial" w:hAnsi="Arial" w:cs="Arial"/>
          <w:color w:val="auto"/>
        </w:rPr>
        <w:t xml:space="preserve"> para el Estado de Guanajuato,</w:t>
      </w:r>
      <w:r w:rsidRPr="00794EB9">
        <w:rPr>
          <w:rFonts w:ascii="Arial" w:hAnsi="Arial" w:cs="Arial"/>
          <w:bCs/>
          <w:color w:val="auto"/>
        </w:rPr>
        <w:t xml:space="preserve"> el seguimiento y evaluación de los indicadores estratégicos permitirá analizar el nivel de “cumplimiento del Plan Municipal de Desarrollo. León hacia el futuro. Visión 2045”, en el marco de las cuatro Piedras Angulares y sus veinte pilares y objetivos. </w:t>
      </w:r>
    </w:p>
    <w:p w14:paraId="2D21EDA9" w14:textId="77777777" w:rsidR="00794EB9" w:rsidRPr="00794EB9" w:rsidRDefault="00794EB9" w:rsidP="00794EB9">
      <w:pPr>
        <w:pStyle w:val="PMDNormal"/>
        <w:ind w:leftChars="0" w:left="2" w:hanging="2"/>
        <w:rPr>
          <w:rFonts w:ascii="Arial" w:hAnsi="Arial" w:cs="Arial"/>
          <w:bCs/>
          <w:color w:val="auto"/>
        </w:rPr>
      </w:pPr>
    </w:p>
    <w:p w14:paraId="09A725B8" w14:textId="77777777" w:rsidR="00794EB9" w:rsidRPr="00794EB9" w:rsidRDefault="00794EB9" w:rsidP="00794EB9">
      <w:pPr>
        <w:pStyle w:val="PMDNormal"/>
        <w:ind w:leftChars="0" w:left="2" w:hanging="2"/>
        <w:rPr>
          <w:rFonts w:ascii="Arial" w:hAnsi="Arial" w:cs="Arial"/>
          <w:bCs/>
          <w:color w:val="auto"/>
        </w:rPr>
      </w:pPr>
      <w:r w:rsidRPr="00794EB9">
        <w:rPr>
          <w:rFonts w:ascii="Arial" w:hAnsi="Arial" w:cs="Arial"/>
          <w:bCs/>
          <w:color w:val="auto"/>
        </w:rPr>
        <w:t>Este seguimiento anual permitirá sentar las bases de la revisión y, en su caso, actualización del PMD 2045, el cual deberá ser evaluado y actualizado cuando menos cada cinco años, en concordancia con los planes nacional y estatal de desarrollo.</w:t>
      </w:r>
    </w:p>
    <w:p w14:paraId="6C5EB598" w14:textId="77777777" w:rsidR="00794EB9" w:rsidRPr="00794EB9" w:rsidRDefault="00794EB9" w:rsidP="00794EB9">
      <w:pPr>
        <w:pStyle w:val="TtuloPG2"/>
        <w:ind w:leftChars="0" w:firstLineChars="0" w:firstLine="0"/>
        <w:rPr>
          <w:color w:val="auto"/>
          <w:sz w:val="22"/>
          <w:szCs w:val="22"/>
        </w:rPr>
      </w:pPr>
    </w:p>
    <w:p w14:paraId="08697970" w14:textId="77777777" w:rsidR="00794EB9" w:rsidRPr="00794EB9" w:rsidRDefault="00794EB9" w:rsidP="00794EB9">
      <w:pPr>
        <w:rPr>
          <w:rFonts w:ascii="Arial" w:hAnsi="Arial" w:cs="Arial"/>
          <w:b/>
          <w:sz w:val="22"/>
          <w:szCs w:val="22"/>
        </w:rPr>
      </w:pPr>
      <w:r w:rsidRPr="00794EB9">
        <w:rPr>
          <w:rFonts w:ascii="Arial" w:hAnsi="Arial" w:cs="Arial"/>
          <w:sz w:val="22"/>
          <w:szCs w:val="22"/>
        </w:rPr>
        <w:br w:type="page"/>
      </w:r>
    </w:p>
    <w:p w14:paraId="516482D8" w14:textId="77777777" w:rsidR="00794EB9" w:rsidRPr="00794EB9" w:rsidRDefault="00794EB9" w:rsidP="00794EB9">
      <w:pPr>
        <w:pStyle w:val="TtuloPG2"/>
        <w:ind w:leftChars="0" w:left="2"/>
        <w:rPr>
          <w:color w:val="auto"/>
          <w:sz w:val="22"/>
          <w:szCs w:val="22"/>
        </w:rPr>
      </w:pPr>
      <w:r w:rsidRPr="00794EB9">
        <w:rPr>
          <w:color w:val="auto"/>
          <w:sz w:val="22"/>
          <w:szCs w:val="22"/>
        </w:rPr>
        <w:lastRenderedPageBreak/>
        <w:t xml:space="preserve">I) Alineación estratégica del Programa de Gobierno Municipal </w:t>
      </w:r>
    </w:p>
    <w:p w14:paraId="17FC8B69" w14:textId="77777777" w:rsidR="00794EB9" w:rsidRPr="00794EB9" w:rsidRDefault="00794EB9" w:rsidP="00794EB9">
      <w:pPr>
        <w:jc w:val="both"/>
        <w:rPr>
          <w:rFonts w:ascii="Arial" w:hAnsi="Arial" w:cs="Arial"/>
          <w:sz w:val="22"/>
          <w:szCs w:val="22"/>
        </w:rPr>
      </w:pPr>
    </w:p>
    <w:p w14:paraId="4E7D070C"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A continuación, se muestra la alineación de los programas, proyectos y acciones del Programa de Gobierno con los pilares, objetivos, estrategias y acciones del PMD 2045, además de identificar a cuáles indicadores estratégicos le abonarán las acciones propuestas en el presente Programa para el avance y cumplimiento de las metas establecidas al 2030.</w:t>
      </w:r>
      <w:r w:rsidRPr="00794EB9">
        <w:rPr>
          <w:rFonts w:ascii="Arial" w:hAnsi="Arial" w:cs="Arial"/>
          <w:i/>
          <w:sz w:val="22"/>
          <w:szCs w:val="22"/>
          <w:u w:val="single"/>
        </w:rPr>
        <w:t xml:space="preserve"> (Para revisar los detalles y atributos de los indicadores plasmados en la tabla, véase Anexo 1. Indicadores del Plan Municipal de Desarrollo “León Hacia el Futuro”. Visión 2045, que serán parte del monitoreo estratégico)</w:t>
      </w:r>
      <w:r w:rsidRPr="00794EB9">
        <w:rPr>
          <w:rFonts w:ascii="Arial" w:hAnsi="Arial" w:cs="Arial"/>
          <w:sz w:val="22"/>
          <w:szCs w:val="22"/>
        </w:rPr>
        <w:t xml:space="preserve"> </w:t>
      </w:r>
    </w:p>
    <w:p w14:paraId="2D843146" w14:textId="77777777" w:rsidR="00794EB9" w:rsidRPr="00794EB9" w:rsidRDefault="00794EB9" w:rsidP="00794EB9">
      <w:pPr>
        <w:jc w:val="both"/>
        <w:rPr>
          <w:rFonts w:ascii="Arial" w:hAnsi="Arial" w:cs="Arial"/>
          <w:sz w:val="22"/>
          <w:szCs w:val="22"/>
        </w:rPr>
      </w:pPr>
    </w:p>
    <w:tbl>
      <w:tblPr>
        <w:tblW w:w="5000" w:type="pct"/>
        <w:tblLayout w:type="fixed"/>
        <w:tblCellMar>
          <w:left w:w="70" w:type="dxa"/>
          <w:right w:w="70" w:type="dxa"/>
        </w:tblCellMar>
        <w:tblLook w:val="04A0" w:firstRow="1" w:lastRow="0" w:firstColumn="1" w:lastColumn="0" w:noHBand="0" w:noVBand="1"/>
      </w:tblPr>
      <w:tblGrid>
        <w:gridCol w:w="663"/>
        <w:gridCol w:w="1076"/>
        <w:gridCol w:w="1212"/>
        <w:gridCol w:w="751"/>
        <w:gridCol w:w="1806"/>
        <w:gridCol w:w="1210"/>
        <w:gridCol w:w="2100"/>
      </w:tblGrid>
      <w:tr w:rsidR="00794EB9" w:rsidRPr="00794EB9" w14:paraId="748759CC" w14:textId="77777777" w:rsidTr="00C307FB">
        <w:trPr>
          <w:trHeight w:val="57"/>
          <w:tblHeader/>
        </w:trPr>
        <w:tc>
          <w:tcPr>
            <w:tcW w:w="3123" w:type="pct"/>
            <w:gridSpan w:val="5"/>
            <w:tcBorders>
              <w:top w:val="single" w:sz="8" w:space="0" w:color="434343"/>
              <w:left w:val="single" w:sz="8" w:space="0" w:color="434343"/>
              <w:bottom w:val="single" w:sz="8" w:space="0" w:color="434343"/>
              <w:right w:val="single" w:sz="8" w:space="0" w:color="434343"/>
            </w:tcBorders>
            <w:shd w:val="clear" w:color="auto" w:fill="D9D9D9" w:themeFill="background1" w:themeFillShade="D9"/>
            <w:noWrap/>
            <w:hideMark/>
          </w:tcPr>
          <w:p w14:paraId="4363231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Plan Municipal de Desarrollo “León Hacia el Futuro”. Visión 2045</w:t>
            </w:r>
          </w:p>
        </w:tc>
        <w:tc>
          <w:tcPr>
            <w:tcW w:w="1877" w:type="pct"/>
            <w:gridSpan w:val="2"/>
            <w:tcBorders>
              <w:top w:val="single" w:sz="8" w:space="0" w:color="434343"/>
              <w:left w:val="nil"/>
              <w:bottom w:val="single" w:sz="8" w:space="0" w:color="434343"/>
              <w:right w:val="single" w:sz="8" w:space="0" w:color="434343"/>
            </w:tcBorders>
            <w:shd w:val="clear" w:color="auto" w:fill="D9D9D9" w:themeFill="background1" w:themeFillShade="D9"/>
            <w:noWrap/>
            <w:hideMark/>
          </w:tcPr>
          <w:p w14:paraId="4D453EC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Programa de Gobierno Municipal de León 2021-2024</w:t>
            </w:r>
          </w:p>
        </w:tc>
      </w:tr>
      <w:tr w:rsidR="00794EB9" w:rsidRPr="00794EB9" w14:paraId="047FF9EA" w14:textId="77777777" w:rsidTr="00C307FB">
        <w:trPr>
          <w:trHeight w:val="57"/>
          <w:tblHeader/>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hideMark/>
          </w:tcPr>
          <w:p w14:paraId="078CD5B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Pilares</w:t>
            </w:r>
          </w:p>
        </w:tc>
        <w:tc>
          <w:tcPr>
            <w:tcW w:w="610" w:type="pct"/>
            <w:tcBorders>
              <w:top w:val="nil"/>
              <w:left w:val="nil"/>
              <w:bottom w:val="single" w:sz="8" w:space="0" w:color="434343"/>
              <w:right w:val="single" w:sz="8" w:space="0" w:color="434343"/>
            </w:tcBorders>
            <w:shd w:val="clear" w:color="auto" w:fill="D9D9D9" w:themeFill="background1" w:themeFillShade="D9"/>
            <w:hideMark/>
          </w:tcPr>
          <w:p w14:paraId="40EF382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Objetivos</w:t>
            </w:r>
          </w:p>
        </w:tc>
        <w:tc>
          <w:tcPr>
            <w:tcW w:w="687" w:type="pct"/>
            <w:tcBorders>
              <w:top w:val="nil"/>
              <w:left w:val="nil"/>
              <w:bottom w:val="single" w:sz="8" w:space="0" w:color="434343"/>
              <w:right w:val="single" w:sz="8" w:space="0" w:color="434343"/>
            </w:tcBorders>
            <w:shd w:val="clear" w:color="auto" w:fill="D9D9D9" w:themeFill="background1" w:themeFillShade="D9"/>
            <w:hideMark/>
          </w:tcPr>
          <w:p w14:paraId="3449066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Indicadores estratégicos</w:t>
            </w:r>
          </w:p>
        </w:tc>
        <w:tc>
          <w:tcPr>
            <w:tcW w:w="426" w:type="pct"/>
            <w:tcBorders>
              <w:top w:val="nil"/>
              <w:left w:val="nil"/>
              <w:bottom w:val="single" w:sz="8" w:space="0" w:color="434343"/>
              <w:right w:val="single" w:sz="8" w:space="0" w:color="434343"/>
            </w:tcBorders>
            <w:shd w:val="clear" w:color="auto" w:fill="D9D9D9" w:themeFill="background1" w:themeFillShade="D9"/>
            <w:hideMark/>
          </w:tcPr>
          <w:p w14:paraId="7086A08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Estrategias</w:t>
            </w:r>
          </w:p>
        </w:tc>
        <w:tc>
          <w:tcPr>
            <w:tcW w:w="1024" w:type="pct"/>
            <w:tcBorders>
              <w:top w:val="nil"/>
              <w:left w:val="nil"/>
              <w:bottom w:val="single" w:sz="8" w:space="0" w:color="434343"/>
              <w:right w:val="single" w:sz="8" w:space="0" w:color="434343"/>
            </w:tcBorders>
            <w:shd w:val="clear" w:color="auto" w:fill="D9D9D9" w:themeFill="background1" w:themeFillShade="D9"/>
            <w:hideMark/>
          </w:tcPr>
          <w:p w14:paraId="77C8A34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Acciones</w:t>
            </w:r>
          </w:p>
        </w:tc>
        <w:tc>
          <w:tcPr>
            <w:tcW w:w="686" w:type="pct"/>
            <w:tcBorders>
              <w:top w:val="nil"/>
              <w:left w:val="nil"/>
              <w:bottom w:val="single" w:sz="8" w:space="0" w:color="434343"/>
              <w:right w:val="single" w:sz="8" w:space="0" w:color="434343"/>
            </w:tcBorders>
            <w:shd w:val="clear" w:color="auto" w:fill="D9D9D9" w:themeFill="background1" w:themeFillShade="D9"/>
            <w:hideMark/>
          </w:tcPr>
          <w:p w14:paraId="672D6F0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Programas y Proyectos</w:t>
            </w:r>
          </w:p>
        </w:tc>
        <w:tc>
          <w:tcPr>
            <w:tcW w:w="1191" w:type="pct"/>
            <w:tcBorders>
              <w:top w:val="nil"/>
              <w:left w:val="nil"/>
              <w:bottom w:val="single" w:sz="8" w:space="0" w:color="434343"/>
              <w:right w:val="single" w:sz="8" w:space="0" w:color="434343"/>
            </w:tcBorders>
            <w:shd w:val="clear" w:color="auto" w:fill="D9D9D9" w:themeFill="background1" w:themeFillShade="D9"/>
            <w:hideMark/>
          </w:tcPr>
          <w:p w14:paraId="550A3AD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Acciones</w:t>
            </w:r>
          </w:p>
        </w:tc>
      </w:tr>
      <w:tr w:rsidR="00794EB9" w:rsidRPr="00794EB9" w14:paraId="0133BC45"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tcPr>
          <w:p w14:paraId="3CA33523" w14:textId="77777777" w:rsidR="00794EB9" w:rsidRPr="00794EB9" w:rsidRDefault="00794EB9" w:rsidP="00C307FB">
            <w:pPr>
              <w:rPr>
                <w:rFonts w:ascii="Arial" w:hAnsi="Arial" w:cs="Arial"/>
                <w:sz w:val="22"/>
                <w:szCs w:val="22"/>
                <w:lang w:eastAsia="es-MX"/>
              </w:rPr>
            </w:pPr>
          </w:p>
        </w:tc>
        <w:tc>
          <w:tcPr>
            <w:tcW w:w="610" w:type="pct"/>
            <w:tcBorders>
              <w:top w:val="nil"/>
              <w:left w:val="nil"/>
              <w:bottom w:val="single" w:sz="8" w:space="0" w:color="434343"/>
              <w:right w:val="single" w:sz="8" w:space="0" w:color="434343"/>
            </w:tcBorders>
            <w:shd w:val="clear" w:color="auto" w:fill="D9D9D9" w:themeFill="background1" w:themeFillShade="D9"/>
            <w:noWrap/>
          </w:tcPr>
          <w:p w14:paraId="5C3A6338" w14:textId="77777777" w:rsidR="00794EB9" w:rsidRPr="00794EB9" w:rsidRDefault="00794EB9" w:rsidP="00C307FB">
            <w:pPr>
              <w:rPr>
                <w:rFonts w:ascii="Arial" w:hAnsi="Arial" w:cs="Arial"/>
                <w:sz w:val="22"/>
                <w:szCs w:val="22"/>
                <w:lang w:eastAsia="es-MX"/>
              </w:rPr>
            </w:pPr>
          </w:p>
        </w:tc>
        <w:tc>
          <w:tcPr>
            <w:tcW w:w="687" w:type="pct"/>
            <w:tcBorders>
              <w:top w:val="nil"/>
              <w:left w:val="nil"/>
              <w:bottom w:val="single" w:sz="8" w:space="0" w:color="434343"/>
              <w:right w:val="single" w:sz="8" w:space="0" w:color="434343"/>
            </w:tcBorders>
            <w:shd w:val="clear" w:color="auto" w:fill="D9D9D9" w:themeFill="background1" w:themeFillShade="D9"/>
            <w:noWrap/>
          </w:tcPr>
          <w:p w14:paraId="46FD3D93" w14:textId="77777777" w:rsidR="00794EB9" w:rsidRPr="00794EB9" w:rsidRDefault="00794EB9" w:rsidP="00C307FB">
            <w:pPr>
              <w:rPr>
                <w:rFonts w:ascii="Arial" w:hAnsi="Arial" w:cs="Arial"/>
                <w:sz w:val="22"/>
                <w:szCs w:val="22"/>
                <w:lang w:eastAsia="es-MX"/>
              </w:rPr>
            </w:pPr>
          </w:p>
        </w:tc>
        <w:tc>
          <w:tcPr>
            <w:tcW w:w="426" w:type="pct"/>
            <w:tcBorders>
              <w:top w:val="nil"/>
              <w:left w:val="nil"/>
              <w:bottom w:val="single" w:sz="8" w:space="0" w:color="434343"/>
              <w:right w:val="single" w:sz="8" w:space="0" w:color="434343"/>
            </w:tcBorders>
            <w:shd w:val="clear" w:color="auto" w:fill="D9D9D9" w:themeFill="background1" w:themeFillShade="D9"/>
            <w:noWrap/>
          </w:tcPr>
          <w:p w14:paraId="7C300F42" w14:textId="77777777" w:rsidR="00794EB9" w:rsidRPr="00794EB9" w:rsidRDefault="00794EB9" w:rsidP="00C307FB">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D9D9D9" w:themeFill="background1" w:themeFillShade="D9"/>
            <w:noWrap/>
          </w:tcPr>
          <w:p w14:paraId="5AC65587" w14:textId="77777777" w:rsidR="00794EB9" w:rsidRPr="00794EB9" w:rsidRDefault="00794EB9" w:rsidP="00C307FB">
            <w:pPr>
              <w:rPr>
                <w:rFonts w:ascii="Arial" w:hAnsi="Arial" w:cs="Arial"/>
                <w:sz w:val="22"/>
                <w:szCs w:val="22"/>
                <w:lang w:eastAsia="es-MX"/>
              </w:rPr>
            </w:pPr>
          </w:p>
        </w:tc>
        <w:tc>
          <w:tcPr>
            <w:tcW w:w="1877" w:type="pct"/>
            <w:gridSpan w:val="2"/>
            <w:tcBorders>
              <w:top w:val="nil"/>
              <w:left w:val="nil"/>
              <w:bottom w:val="single" w:sz="8" w:space="0" w:color="434343"/>
              <w:right w:val="single" w:sz="8" w:space="0" w:color="434343"/>
            </w:tcBorders>
            <w:shd w:val="clear" w:color="auto" w:fill="D9D9D9" w:themeFill="background1" w:themeFillShade="D9"/>
            <w:noWrap/>
          </w:tcPr>
          <w:p w14:paraId="05CC144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BANDERA “VIVIR TRANQUILO”</w:t>
            </w:r>
          </w:p>
        </w:tc>
      </w:tr>
      <w:tr w:rsidR="00794EB9" w:rsidRPr="00794EB9" w14:paraId="0C9DD9E2"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38CA64E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D9D9D9" w:themeFill="background1" w:themeFillShade="D9"/>
            <w:noWrap/>
            <w:hideMark/>
          </w:tcPr>
          <w:p w14:paraId="478ECB5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D9D9D9" w:themeFill="background1" w:themeFillShade="D9"/>
            <w:noWrap/>
            <w:hideMark/>
          </w:tcPr>
          <w:p w14:paraId="4C1B957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D9D9D9" w:themeFill="background1" w:themeFillShade="D9"/>
            <w:noWrap/>
            <w:hideMark/>
          </w:tcPr>
          <w:p w14:paraId="5942777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65EDB34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6B0444B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VT1. Gobierno Cercano 24/7</w:t>
            </w: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1DCE40E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787806D3"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1EBC6A6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Gobierno abierto con liderazgo</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3D4AA6D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 Fortalecer la confianza de las y los leoneses hacia el gobierno, con mejores condiciones de comunicación, transparencia, rendición de cuentas y acceso a la información</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73EF737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68. Porcentaje de población que tiene confianza al gobierno municipal</w:t>
            </w:r>
            <w:r w:rsidRPr="00794EB9">
              <w:rPr>
                <w:rFonts w:ascii="Arial" w:hAnsi="Arial" w:cs="Arial"/>
                <w:sz w:val="22"/>
                <w:szCs w:val="22"/>
                <w:lang w:eastAsia="es-MX"/>
              </w:rPr>
              <w:br/>
              <w:t>I 69. Porcentaje de ingresos propios</w:t>
            </w:r>
            <w:r w:rsidRPr="00794EB9">
              <w:rPr>
                <w:rFonts w:ascii="Arial" w:hAnsi="Arial" w:cs="Arial"/>
                <w:sz w:val="22"/>
                <w:szCs w:val="22"/>
                <w:lang w:eastAsia="es-MX"/>
              </w:rPr>
              <w:br/>
              <w:t>I 70. Puntuación porcentual en el barómetro de información presupuestal municipal</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442ED6D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Eficiencia y modernización administrativa</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53F4816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la mejora regulatoria en la administración pública municipal, mediante una oferta mayor de trámites digitales y simplificados, para la atención de ciudadanos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6615D01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1.1 Gobierno Digital León</w:t>
            </w:r>
          </w:p>
        </w:tc>
        <w:tc>
          <w:tcPr>
            <w:tcW w:w="1191" w:type="pct"/>
            <w:tcBorders>
              <w:top w:val="nil"/>
              <w:left w:val="nil"/>
              <w:bottom w:val="single" w:sz="8" w:space="0" w:color="434343"/>
              <w:right w:val="single" w:sz="8" w:space="0" w:color="434343"/>
            </w:tcBorders>
            <w:shd w:val="clear" w:color="auto" w:fill="auto"/>
            <w:hideMark/>
          </w:tcPr>
          <w:p w14:paraId="6DDDFE7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1.1.1 Identificar los trámites que representan el 80% de las interacciones de los ciudadanos en las diferentes dependencias y entidades municipales.</w:t>
            </w:r>
          </w:p>
        </w:tc>
      </w:tr>
      <w:tr w:rsidR="00794EB9" w:rsidRPr="00794EB9" w14:paraId="529A92FC"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FAAC690"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5904A2B"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B7A34E1"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2A4B6CBD"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A974FB3"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9D952FB"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1512F9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1.1.2 Revisar e implementar acciones para la simplificación de trámites identificados como parte del proceso de mejora regulatoria.</w:t>
            </w:r>
          </w:p>
        </w:tc>
      </w:tr>
      <w:tr w:rsidR="00794EB9" w:rsidRPr="00794EB9" w14:paraId="55C3D72A"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F05A823"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7101157"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E763382"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47A2FA90"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5273355C"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8D2FC77"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12C263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1.1.3 Digitalización de los trámites identificados.</w:t>
            </w:r>
          </w:p>
        </w:tc>
      </w:tr>
      <w:tr w:rsidR="00794EB9" w:rsidRPr="00794EB9" w14:paraId="2C5FD04D"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5223A6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Entorno </w:t>
            </w:r>
            <w:r w:rsidRPr="00794EB9">
              <w:rPr>
                <w:rFonts w:ascii="Arial" w:hAnsi="Arial" w:cs="Arial"/>
                <w:sz w:val="22"/>
                <w:szCs w:val="22"/>
                <w:lang w:eastAsia="es-MX"/>
              </w:rPr>
              <w:lastRenderedPageBreak/>
              <w:t>para el emprendimiento y la innovación</w:t>
            </w:r>
          </w:p>
        </w:tc>
        <w:tc>
          <w:tcPr>
            <w:tcW w:w="610" w:type="pct"/>
            <w:tcBorders>
              <w:top w:val="nil"/>
              <w:left w:val="nil"/>
              <w:bottom w:val="single" w:sz="8" w:space="0" w:color="434343"/>
              <w:right w:val="single" w:sz="8" w:space="0" w:color="434343"/>
            </w:tcBorders>
            <w:shd w:val="clear" w:color="auto" w:fill="auto"/>
            <w:hideMark/>
          </w:tcPr>
          <w:p w14:paraId="1D275A9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Fomentar la </w:t>
            </w:r>
            <w:r w:rsidRPr="00794EB9">
              <w:rPr>
                <w:rFonts w:ascii="Arial" w:hAnsi="Arial" w:cs="Arial"/>
                <w:sz w:val="22"/>
                <w:szCs w:val="22"/>
                <w:lang w:eastAsia="es-MX"/>
              </w:rPr>
              <w:lastRenderedPageBreak/>
              <w:t>inversión en la innovación, el desarrollo tecnológico y el emprendimiento como ente</w:t>
            </w:r>
            <w:r w:rsidRPr="00794EB9">
              <w:rPr>
                <w:rFonts w:ascii="Arial" w:hAnsi="Arial" w:cs="Arial"/>
                <w:sz w:val="22"/>
                <w:szCs w:val="22"/>
                <w:lang w:eastAsia="es-MX"/>
              </w:rPr>
              <w:br/>
              <w:t>principal de competitividad</w:t>
            </w:r>
          </w:p>
        </w:tc>
        <w:tc>
          <w:tcPr>
            <w:tcW w:w="687" w:type="pct"/>
            <w:tcBorders>
              <w:top w:val="nil"/>
              <w:left w:val="nil"/>
              <w:bottom w:val="single" w:sz="8" w:space="0" w:color="434343"/>
              <w:right w:val="single" w:sz="8" w:space="0" w:color="434343"/>
            </w:tcBorders>
            <w:shd w:val="clear" w:color="auto" w:fill="auto"/>
            <w:hideMark/>
          </w:tcPr>
          <w:p w14:paraId="09CAE5D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 37. Posición </w:t>
            </w:r>
            <w:r w:rsidRPr="00794EB9">
              <w:rPr>
                <w:rFonts w:ascii="Arial" w:hAnsi="Arial" w:cs="Arial"/>
                <w:sz w:val="22"/>
                <w:szCs w:val="22"/>
                <w:lang w:eastAsia="es-MX"/>
              </w:rPr>
              <w:lastRenderedPageBreak/>
              <w:t xml:space="preserve">en la tabla del subíndice de Innovación </w:t>
            </w:r>
          </w:p>
        </w:tc>
        <w:tc>
          <w:tcPr>
            <w:tcW w:w="426" w:type="pct"/>
            <w:tcBorders>
              <w:top w:val="nil"/>
              <w:left w:val="nil"/>
              <w:bottom w:val="single" w:sz="8" w:space="0" w:color="434343"/>
              <w:right w:val="single" w:sz="8" w:space="0" w:color="434343"/>
            </w:tcBorders>
            <w:shd w:val="clear" w:color="auto" w:fill="auto"/>
            <w:hideMark/>
          </w:tcPr>
          <w:p w14:paraId="47DF34A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Fortalecimi</w:t>
            </w:r>
            <w:r w:rsidRPr="00794EB9">
              <w:rPr>
                <w:rFonts w:ascii="Arial" w:hAnsi="Arial" w:cs="Arial"/>
                <w:sz w:val="22"/>
                <w:szCs w:val="22"/>
                <w:lang w:eastAsia="es-MX"/>
              </w:rPr>
              <w:lastRenderedPageBreak/>
              <w:t>ento del ecosistema emprendedor</w:t>
            </w:r>
          </w:p>
        </w:tc>
        <w:tc>
          <w:tcPr>
            <w:tcW w:w="1024" w:type="pct"/>
            <w:tcBorders>
              <w:top w:val="nil"/>
              <w:left w:val="nil"/>
              <w:bottom w:val="single" w:sz="8" w:space="0" w:color="434343"/>
              <w:right w:val="single" w:sz="8" w:space="0" w:color="434343"/>
            </w:tcBorders>
            <w:shd w:val="clear" w:color="auto" w:fill="auto"/>
            <w:hideMark/>
          </w:tcPr>
          <w:p w14:paraId="58F4C21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Desarrollar modelos ágiles </w:t>
            </w:r>
            <w:r w:rsidRPr="00794EB9">
              <w:rPr>
                <w:rFonts w:ascii="Arial" w:hAnsi="Arial" w:cs="Arial"/>
                <w:sz w:val="22"/>
                <w:szCs w:val="22"/>
                <w:lang w:eastAsia="es-MX"/>
              </w:rPr>
              <w:lastRenderedPageBreak/>
              <w:t>de apertura e implementación de empresas, con procesos de formalización económica</w:t>
            </w:r>
            <w:r w:rsidRPr="00794EB9">
              <w:rPr>
                <w:rFonts w:ascii="Arial" w:hAnsi="Arial" w:cs="Arial"/>
                <w:sz w:val="22"/>
                <w:szCs w:val="22"/>
                <w:lang w:eastAsia="es-MX"/>
              </w:rPr>
              <w:br/>
              <w:t>gradual de acuerdo con su nivel de consolidación</w:t>
            </w:r>
          </w:p>
        </w:tc>
        <w:tc>
          <w:tcPr>
            <w:tcW w:w="686" w:type="pct"/>
            <w:vMerge/>
            <w:tcBorders>
              <w:top w:val="nil"/>
              <w:left w:val="single" w:sz="8" w:space="0" w:color="434343"/>
              <w:bottom w:val="single" w:sz="8" w:space="0" w:color="434343"/>
              <w:right w:val="single" w:sz="8" w:space="0" w:color="434343"/>
            </w:tcBorders>
            <w:vAlign w:val="center"/>
            <w:hideMark/>
          </w:tcPr>
          <w:p w14:paraId="40C5CB43"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F138EF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1.1.4 Simplificar y agilizar </w:t>
            </w:r>
            <w:r w:rsidRPr="00794EB9">
              <w:rPr>
                <w:rFonts w:ascii="Arial" w:hAnsi="Arial" w:cs="Arial"/>
                <w:sz w:val="22"/>
                <w:szCs w:val="22"/>
                <w:lang w:eastAsia="es-MX"/>
              </w:rPr>
              <w:lastRenderedPageBreak/>
              <w:t>la tramitología contemplada en el Sistema de Apertura Rápida de Empresas.</w:t>
            </w:r>
          </w:p>
        </w:tc>
      </w:tr>
      <w:tr w:rsidR="00794EB9" w:rsidRPr="00794EB9" w14:paraId="460D2F97"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2C6F38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Gobierno abierto con liderazgo</w:t>
            </w:r>
          </w:p>
        </w:tc>
        <w:tc>
          <w:tcPr>
            <w:tcW w:w="610" w:type="pct"/>
            <w:tcBorders>
              <w:top w:val="nil"/>
              <w:left w:val="nil"/>
              <w:bottom w:val="single" w:sz="8" w:space="0" w:color="434343"/>
              <w:right w:val="single" w:sz="8" w:space="0" w:color="434343"/>
            </w:tcBorders>
            <w:shd w:val="clear" w:color="auto" w:fill="auto"/>
            <w:hideMark/>
          </w:tcPr>
          <w:p w14:paraId="5578C4C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la confianza de las y los leoneses hacia el gobierno, con mejores condiciones de comunicación, transparencia, rendición de cuentas y acceso a la información</w:t>
            </w:r>
          </w:p>
        </w:tc>
        <w:tc>
          <w:tcPr>
            <w:tcW w:w="687" w:type="pct"/>
            <w:tcBorders>
              <w:top w:val="nil"/>
              <w:left w:val="nil"/>
              <w:bottom w:val="single" w:sz="8" w:space="0" w:color="434343"/>
              <w:right w:val="single" w:sz="8" w:space="0" w:color="434343"/>
            </w:tcBorders>
            <w:shd w:val="clear" w:color="auto" w:fill="auto"/>
            <w:hideMark/>
          </w:tcPr>
          <w:p w14:paraId="1520E3C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68. Porcentaje de población que tiene confianza al gobierno municipal</w:t>
            </w:r>
            <w:r w:rsidRPr="00794EB9">
              <w:rPr>
                <w:rFonts w:ascii="Arial" w:hAnsi="Arial" w:cs="Arial"/>
                <w:sz w:val="22"/>
                <w:szCs w:val="22"/>
                <w:lang w:eastAsia="es-MX"/>
              </w:rPr>
              <w:br/>
              <w:t>I 69. Porcentaje de ingresos propios</w:t>
            </w:r>
            <w:r w:rsidRPr="00794EB9">
              <w:rPr>
                <w:rFonts w:ascii="Arial" w:hAnsi="Arial" w:cs="Arial"/>
                <w:sz w:val="22"/>
                <w:szCs w:val="22"/>
                <w:lang w:eastAsia="es-MX"/>
              </w:rPr>
              <w:br/>
              <w:t>I 70. Puntuación porcentual en el barómetro de información presupuestal municipal</w:t>
            </w:r>
          </w:p>
        </w:tc>
        <w:tc>
          <w:tcPr>
            <w:tcW w:w="426" w:type="pct"/>
            <w:tcBorders>
              <w:top w:val="nil"/>
              <w:left w:val="nil"/>
              <w:bottom w:val="single" w:sz="8" w:space="0" w:color="434343"/>
              <w:right w:val="single" w:sz="8" w:space="0" w:color="434343"/>
            </w:tcBorders>
            <w:shd w:val="clear" w:color="auto" w:fill="auto"/>
            <w:hideMark/>
          </w:tcPr>
          <w:p w14:paraId="29CEFD9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Eficiencia y modernización administrativa</w:t>
            </w:r>
          </w:p>
        </w:tc>
        <w:tc>
          <w:tcPr>
            <w:tcW w:w="1024" w:type="pct"/>
            <w:tcBorders>
              <w:top w:val="nil"/>
              <w:left w:val="nil"/>
              <w:bottom w:val="single" w:sz="8" w:space="0" w:color="434343"/>
              <w:right w:val="single" w:sz="8" w:space="0" w:color="434343"/>
            </w:tcBorders>
            <w:shd w:val="clear" w:color="auto" w:fill="auto"/>
            <w:hideMark/>
          </w:tcPr>
          <w:p w14:paraId="04E381D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la mejora regulatoria en la administración pública municipal, mediante una oferta mayor de trámites digitales y simplificados, para la atención de ciudadanos</w:t>
            </w:r>
          </w:p>
        </w:tc>
        <w:tc>
          <w:tcPr>
            <w:tcW w:w="686" w:type="pct"/>
            <w:vMerge/>
            <w:tcBorders>
              <w:top w:val="nil"/>
              <w:left w:val="single" w:sz="8" w:space="0" w:color="434343"/>
              <w:bottom w:val="single" w:sz="8" w:space="0" w:color="434343"/>
              <w:right w:val="single" w:sz="8" w:space="0" w:color="434343"/>
            </w:tcBorders>
            <w:vAlign w:val="center"/>
            <w:hideMark/>
          </w:tcPr>
          <w:p w14:paraId="26F80159"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35885A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1.1.5 Realizar una mayor promoción y seguimiento de los resultados del programa.</w:t>
            </w:r>
          </w:p>
        </w:tc>
      </w:tr>
      <w:tr w:rsidR="00794EB9" w:rsidRPr="00794EB9" w14:paraId="110710E8"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02E7835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Planeación, </w:t>
            </w:r>
            <w:r w:rsidRPr="00794EB9">
              <w:rPr>
                <w:rFonts w:ascii="Arial" w:hAnsi="Arial" w:cs="Arial"/>
                <w:sz w:val="22"/>
                <w:szCs w:val="22"/>
                <w:lang w:eastAsia="es-MX"/>
              </w:rPr>
              <w:lastRenderedPageBreak/>
              <w:t>anticipación y gestión estratégica</w:t>
            </w:r>
          </w:p>
        </w:tc>
        <w:tc>
          <w:tcPr>
            <w:tcW w:w="610" w:type="pct"/>
            <w:tcBorders>
              <w:top w:val="nil"/>
              <w:left w:val="nil"/>
              <w:bottom w:val="single" w:sz="8" w:space="0" w:color="434343"/>
              <w:right w:val="single" w:sz="8" w:space="0" w:color="434343"/>
            </w:tcBorders>
            <w:shd w:val="clear" w:color="auto" w:fill="auto"/>
            <w:hideMark/>
          </w:tcPr>
          <w:p w14:paraId="06A7093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Consolidar el modelo </w:t>
            </w:r>
            <w:r w:rsidRPr="00794EB9">
              <w:rPr>
                <w:rFonts w:ascii="Arial" w:hAnsi="Arial" w:cs="Arial"/>
                <w:sz w:val="22"/>
                <w:szCs w:val="22"/>
                <w:lang w:eastAsia="es-MX"/>
              </w:rPr>
              <w:lastRenderedPageBreak/>
              <w:t>de planeación y anticipación estratégica "León hacia el futuro", articulando los procesos de inteligencia y gestión del desarrollo local</w:t>
            </w:r>
          </w:p>
        </w:tc>
        <w:tc>
          <w:tcPr>
            <w:tcW w:w="687" w:type="pct"/>
            <w:tcBorders>
              <w:top w:val="nil"/>
              <w:left w:val="nil"/>
              <w:bottom w:val="single" w:sz="8" w:space="0" w:color="434343"/>
              <w:right w:val="single" w:sz="8" w:space="0" w:color="434343"/>
            </w:tcBorders>
            <w:shd w:val="clear" w:color="auto" w:fill="auto"/>
            <w:hideMark/>
          </w:tcPr>
          <w:p w14:paraId="511822B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 71. Porcentaje de </w:t>
            </w:r>
            <w:r w:rsidRPr="00794EB9">
              <w:rPr>
                <w:rFonts w:ascii="Arial" w:hAnsi="Arial" w:cs="Arial"/>
                <w:sz w:val="22"/>
                <w:szCs w:val="22"/>
                <w:lang w:eastAsia="es-MX"/>
              </w:rPr>
              <w:lastRenderedPageBreak/>
              <w:t>recursos humanos municipales con educación superior en áreas de planeación y gestión territorial</w:t>
            </w:r>
            <w:r w:rsidRPr="00794EB9">
              <w:rPr>
                <w:rFonts w:ascii="Arial" w:hAnsi="Arial" w:cs="Arial"/>
                <w:sz w:val="22"/>
                <w:szCs w:val="22"/>
                <w:lang w:eastAsia="es-MX"/>
              </w:rPr>
              <w:br/>
              <w:t>I 72. Calificación promedio de los servicios públicos municipales</w:t>
            </w:r>
          </w:p>
        </w:tc>
        <w:tc>
          <w:tcPr>
            <w:tcW w:w="426" w:type="pct"/>
            <w:tcBorders>
              <w:top w:val="nil"/>
              <w:left w:val="nil"/>
              <w:bottom w:val="single" w:sz="8" w:space="0" w:color="434343"/>
              <w:right w:val="single" w:sz="8" w:space="0" w:color="434343"/>
            </w:tcBorders>
            <w:shd w:val="clear" w:color="auto" w:fill="auto"/>
            <w:hideMark/>
          </w:tcPr>
          <w:p w14:paraId="25F8EB1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Gestión estrat</w:t>
            </w:r>
            <w:r w:rsidRPr="00794EB9">
              <w:rPr>
                <w:rFonts w:ascii="Arial" w:hAnsi="Arial" w:cs="Arial"/>
                <w:sz w:val="22"/>
                <w:szCs w:val="22"/>
                <w:lang w:eastAsia="es-MX"/>
              </w:rPr>
              <w:lastRenderedPageBreak/>
              <w:t>égica del territorio municipal</w:t>
            </w:r>
          </w:p>
        </w:tc>
        <w:tc>
          <w:tcPr>
            <w:tcW w:w="1024" w:type="pct"/>
            <w:tcBorders>
              <w:top w:val="nil"/>
              <w:left w:val="nil"/>
              <w:bottom w:val="single" w:sz="8" w:space="0" w:color="434343"/>
              <w:right w:val="single" w:sz="8" w:space="0" w:color="434343"/>
            </w:tcBorders>
            <w:shd w:val="clear" w:color="auto" w:fill="auto"/>
            <w:hideMark/>
          </w:tcPr>
          <w:p w14:paraId="595F9E6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Administrar y gestionar de manera integral </w:t>
            </w:r>
            <w:r w:rsidRPr="00794EB9">
              <w:rPr>
                <w:rFonts w:ascii="Arial" w:hAnsi="Arial" w:cs="Arial"/>
                <w:sz w:val="22"/>
                <w:szCs w:val="22"/>
                <w:lang w:eastAsia="es-MX"/>
              </w:rPr>
              <w:lastRenderedPageBreak/>
              <w:t>los servicios públicos a través de Distritos Urbanos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444BE4F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VT. 1.2 Modelo de </w:t>
            </w:r>
            <w:r w:rsidRPr="00794EB9">
              <w:rPr>
                <w:rFonts w:ascii="Arial" w:hAnsi="Arial" w:cs="Arial"/>
                <w:b/>
                <w:bCs/>
                <w:sz w:val="22"/>
                <w:szCs w:val="22"/>
                <w:lang w:eastAsia="es-MX"/>
              </w:rPr>
              <w:lastRenderedPageBreak/>
              <w:t>Delegaciones</w:t>
            </w:r>
          </w:p>
        </w:tc>
        <w:tc>
          <w:tcPr>
            <w:tcW w:w="1191" w:type="pct"/>
            <w:tcBorders>
              <w:top w:val="nil"/>
              <w:left w:val="nil"/>
              <w:bottom w:val="single" w:sz="8" w:space="0" w:color="434343"/>
              <w:right w:val="single" w:sz="8" w:space="0" w:color="434343"/>
            </w:tcBorders>
            <w:shd w:val="clear" w:color="auto" w:fill="auto"/>
            <w:hideMark/>
          </w:tcPr>
          <w:p w14:paraId="2E9B25D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VT. 1.2.1 Definir el modelo de operación de las </w:t>
            </w:r>
            <w:r w:rsidRPr="00794EB9">
              <w:rPr>
                <w:rFonts w:ascii="Arial" w:hAnsi="Arial" w:cs="Arial"/>
                <w:sz w:val="22"/>
                <w:szCs w:val="22"/>
                <w:lang w:eastAsia="es-MX"/>
              </w:rPr>
              <w:lastRenderedPageBreak/>
              <w:t>oficinas de atención en las Delegaciones.</w:t>
            </w:r>
          </w:p>
        </w:tc>
      </w:tr>
      <w:tr w:rsidR="00794EB9" w:rsidRPr="00794EB9" w14:paraId="76141652"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720546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Modelo urbano integrador </w:t>
            </w:r>
          </w:p>
        </w:tc>
        <w:tc>
          <w:tcPr>
            <w:tcW w:w="610" w:type="pct"/>
            <w:tcBorders>
              <w:top w:val="nil"/>
              <w:left w:val="nil"/>
              <w:bottom w:val="single" w:sz="8" w:space="0" w:color="434343"/>
              <w:right w:val="single" w:sz="8" w:space="0" w:color="434343"/>
            </w:tcBorders>
            <w:shd w:val="clear" w:color="auto" w:fill="auto"/>
            <w:hideMark/>
          </w:tcPr>
          <w:p w14:paraId="0E53794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w:t>
            </w:r>
            <w:r w:rsidRPr="00794EB9">
              <w:rPr>
                <w:rFonts w:ascii="Arial" w:hAnsi="Arial" w:cs="Arial"/>
                <w:sz w:val="22"/>
                <w:szCs w:val="22"/>
                <w:lang w:eastAsia="es-MX"/>
              </w:rPr>
              <w:lastRenderedPageBreak/>
              <w:t>ctura verde</w:t>
            </w:r>
          </w:p>
        </w:tc>
        <w:tc>
          <w:tcPr>
            <w:tcW w:w="687" w:type="pct"/>
            <w:tcBorders>
              <w:top w:val="nil"/>
              <w:left w:val="nil"/>
              <w:bottom w:val="single" w:sz="8" w:space="0" w:color="434343"/>
              <w:right w:val="single" w:sz="8" w:space="0" w:color="434343"/>
            </w:tcBorders>
            <w:shd w:val="clear" w:color="auto" w:fill="auto"/>
            <w:hideMark/>
          </w:tcPr>
          <w:p w14:paraId="336105B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 24. Superficie de baldíos </w:t>
            </w:r>
            <w:r w:rsidRPr="00794EB9">
              <w:rPr>
                <w:rFonts w:ascii="Arial" w:hAnsi="Arial" w:cs="Arial"/>
                <w:sz w:val="22"/>
                <w:szCs w:val="22"/>
                <w:lang w:eastAsia="es-MX"/>
              </w:rPr>
              <w:br/>
              <w:t>I 25. Densidad de la zona urbana</w:t>
            </w:r>
            <w:r w:rsidRPr="00794EB9">
              <w:rPr>
                <w:rFonts w:ascii="Arial" w:hAnsi="Arial" w:cs="Arial"/>
                <w:sz w:val="22"/>
                <w:szCs w:val="22"/>
                <w:lang w:eastAsia="es-MX"/>
              </w:rPr>
              <w:br/>
              <w:t>I 26. Asentamientos irregulares con más del 30% de consolidación</w:t>
            </w:r>
          </w:p>
        </w:tc>
        <w:tc>
          <w:tcPr>
            <w:tcW w:w="426" w:type="pct"/>
            <w:tcBorders>
              <w:top w:val="nil"/>
              <w:left w:val="nil"/>
              <w:bottom w:val="single" w:sz="8" w:space="0" w:color="434343"/>
              <w:right w:val="single" w:sz="8" w:space="0" w:color="434343"/>
            </w:tcBorders>
            <w:shd w:val="clear" w:color="auto" w:fill="auto"/>
            <w:hideMark/>
          </w:tcPr>
          <w:p w14:paraId="2C2524A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Densificación y consolidación urbana</w:t>
            </w:r>
          </w:p>
        </w:tc>
        <w:tc>
          <w:tcPr>
            <w:tcW w:w="1024" w:type="pct"/>
            <w:tcBorders>
              <w:top w:val="nil"/>
              <w:left w:val="nil"/>
              <w:bottom w:val="single" w:sz="8" w:space="0" w:color="434343"/>
              <w:right w:val="single" w:sz="8" w:space="0" w:color="434343"/>
            </w:tcBorders>
            <w:shd w:val="clear" w:color="auto" w:fill="auto"/>
            <w:hideMark/>
          </w:tcPr>
          <w:p w14:paraId="27FC1F7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los distritos urbanos y generar centralidades con equipamiento, servicios públicos y usos de suelo mixtos</w:t>
            </w:r>
          </w:p>
        </w:tc>
        <w:tc>
          <w:tcPr>
            <w:tcW w:w="686" w:type="pct"/>
            <w:vMerge/>
            <w:tcBorders>
              <w:top w:val="nil"/>
              <w:left w:val="single" w:sz="8" w:space="0" w:color="434343"/>
              <w:bottom w:val="single" w:sz="8" w:space="0" w:color="434343"/>
              <w:right w:val="single" w:sz="8" w:space="0" w:color="434343"/>
            </w:tcBorders>
            <w:vAlign w:val="center"/>
            <w:hideMark/>
          </w:tcPr>
          <w:p w14:paraId="0E4F06CC"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8C4844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1.2.2 Instalar las oficinas de representación en las delegaciones.</w:t>
            </w:r>
          </w:p>
        </w:tc>
      </w:tr>
      <w:tr w:rsidR="00794EB9" w:rsidRPr="00794EB9" w14:paraId="1BC19FBC"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7BA9494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Gobierno abierto con liderazgo</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286C8AC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la confianza de las y los leoneses hacia el gobierno, con mejores condiciones de comunicación, transparencia, rendición de cuentas y acceso a la información</w:t>
            </w:r>
          </w:p>
        </w:tc>
        <w:tc>
          <w:tcPr>
            <w:tcW w:w="687" w:type="pct"/>
            <w:tcBorders>
              <w:top w:val="nil"/>
              <w:left w:val="nil"/>
              <w:bottom w:val="single" w:sz="8" w:space="0" w:color="434343"/>
              <w:right w:val="single" w:sz="8" w:space="0" w:color="434343"/>
            </w:tcBorders>
            <w:shd w:val="clear" w:color="auto" w:fill="auto"/>
            <w:hideMark/>
          </w:tcPr>
          <w:p w14:paraId="6713A18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68. Porcentaje de población que tiene confianza al gobierno municipal</w:t>
            </w:r>
            <w:r w:rsidRPr="00794EB9">
              <w:rPr>
                <w:rFonts w:ascii="Arial" w:hAnsi="Arial" w:cs="Arial"/>
                <w:sz w:val="22"/>
                <w:szCs w:val="22"/>
                <w:lang w:eastAsia="es-MX"/>
              </w:rPr>
              <w:br/>
              <w:t>I 69. Porcentaje de ingresos propios</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772846E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Gobierno abierto promotor del desarrollo</w:t>
            </w:r>
          </w:p>
        </w:tc>
        <w:tc>
          <w:tcPr>
            <w:tcW w:w="1024" w:type="pct"/>
            <w:tcBorders>
              <w:top w:val="nil"/>
              <w:left w:val="nil"/>
              <w:bottom w:val="single" w:sz="8" w:space="0" w:color="434343"/>
              <w:right w:val="single" w:sz="8" w:space="0" w:color="434343"/>
            </w:tcBorders>
            <w:shd w:val="clear" w:color="auto" w:fill="auto"/>
            <w:hideMark/>
          </w:tcPr>
          <w:p w14:paraId="5F33FE3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el modelo de gobierno abierto con mecanismos que permitan la colaboración y co-creación de políticas públicas, la apertura, la modernización de los esquemas de participación ciudadana y la colaboración con la administración pública municipal</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68ACE4D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1.3 Presupuesto Participativo</w:t>
            </w:r>
          </w:p>
        </w:tc>
        <w:tc>
          <w:tcPr>
            <w:tcW w:w="1191" w:type="pct"/>
            <w:tcBorders>
              <w:top w:val="nil"/>
              <w:left w:val="nil"/>
              <w:bottom w:val="single" w:sz="8" w:space="0" w:color="434343"/>
              <w:right w:val="single" w:sz="8" w:space="0" w:color="434343"/>
            </w:tcBorders>
            <w:shd w:val="clear" w:color="auto" w:fill="auto"/>
            <w:hideMark/>
          </w:tcPr>
          <w:p w14:paraId="4BD3E9E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1.3.1 Implementar un Sistema de participación ciudadana para la asignación del presupuesto</w:t>
            </w:r>
          </w:p>
        </w:tc>
      </w:tr>
      <w:tr w:rsidR="00794EB9" w:rsidRPr="00794EB9" w14:paraId="72F0A3AE"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E19AE16"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A386412" w14:textId="77777777" w:rsidR="00794EB9" w:rsidRPr="00794EB9" w:rsidRDefault="00794EB9" w:rsidP="00C307FB">
            <w:pPr>
              <w:rPr>
                <w:rFonts w:ascii="Arial" w:hAnsi="Arial" w:cs="Arial"/>
                <w:sz w:val="22"/>
                <w:szCs w:val="22"/>
                <w:lang w:eastAsia="es-MX"/>
              </w:rPr>
            </w:pPr>
          </w:p>
        </w:tc>
        <w:tc>
          <w:tcPr>
            <w:tcW w:w="687" w:type="pct"/>
            <w:tcBorders>
              <w:top w:val="nil"/>
              <w:left w:val="nil"/>
              <w:bottom w:val="single" w:sz="8" w:space="0" w:color="434343"/>
              <w:right w:val="single" w:sz="8" w:space="0" w:color="434343"/>
            </w:tcBorders>
            <w:shd w:val="clear" w:color="auto" w:fill="auto"/>
            <w:hideMark/>
          </w:tcPr>
          <w:p w14:paraId="1063FDE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68. Porcentaje de población que tiene confianza al gobierno municipal</w:t>
            </w:r>
          </w:p>
        </w:tc>
        <w:tc>
          <w:tcPr>
            <w:tcW w:w="426" w:type="pct"/>
            <w:vMerge/>
            <w:tcBorders>
              <w:top w:val="nil"/>
              <w:left w:val="single" w:sz="8" w:space="0" w:color="434343"/>
              <w:bottom w:val="single" w:sz="8" w:space="0" w:color="434343"/>
              <w:right w:val="single" w:sz="8" w:space="0" w:color="434343"/>
            </w:tcBorders>
            <w:vAlign w:val="center"/>
            <w:hideMark/>
          </w:tcPr>
          <w:p w14:paraId="671047F4" w14:textId="77777777" w:rsidR="00794EB9" w:rsidRPr="00794EB9" w:rsidRDefault="00794EB9" w:rsidP="00C307FB">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76A54EF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y establecer de forma permanente esquemas de gestión social que vinculen a la ciudadanía con los procesos y proyectos de obras de intervención en el territorio</w:t>
            </w:r>
          </w:p>
        </w:tc>
        <w:tc>
          <w:tcPr>
            <w:tcW w:w="686" w:type="pct"/>
            <w:vMerge/>
            <w:tcBorders>
              <w:top w:val="nil"/>
              <w:left w:val="single" w:sz="8" w:space="0" w:color="434343"/>
              <w:bottom w:val="single" w:sz="8" w:space="0" w:color="434343"/>
              <w:right w:val="single" w:sz="8" w:space="0" w:color="434343"/>
            </w:tcBorders>
            <w:vAlign w:val="center"/>
            <w:hideMark/>
          </w:tcPr>
          <w:p w14:paraId="3ED2D563"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950FC6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1.3.2 Establecer los mecanismos y difundir los procesos de postulación y votación de acciones por Delegación</w:t>
            </w:r>
          </w:p>
        </w:tc>
      </w:tr>
      <w:tr w:rsidR="00794EB9" w:rsidRPr="00794EB9" w14:paraId="5F93581A"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14C4525C"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A98488C" w14:textId="77777777" w:rsidR="00794EB9" w:rsidRPr="00794EB9" w:rsidRDefault="00794EB9" w:rsidP="00C307FB">
            <w:pPr>
              <w:rPr>
                <w:rFonts w:ascii="Arial" w:hAnsi="Arial" w:cs="Arial"/>
                <w:sz w:val="22"/>
                <w:szCs w:val="22"/>
                <w:lang w:eastAsia="es-MX"/>
              </w:rPr>
            </w:pP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4F23F46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68. Porcentaje de población que tiene confianza al gobierno municipal</w:t>
            </w:r>
            <w:r w:rsidRPr="00794EB9">
              <w:rPr>
                <w:rFonts w:ascii="Arial" w:hAnsi="Arial" w:cs="Arial"/>
                <w:sz w:val="22"/>
                <w:szCs w:val="22"/>
                <w:lang w:eastAsia="es-MX"/>
              </w:rPr>
              <w:br/>
              <w:t xml:space="preserve">I 69. Porcentaje </w:t>
            </w:r>
            <w:r w:rsidRPr="00794EB9">
              <w:rPr>
                <w:rFonts w:ascii="Arial" w:hAnsi="Arial" w:cs="Arial"/>
                <w:sz w:val="22"/>
                <w:szCs w:val="22"/>
                <w:lang w:eastAsia="es-MX"/>
              </w:rPr>
              <w:lastRenderedPageBreak/>
              <w:t>de ingresos propios</w:t>
            </w:r>
            <w:r w:rsidRPr="00794EB9">
              <w:rPr>
                <w:rFonts w:ascii="Arial" w:hAnsi="Arial" w:cs="Arial"/>
                <w:sz w:val="22"/>
                <w:szCs w:val="22"/>
                <w:lang w:eastAsia="es-MX"/>
              </w:rPr>
              <w:br/>
              <w:t>I 70. Puntuación porcentual en el barómetro de información presupuestal municipal</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31631F0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Eficiencia y modernización administrativa</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42AB328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la coordinación en condiciones de transversalidad entre las oficinas y servicios de las dependencias y entidades de la administración municipal</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3CBF3C9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1.4 Nuevo Modelo de Atención Ciudadana</w:t>
            </w:r>
          </w:p>
        </w:tc>
        <w:tc>
          <w:tcPr>
            <w:tcW w:w="1191" w:type="pct"/>
            <w:tcBorders>
              <w:top w:val="nil"/>
              <w:left w:val="nil"/>
              <w:bottom w:val="single" w:sz="8" w:space="0" w:color="434343"/>
              <w:right w:val="single" w:sz="8" w:space="0" w:color="434343"/>
            </w:tcBorders>
            <w:shd w:val="clear" w:color="auto" w:fill="auto"/>
            <w:hideMark/>
          </w:tcPr>
          <w:p w14:paraId="0F843FE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1.4.1 Relanzar el Miércoles Ciudadano para la atención de solicitudes de la ciudadanía.</w:t>
            </w:r>
          </w:p>
        </w:tc>
      </w:tr>
      <w:tr w:rsidR="00794EB9" w:rsidRPr="00794EB9" w14:paraId="3DB5BA33"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2A7D495"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B932A9F"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07D71571"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15E574E"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7B484192"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E087002"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4BDBAD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1.4.2 Lanzar el programa Mi Barrio Habla en comunidades rurales y urbanas </w:t>
            </w:r>
            <w:r w:rsidRPr="00794EB9">
              <w:rPr>
                <w:rFonts w:ascii="Arial" w:hAnsi="Arial" w:cs="Arial"/>
                <w:sz w:val="22"/>
                <w:szCs w:val="22"/>
                <w:lang w:eastAsia="es-MX"/>
              </w:rPr>
              <w:lastRenderedPageBreak/>
              <w:t xml:space="preserve">que comprende la organización de asambleas, mesa de servicios y atención ciudadana. </w:t>
            </w:r>
          </w:p>
        </w:tc>
      </w:tr>
      <w:tr w:rsidR="00794EB9" w:rsidRPr="00794EB9" w14:paraId="0F969948"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FB5062C"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EBAC968"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ECD8BB3"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E752199"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1E96E70A"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E2A393C"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4E27B0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1.4.3 Lanzar el programa de Presidenta en Tu Casa, con la visita de la Alcaldesa a una casa en diferentes colonias.</w:t>
            </w:r>
          </w:p>
        </w:tc>
      </w:tr>
      <w:tr w:rsidR="00794EB9" w:rsidRPr="00794EB9" w14:paraId="09BA2003"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1F831B8D"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3C4B323"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2C19010F"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564A70E4"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00D9CFDF"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3F0846D9"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B92CC7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1.4.4. Relanzar el sistema de atención ciudadana a través del programa Hola León! que contempla la integración de diferentes mecanismos de atención vía página web, atención vía WhatsApp, App Móvil, línea 072 y Redes Sociales.</w:t>
            </w:r>
          </w:p>
        </w:tc>
      </w:tr>
      <w:tr w:rsidR="00794EB9" w:rsidRPr="00794EB9" w14:paraId="2AAE160B"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46ACA76"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FE5F39F"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3C00409"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867AEFA"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7CB08143"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A5BDC61"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122449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1.4.5. Realizar una ampliación de los horarios de atención en todas las dependencias que cuentan con ventanilla de atención al público. </w:t>
            </w:r>
          </w:p>
        </w:tc>
      </w:tr>
      <w:tr w:rsidR="00794EB9" w:rsidRPr="00794EB9" w14:paraId="377AFEE3"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3907EE2"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9608A9B"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57B2225E"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7DD439E"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E77EB93" w14:textId="77777777" w:rsidR="00794EB9" w:rsidRPr="00794EB9" w:rsidRDefault="00794EB9" w:rsidP="00C307FB">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499544D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1.5  Servidores Públicos al 100</w:t>
            </w:r>
          </w:p>
        </w:tc>
        <w:tc>
          <w:tcPr>
            <w:tcW w:w="1191" w:type="pct"/>
            <w:tcBorders>
              <w:top w:val="nil"/>
              <w:left w:val="nil"/>
              <w:bottom w:val="single" w:sz="8" w:space="0" w:color="434343"/>
              <w:right w:val="single" w:sz="8" w:space="0" w:color="434343"/>
            </w:tcBorders>
            <w:shd w:val="clear" w:color="auto" w:fill="auto"/>
            <w:hideMark/>
          </w:tcPr>
          <w:p w14:paraId="7E7DB44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1.5.1 Desarrollar un programa para el desarrollo de competencias y el fortalecimiento de las habilidades de liderazgo  para </w:t>
            </w:r>
            <w:r w:rsidRPr="00794EB9">
              <w:rPr>
                <w:rFonts w:ascii="Arial" w:hAnsi="Arial" w:cs="Arial"/>
                <w:sz w:val="22"/>
                <w:szCs w:val="22"/>
                <w:lang w:eastAsia="es-MX"/>
              </w:rPr>
              <w:lastRenderedPageBreak/>
              <w:t>titulares de dependencias</w:t>
            </w:r>
          </w:p>
        </w:tc>
      </w:tr>
      <w:tr w:rsidR="00794EB9" w:rsidRPr="00794EB9" w14:paraId="1B06CD3B"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4910955"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B1FC491"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1CC4BB7B"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42591821"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6EFF7789"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999C2E5"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AD6BC6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1.5.2 Desarrollar un programa de formación de servidores públicos enfocado a fortalecer la vocación de servicio y mejorar la atención ciudadana.</w:t>
            </w:r>
          </w:p>
        </w:tc>
      </w:tr>
      <w:tr w:rsidR="00794EB9" w:rsidRPr="00794EB9" w14:paraId="1B0EBD92"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6EFC163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Planeación, anticipación y gestión estratégica</w:t>
            </w:r>
          </w:p>
        </w:tc>
        <w:tc>
          <w:tcPr>
            <w:tcW w:w="610" w:type="pct"/>
            <w:tcBorders>
              <w:top w:val="nil"/>
              <w:left w:val="nil"/>
              <w:bottom w:val="single" w:sz="8" w:space="0" w:color="434343"/>
              <w:right w:val="single" w:sz="8" w:space="0" w:color="434343"/>
            </w:tcBorders>
            <w:shd w:val="clear" w:color="auto" w:fill="auto"/>
            <w:hideMark/>
          </w:tcPr>
          <w:p w14:paraId="57EC33C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el modelo de planeación y anticipación estratégica "León hacia el futuro", articulando los</w:t>
            </w:r>
            <w:r w:rsidRPr="00794EB9">
              <w:rPr>
                <w:rFonts w:ascii="Arial" w:hAnsi="Arial" w:cs="Arial"/>
                <w:sz w:val="22"/>
                <w:szCs w:val="22"/>
                <w:lang w:eastAsia="es-MX"/>
              </w:rPr>
              <w:br/>
              <w:t>procesos de inteligencia y gestión del desarrollo local</w:t>
            </w:r>
          </w:p>
        </w:tc>
        <w:tc>
          <w:tcPr>
            <w:tcW w:w="687" w:type="pct"/>
            <w:tcBorders>
              <w:top w:val="nil"/>
              <w:left w:val="nil"/>
              <w:bottom w:val="single" w:sz="8" w:space="0" w:color="434343"/>
              <w:right w:val="single" w:sz="8" w:space="0" w:color="434343"/>
            </w:tcBorders>
            <w:shd w:val="clear" w:color="auto" w:fill="auto"/>
            <w:hideMark/>
          </w:tcPr>
          <w:p w14:paraId="1B8A914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71. Porcentaje de recursos humanos municipales con educación superior en áreas de planeación y gestión territorial</w:t>
            </w:r>
          </w:p>
        </w:tc>
        <w:tc>
          <w:tcPr>
            <w:tcW w:w="426" w:type="pct"/>
            <w:tcBorders>
              <w:top w:val="nil"/>
              <w:left w:val="nil"/>
              <w:bottom w:val="single" w:sz="8" w:space="0" w:color="434343"/>
              <w:right w:val="single" w:sz="8" w:space="0" w:color="434343"/>
            </w:tcBorders>
            <w:shd w:val="clear" w:color="auto" w:fill="auto"/>
            <w:hideMark/>
          </w:tcPr>
          <w:p w14:paraId="2DF4885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Enfoque estratégico, táctico y operativo para el desarrollo</w:t>
            </w:r>
          </w:p>
        </w:tc>
        <w:tc>
          <w:tcPr>
            <w:tcW w:w="1024" w:type="pct"/>
            <w:tcBorders>
              <w:top w:val="nil"/>
              <w:left w:val="nil"/>
              <w:bottom w:val="single" w:sz="8" w:space="0" w:color="434343"/>
              <w:right w:val="single" w:sz="8" w:space="0" w:color="434343"/>
            </w:tcBorders>
            <w:shd w:val="clear" w:color="auto" w:fill="auto"/>
            <w:hideMark/>
          </w:tcPr>
          <w:p w14:paraId="192058B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Impulsar procesos de inteligencia estratégica y prospectiva a través del análisis y monitoreo de tendencias globales</w:t>
            </w:r>
            <w:r w:rsidRPr="00794EB9">
              <w:rPr>
                <w:rFonts w:ascii="Arial" w:hAnsi="Arial" w:cs="Arial"/>
                <w:sz w:val="22"/>
                <w:szCs w:val="22"/>
                <w:lang w:eastAsia="es-MX"/>
              </w:rPr>
              <w:br/>
              <w:t>y locales</w:t>
            </w:r>
          </w:p>
        </w:tc>
        <w:tc>
          <w:tcPr>
            <w:tcW w:w="686" w:type="pct"/>
            <w:tcBorders>
              <w:top w:val="nil"/>
              <w:left w:val="nil"/>
              <w:bottom w:val="single" w:sz="8" w:space="0" w:color="434343"/>
              <w:right w:val="single" w:sz="8" w:space="0" w:color="434343"/>
            </w:tcBorders>
            <w:shd w:val="clear" w:color="auto" w:fill="auto"/>
            <w:hideMark/>
          </w:tcPr>
          <w:p w14:paraId="08F9154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1.6 Sistema de Inteligencia Municipal</w:t>
            </w:r>
          </w:p>
        </w:tc>
        <w:tc>
          <w:tcPr>
            <w:tcW w:w="1191" w:type="pct"/>
            <w:tcBorders>
              <w:top w:val="nil"/>
              <w:left w:val="nil"/>
              <w:bottom w:val="single" w:sz="8" w:space="0" w:color="434343"/>
              <w:right w:val="single" w:sz="8" w:space="0" w:color="434343"/>
            </w:tcBorders>
            <w:shd w:val="clear" w:color="auto" w:fill="auto"/>
            <w:hideMark/>
          </w:tcPr>
          <w:p w14:paraId="56B28E6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1.6.1 Integrar capas de información existente para desarrollar de manera analítica el cruce de capas de información que permitan el diseño y desarrollo de reportes de inteligencia, así como la integración de un tablero de indicadores para la toma de decisiones. </w:t>
            </w:r>
          </w:p>
        </w:tc>
      </w:tr>
      <w:tr w:rsidR="00794EB9" w:rsidRPr="00794EB9" w14:paraId="1EC12F18"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1F8B58F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D9D9D9" w:themeFill="background1" w:themeFillShade="D9"/>
            <w:noWrap/>
            <w:hideMark/>
          </w:tcPr>
          <w:p w14:paraId="3FDFD34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D9D9D9" w:themeFill="background1" w:themeFillShade="D9"/>
            <w:noWrap/>
            <w:hideMark/>
          </w:tcPr>
          <w:p w14:paraId="08B9B18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D9D9D9" w:themeFill="background1" w:themeFillShade="D9"/>
            <w:noWrap/>
            <w:hideMark/>
          </w:tcPr>
          <w:p w14:paraId="56DB396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33358C8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285C7FF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VT2. Movilidad Segura</w:t>
            </w: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7FA602A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1B3F88F0"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74385E9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Movilidad sustentable e inclu</w:t>
            </w:r>
            <w:r w:rsidRPr="00794EB9">
              <w:rPr>
                <w:rFonts w:ascii="Arial" w:hAnsi="Arial" w:cs="Arial"/>
                <w:sz w:val="22"/>
                <w:szCs w:val="22"/>
                <w:lang w:eastAsia="es-MX"/>
              </w:rPr>
              <w:lastRenderedPageBreak/>
              <w:t>yente</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3191D3D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Contar con una movilidad accesible e incluyent</w:t>
            </w:r>
            <w:r w:rsidRPr="00794EB9">
              <w:rPr>
                <w:rFonts w:ascii="Arial" w:hAnsi="Arial" w:cs="Arial"/>
                <w:sz w:val="22"/>
                <w:szCs w:val="22"/>
                <w:lang w:eastAsia="es-MX"/>
              </w:rPr>
              <w:lastRenderedPageBreak/>
              <w:t>e, con esquemas de intermodalidad urbana y metropolitana, que favorezca el ordenamiento territorial</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4279E62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20. Porcentaje de cobertura de intermodal</w:t>
            </w:r>
            <w:r w:rsidRPr="00794EB9">
              <w:rPr>
                <w:rFonts w:ascii="Arial" w:hAnsi="Arial" w:cs="Arial"/>
                <w:sz w:val="22"/>
                <w:szCs w:val="22"/>
                <w:lang w:eastAsia="es-MX"/>
              </w:rPr>
              <w:lastRenderedPageBreak/>
              <w:t>idad urbana</w:t>
            </w:r>
            <w:r w:rsidRPr="00794EB9">
              <w:rPr>
                <w:rFonts w:ascii="Arial" w:hAnsi="Arial" w:cs="Arial"/>
                <w:sz w:val="22"/>
                <w:szCs w:val="22"/>
                <w:lang w:eastAsia="es-MX"/>
              </w:rPr>
              <w:br/>
              <w:t>I 22. Porcentaje de conectividad de las ciclovías existentes con cierre de circuitos</w:t>
            </w:r>
          </w:p>
        </w:tc>
        <w:tc>
          <w:tcPr>
            <w:tcW w:w="426" w:type="pct"/>
            <w:vMerge w:val="restart"/>
            <w:tcBorders>
              <w:top w:val="nil"/>
              <w:left w:val="single" w:sz="8" w:space="0" w:color="434343"/>
              <w:right w:val="single" w:sz="8" w:space="0" w:color="434343"/>
            </w:tcBorders>
            <w:shd w:val="clear" w:color="auto" w:fill="auto"/>
            <w:hideMark/>
          </w:tcPr>
          <w:p w14:paraId="597F65B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Innovación en movilidad </w:t>
            </w:r>
            <w:r w:rsidRPr="00794EB9">
              <w:rPr>
                <w:rFonts w:ascii="Arial" w:hAnsi="Arial" w:cs="Arial"/>
                <w:sz w:val="22"/>
                <w:szCs w:val="22"/>
                <w:lang w:eastAsia="es-MX"/>
              </w:rPr>
              <w:lastRenderedPageBreak/>
              <w:t>sustentable</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076D3D5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Ampliar y dar mantenimiento a la red de ciclovías y generar módulos de </w:t>
            </w:r>
            <w:r w:rsidRPr="00794EB9">
              <w:rPr>
                <w:rFonts w:ascii="Arial" w:hAnsi="Arial" w:cs="Arial"/>
                <w:sz w:val="22"/>
                <w:szCs w:val="22"/>
                <w:lang w:eastAsia="es-MX"/>
              </w:rPr>
              <w:lastRenderedPageBreak/>
              <w:t>estacionamiento seguro para las bicicletas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04D7577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VT. 2.1 Ciclociudad</w:t>
            </w:r>
          </w:p>
        </w:tc>
        <w:tc>
          <w:tcPr>
            <w:tcW w:w="1191" w:type="pct"/>
            <w:tcBorders>
              <w:top w:val="nil"/>
              <w:left w:val="nil"/>
              <w:bottom w:val="single" w:sz="8" w:space="0" w:color="434343"/>
              <w:right w:val="single" w:sz="8" w:space="0" w:color="434343"/>
            </w:tcBorders>
            <w:shd w:val="clear" w:color="auto" w:fill="auto"/>
            <w:hideMark/>
          </w:tcPr>
          <w:p w14:paraId="5442A1A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2.1.1 Realizar estudios y proyectos para el desarrollo de ciclovías y rutas peatonales</w:t>
            </w:r>
          </w:p>
        </w:tc>
      </w:tr>
      <w:tr w:rsidR="00794EB9" w:rsidRPr="00794EB9" w14:paraId="064C4DE5"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F7524CB"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C117621"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4EDCFE4" w14:textId="77777777" w:rsidR="00794EB9" w:rsidRPr="00794EB9" w:rsidRDefault="00794EB9" w:rsidP="00C307FB">
            <w:pPr>
              <w:rPr>
                <w:rFonts w:ascii="Arial" w:hAnsi="Arial" w:cs="Arial"/>
                <w:sz w:val="22"/>
                <w:szCs w:val="22"/>
                <w:lang w:eastAsia="es-MX"/>
              </w:rPr>
            </w:pPr>
          </w:p>
        </w:tc>
        <w:tc>
          <w:tcPr>
            <w:tcW w:w="426" w:type="pct"/>
            <w:vMerge/>
            <w:tcBorders>
              <w:left w:val="single" w:sz="8" w:space="0" w:color="434343"/>
              <w:right w:val="single" w:sz="8" w:space="0" w:color="434343"/>
            </w:tcBorders>
            <w:vAlign w:val="center"/>
            <w:hideMark/>
          </w:tcPr>
          <w:p w14:paraId="724D3A10"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17B968A8"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3EF0BDC9"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4ADB02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2.1.2.  Construir 112 km de ciclovías adicionales a los existentes </w:t>
            </w:r>
          </w:p>
        </w:tc>
      </w:tr>
      <w:tr w:rsidR="00794EB9" w:rsidRPr="00794EB9" w14:paraId="15728C0E"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8550FBA"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2491BA0"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9B5A6C9" w14:textId="77777777" w:rsidR="00794EB9" w:rsidRPr="00794EB9" w:rsidRDefault="00794EB9" w:rsidP="00C307FB">
            <w:pPr>
              <w:rPr>
                <w:rFonts w:ascii="Arial" w:hAnsi="Arial" w:cs="Arial"/>
                <w:sz w:val="22"/>
                <w:szCs w:val="22"/>
                <w:lang w:eastAsia="es-MX"/>
              </w:rPr>
            </w:pPr>
          </w:p>
        </w:tc>
        <w:tc>
          <w:tcPr>
            <w:tcW w:w="426" w:type="pct"/>
            <w:vMerge/>
            <w:tcBorders>
              <w:left w:val="single" w:sz="8" w:space="0" w:color="434343"/>
              <w:right w:val="single" w:sz="8" w:space="0" w:color="434343"/>
            </w:tcBorders>
            <w:vAlign w:val="center"/>
            <w:hideMark/>
          </w:tcPr>
          <w:p w14:paraId="08CC48CF"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011F43C"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6BD35CC3"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69AA32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2.1..3 Construir  20 km de ruta peatonal o banquetas adicionales a los existentes</w:t>
            </w:r>
          </w:p>
        </w:tc>
      </w:tr>
      <w:tr w:rsidR="00794EB9" w:rsidRPr="00794EB9" w14:paraId="5FE796F5"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673A9FC"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E4D0B86"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CC011DB" w14:textId="77777777" w:rsidR="00794EB9" w:rsidRPr="00794EB9" w:rsidRDefault="00794EB9" w:rsidP="00C307FB">
            <w:pPr>
              <w:rPr>
                <w:rFonts w:ascii="Arial" w:hAnsi="Arial" w:cs="Arial"/>
                <w:sz w:val="22"/>
                <w:szCs w:val="22"/>
                <w:lang w:eastAsia="es-MX"/>
              </w:rPr>
            </w:pPr>
          </w:p>
        </w:tc>
        <w:tc>
          <w:tcPr>
            <w:tcW w:w="426" w:type="pct"/>
            <w:vMerge/>
            <w:tcBorders>
              <w:left w:val="single" w:sz="8" w:space="0" w:color="434343"/>
              <w:right w:val="single" w:sz="8" w:space="0" w:color="434343"/>
            </w:tcBorders>
            <w:shd w:val="clear" w:color="auto" w:fill="auto"/>
            <w:vAlign w:val="center"/>
            <w:hideMark/>
          </w:tcPr>
          <w:p w14:paraId="1F79FA44"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582D859"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7B29969"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9B42B2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2.1.4 Rehabilitar 45 km de ciclovías deterioradas.</w:t>
            </w:r>
          </w:p>
        </w:tc>
      </w:tr>
      <w:tr w:rsidR="00794EB9" w:rsidRPr="00794EB9" w14:paraId="4C6EF490"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2972C84"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C9392EE"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1478792C" w14:textId="77777777" w:rsidR="00794EB9" w:rsidRPr="00794EB9" w:rsidRDefault="00794EB9" w:rsidP="00C307FB">
            <w:pPr>
              <w:rPr>
                <w:rFonts w:ascii="Arial" w:hAnsi="Arial" w:cs="Arial"/>
                <w:sz w:val="22"/>
                <w:szCs w:val="22"/>
                <w:lang w:eastAsia="es-MX"/>
              </w:rPr>
            </w:pPr>
          </w:p>
        </w:tc>
        <w:tc>
          <w:tcPr>
            <w:tcW w:w="426" w:type="pct"/>
            <w:vMerge/>
            <w:tcBorders>
              <w:left w:val="single" w:sz="8" w:space="0" w:color="434343"/>
              <w:right w:val="single" w:sz="8" w:space="0" w:color="434343"/>
            </w:tcBorders>
            <w:vAlign w:val="center"/>
            <w:hideMark/>
          </w:tcPr>
          <w:p w14:paraId="6CCD561D"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1C6D7B2B"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F1AD200"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9A11EFD" w14:textId="77777777" w:rsidR="00794EB9" w:rsidRDefault="004522BD" w:rsidP="00C307FB">
            <w:pPr>
              <w:rPr>
                <w:rFonts w:ascii="Arial" w:hAnsi="Arial" w:cs="Arial"/>
                <w:sz w:val="22"/>
                <w:szCs w:val="22"/>
                <w:lang w:eastAsia="es-MX"/>
              </w:rPr>
            </w:pPr>
            <w:r>
              <w:rPr>
                <w:rFonts w:ascii="Arial" w:hAnsi="Arial" w:cs="Arial"/>
                <w:sz w:val="22"/>
                <w:szCs w:val="22"/>
                <w:lang w:eastAsia="es-MX"/>
              </w:rPr>
              <w:t>VT. 2.1.5 Adicionar un nuevo polígono</w:t>
            </w:r>
            <w:r w:rsidR="00794EB9" w:rsidRPr="00794EB9">
              <w:rPr>
                <w:rFonts w:ascii="Arial" w:hAnsi="Arial" w:cs="Arial"/>
                <w:sz w:val="22"/>
                <w:szCs w:val="22"/>
                <w:lang w:eastAsia="es-MX"/>
              </w:rPr>
              <w:t xml:space="preserve"> y mantener el Sistema de Bicicleta Pública (SBP) Poliforum-Centro.</w:t>
            </w:r>
          </w:p>
          <w:p w14:paraId="32F71860" w14:textId="07E17E08" w:rsidR="004522BD" w:rsidRPr="00794EB9" w:rsidRDefault="004522BD" w:rsidP="004522BD">
            <w:pPr>
              <w:jc w:val="right"/>
              <w:rPr>
                <w:rFonts w:ascii="Arial" w:hAnsi="Arial" w:cs="Arial"/>
                <w:sz w:val="22"/>
                <w:szCs w:val="22"/>
                <w:lang w:eastAsia="es-MX"/>
              </w:rPr>
            </w:pPr>
            <w:r>
              <w:rPr>
                <w:rFonts w:ascii="Arial" w:hAnsi="Arial" w:cs="Arial"/>
                <w:b/>
                <w:color w:val="002060"/>
                <w:sz w:val="18"/>
                <w:szCs w:val="18"/>
                <w:lang w:eastAsia="es-MX"/>
              </w:rPr>
              <w:t xml:space="preserve">Acción modificada </w:t>
            </w:r>
            <w:r w:rsidR="00B87FCE">
              <w:rPr>
                <w:rFonts w:ascii="Arial" w:hAnsi="Arial" w:cs="Arial"/>
                <w:b/>
                <w:color w:val="002060"/>
                <w:sz w:val="18"/>
                <w:szCs w:val="18"/>
                <w:lang w:eastAsia="es-MX"/>
              </w:rPr>
              <w:t>P.O. 27-12</w:t>
            </w:r>
            <w:r w:rsidRPr="004522BD">
              <w:rPr>
                <w:rFonts w:ascii="Arial" w:hAnsi="Arial" w:cs="Arial"/>
                <w:b/>
                <w:color w:val="002060"/>
                <w:sz w:val="18"/>
                <w:szCs w:val="18"/>
                <w:lang w:eastAsia="es-MX"/>
              </w:rPr>
              <w:t>-2022</w:t>
            </w:r>
          </w:p>
        </w:tc>
      </w:tr>
      <w:tr w:rsidR="00794EB9" w:rsidRPr="00794EB9" w14:paraId="2A3247EC"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7A92269"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E99F7C8"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3C35AC5" w14:textId="77777777" w:rsidR="00794EB9" w:rsidRPr="00794EB9" w:rsidRDefault="00794EB9" w:rsidP="00C307FB">
            <w:pPr>
              <w:rPr>
                <w:rFonts w:ascii="Arial" w:hAnsi="Arial" w:cs="Arial"/>
                <w:sz w:val="22"/>
                <w:szCs w:val="22"/>
                <w:lang w:eastAsia="es-MX"/>
              </w:rPr>
            </w:pPr>
          </w:p>
        </w:tc>
        <w:tc>
          <w:tcPr>
            <w:tcW w:w="426" w:type="pct"/>
            <w:vMerge/>
            <w:tcBorders>
              <w:left w:val="single" w:sz="8" w:space="0" w:color="434343"/>
              <w:right w:val="single" w:sz="8" w:space="0" w:color="434343"/>
            </w:tcBorders>
            <w:vAlign w:val="center"/>
            <w:hideMark/>
          </w:tcPr>
          <w:p w14:paraId="387E0A5D"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5660609C"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A671DCF"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0EF5F9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2.1.6 Impartir talleres de fomento al uso de la bicicleta, seguridad para los ciclistas, peatones y conductores de manera integral</w:t>
            </w:r>
          </w:p>
        </w:tc>
      </w:tr>
      <w:tr w:rsidR="00794EB9" w:rsidRPr="00794EB9" w14:paraId="29C27CC3"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5FDE127"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7B38CC1"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1E2B9E0F" w14:textId="77777777" w:rsidR="00794EB9" w:rsidRPr="00794EB9" w:rsidRDefault="00794EB9" w:rsidP="00C307FB">
            <w:pPr>
              <w:rPr>
                <w:rFonts w:ascii="Arial" w:hAnsi="Arial" w:cs="Arial"/>
                <w:sz w:val="22"/>
                <w:szCs w:val="22"/>
                <w:lang w:eastAsia="es-MX"/>
              </w:rPr>
            </w:pPr>
          </w:p>
        </w:tc>
        <w:tc>
          <w:tcPr>
            <w:tcW w:w="426" w:type="pct"/>
            <w:vMerge/>
            <w:tcBorders>
              <w:left w:val="single" w:sz="8" w:space="0" w:color="434343"/>
              <w:right w:val="single" w:sz="8" w:space="0" w:color="434343"/>
            </w:tcBorders>
            <w:shd w:val="clear" w:color="auto" w:fill="auto"/>
            <w:vAlign w:val="center"/>
            <w:hideMark/>
          </w:tcPr>
          <w:p w14:paraId="0A5B660A"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6F665723"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429BAD2"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FF0F3B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2.1.7 Realizar 12 eventos de Paseo Ciclista en la ciudad anualmente. </w:t>
            </w:r>
          </w:p>
        </w:tc>
      </w:tr>
      <w:tr w:rsidR="00794EB9" w:rsidRPr="00794EB9" w14:paraId="5FF273AC"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539110B"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94FA26C"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1F16D165" w14:textId="77777777" w:rsidR="00794EB9" w:rsidRPr="00794EB9" w:rsidRDefault="00794EB9" w:rsidP="00C307FB">
            <w:pPr>
              <w:rPr>
                <w:rFonts w:ascii="Arial" w:hAnsi="Arial" w:cs="Arial"/>
                <w:sz w:val="22"/>
                <w:szCs w:val="22"/>
                <w:lang w:eastAsia="es-MX"/>
              </w:rPr>
            </w:pPr>
          </w:p>
        </w:tc>
        <w:tc>
          <w:tcPr>
            <w:tcW w:w="426" w:type="pct"/>
            <w:vMerge/>
            <w:tcBorders>
              <w:left w:val="single" w:sz="8" w:space="0" w:color="434343"/>
              <w:bottom w:val="single" w:sz="4" w:space="0" w:color="auto"/>
              <w:right w:val="single" w:sz="8" w:space="0" w:color="434343"/>
            </w:tcBorders>
            <w:shd w:val="clear" w:color="auto" w:fill="auto"/>
            <w:vAlign w:val="center"/>
            <w:hideMark/>
          </w:tcPr>
          <w:p w14:paraId="496BC018"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4" w:space="0" w:color="auto"/>
              <w:right w:val="single" w:sz="8" w:space="0" w:color="434343"/>
            </w:tcBorders>
            <w:vAlign w:val="center"/>
            <w:hideMark/>
          </w:tcPr>
          <w:p w14:paraId="45B53F98"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4" w:space="0" w:color="auto"/>
              <w:right w:val="single" w:sz="8" w:space="0" w:color="434343"/>
            </w:tcBorders>
            <w:vAlign w:val="center"/>
            <w:hideMark/>
          </w:tcPr>
          <w:p w14:paraId="5555931E"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4" w:space="0" w:color="auto"/>
              <w:right w:val="single" w:sz="8" w:space="0" w:color="434343"/>
            </w:tcBorders>
            <w:shd w:val="clear" w:color="auto" w:fill="auto"/>
            <w:hideMark/>
          </w:tcPr>
          <w:p w14:paraId="4EF9CB2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2.1.8 Lograr la Certificación para el 2022 para mantener a León en el Top 5 nacional de ciudades ciclistas </w:t>
            </w:r>
            <w:r w:rsidRPr="00794EB9">
              <w:rPr>
                <w:rFonts w:ascii="Arial" w:hAnsi="Arial" w:cs="Arial"/>
                <w:sz w:val="22"/>
                <w:szCs w:val="22"/>
                <w:lang w:eastAsia="es-MX"/>
              </w:rPr>
              <w:lastRenderedPageBreak/>
              <w:t>(índice ITDP- Ciclociudades).</w:t>
            </w:r>
          </w:p>
        </w:tc>
      </w:tr>
      <w:tr w:rsidR="00794EB9" w:rsidRPr="00794EB9" w14:paraId="72499438" w14:textId="77777777" w:rsidTr="00C307FB">
        <w:trPr>
          <w:trHeight w:val="857"/>
        </w:trPr>
        <w:tc>
          <w:tcPr>
            <w:tcW w:w="376" w:type="pct"/>
            <w:vMerge/>
            <w:tcBorders>
              <w:top w:val="nil"/>
              <w:left w:val="single" w:sz="8" w:space="0" w:color="434343"/>
              <w:bottom w:val="single" w:sz="8" w:space="0" w:color="434343"/>
              <w:right w:val="single" w:sz="8" w:space="0" w:color="434343"/>
            </w:tcBorders>
            <w:vAlign w:val="center"/>
            <w:hideMark/>
          </w:tcPr>
          <w:p w14:paraId="734C80A5"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8F0411C" w14:textId="77777777" w:rsidR="00794EB9" w:rsidRPr="00794EB9" w:rsidRDefault="00794EB9" w:rsidP="00C307FB">
            <w:pPr>
              <w:rPr>
                <w:rFonts w:ascii="Arial" w:hAnsi="Arial" w:cs="Arial"/>
                <w:sz w:val="22"/>
                <w:szCs w:val="22"/>
                <w:lang w:eastAsia="es-MX"/>
              </w:rPr>
            </w:pPr>
          </w:p>
        </w:tc>
        <w:tc>
          <w:tcPr>
            <w:tcW w:w="687" w:type="pct"/>
            <w:vMerge w:val="restart"/>
            <w:tcBorders>
              <w:top w:val="nil"/>
              <w:left w:val="nil"/>
              <w:right w:val="single" w:sz="4" w:space="0" w:color="auto"/>
            </w:tcBorders>
            <w:shd w:val="clear" w:color="auto" w:fill="auto"/>
            <w:hideMark/>
          </w:tcPr>
          <w:p w14:paraId="13FEC317" w14:textId="77777777" w:rsidR="00794EB9" w:rsidRPr="00794EB9" w:rsidRDefault="00794EB9" w:rsidP="00C307FB">
            <w:pPr>
              <w:ind w:hanging="2"/>
              <w:rPr>
                <w:rFonts w:ascii="Arial" w:hAnsi="Arial" w:cs="Arial"/>
                <w:sz w:val="22"/>
                <w:szCs w:val="22"/>
                <w:lang w:eastAsia="es-MX"/>
              </w:rPr>
            </w:pPr>
            <w:r w:rsidRPr="00794EB9">
              <w:rPr>
                <w:rFonts w:ascii="Arial" w:hAnsi="Arial" w:cs="Arial"/>
                <w:sz w:val="22"/>
                <w:szCs w:val="22"/>
                <w:lang w:eastAsia="es-MX"/>
              </w:rPr>
              <w:t>I 20. Porcentaje de cobertura de intermodalidad urbana</w:t>
            </w:r>
            <w:r w:rsidRPr="00794EB9">
              <w:rPr>
                <w:rFonts w:ascii="Arial" w:hAnsi="Arial" w:cs="Arial"/>
                <w:sz w:val="22"/>
                <w:szCs w:val="22"/>
                <w:lang w:eastAsia="es-MX"/>
              </w:rPr>
              <w:br/>
              <w:t>I 21. Porcentaje de accesibilidad en el sistema vial</w:t>
            </w:r>
            <w:r w:rsidRPr="00794EB9">
              <w:rPr>
                <w:rFonts w:ascii="Arial" w:hAnsi="Arial" w:cs="Arial"/>
                <w:sz w:val="22"/>
                <w:szCs w:val="22"/>
                <w:lang w:eastAsia="es-MX"/>
              </w:rPr>
              <w:br/>
              <w:t>I 22. Porcentaje de conectividad de las ciclovías existentes con cierre de circuitos</w:t>
            </w:r>
            <w:r w:rsidRPr="00794EB9">
              <w:rPr>
                <w:rFonts w:ascii="Arial" w:hAnsi="Arial" w:cs="Arial"/>
                <w:sz w:val="22"/>
                <w:szCs w:val="22"/>
                <w:lang w:eastAsia="es-MX"/>
              </w:rPr>
              <w:br/>
              <w:t>I 23. Porcentaje de cobertura de transporte público en la zona urbana</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8EFCC2" w14:textId="77777777" w:rsidR="00794EB9" w:rsidRPr="00794EB9" w:rsidRDefault="00794EB9" w:rsidP="00C307FB">
            <w:pPr>
              <w:ind w:hanging="2"/>
              <w:rPr>
                <w:rFonts w:ascii="Arial" w:hAnsi="Arial" w:cs="Arial"/>
                <w:sz w:val="22"/>
                <w:szCs w:val="22"/>
                <w:lang w:eastAsia="es-MX"/>
              </w:rPr>
            </w:pPr>
            <w:r w:rsidRPr="00794EB9">
              <w:rPr>
                <w:rFonts w:ascii="Arial" w:hAnsi="Arial" w:cs="Arial"/>
                <w:sz w:val="22"/>
                <w:szCs w:val="22"/>
                <w:lang w:eastAsia="es-MX"/>
              </w:rPr>
              <w:t>Implementación de sistemas alternativos de transporte ecológico sustentable</w:t>
            </w:r>
          </w:p>
        </w:tc>
        <w:tc>
          <w:tcPr>
            <w:tcW w:w="1024" w:type="pct"/>
            <w:tcBorders>
              <w:top w:val="single" w:sz="4" w:space="0" w:color="auto"/>
              <w:left w:val="single" w:sz="4" w:space="0" w:color="auto"/>
              <w:bottom w:val="single" w:sz="4" w:space="0" w:color="auto"/>
              <w:right w:val="single" w:sz="4" w:space="0" w:color="auto"/>
            </w:tcBorders>
            <w:shd w:val="clear" w:color="auto" w:fill="auto"/>
          </w:tcPr>
          <w:p w14:paraId="1B83692F" w14:textId="77777777" w:rsidR="00794EB9" w:rsidRPr="00794EB9" w:rsidRDefault="00794EB9" w:rsidP="00C307FB">
            <w:pPr>
              <w:ind w:hanging="2"/>
              <w:rPr>
                <w:rFonts w:ascii="Arial" w:hAnsi="Arial" w:cs="Arial"/>
                <w:sz w:val="22"/>
                <w:szCs w:val="22"/>
                <w:lang w:eastAsia="es-MX"/>
              </w:rPr>
            </w:pPr>
            <w:r w:rsidRPr="00794EB9">
              <w:rPr>
                <w:rFonts w:ascii="Arial" w:hAnsi="Arial" w:cs="Arial"/>
                <w:sz w:val="22"/>
                <w:szCs w:val="22"/>
                <w:lang w:eastAsia="es-MX"/>
              </w:rPr>
              <w:t>Ampliar y renovar la infraestructura vial orientada al transporte público, a fin de mejorar el nivel de servicio mediante el incremento de carriles exclusivos y rutas exprés</w:t>
            </w:r>
          </w:p>
        </w:tc>
        <w:tc>
          <w:tcPr>
            <w:tcW w:w="686" w:type="pct"/>
            <w:tcBorders>
              <w:top w:val="single" w:sz="4" w:space="0" w:color="auto"/>
              <w:left w:val="single" w:sz="4" w:space="0" w:color="auto"/>
              <w:bottom w:val="single" w:sz="4" w:space="0" w:color="auto"/>
              <w:right w:val="single" w:sz="4" w:space="0" w:color="auto"/>
            </w:tcBorders>
            <w:shd w:val="clear" w:color="auto" w:fill="auto"/>
          </w:tcPr>
          <w:p w14:paraId="1B66E739" w14:textId="77777777" w:rsidR="00794EB9" w:rsidRPr="00794EB9" w:rsidRDefault="00794EB9" w:rsidP="00C307FB">
            <w:pPr>
              <w:ind w:hanging="2"/>
              <w:rPr>
                <w:rFonts w:ascii="Arial" w:hAnsi="Arial" w:cs="Arial"/>
                <w:b/>
                <w:bCs/>
                <w:sz w:val="22"/>
                <w:szCs w:val="22"/>
                <w:lang w:eastAsia="es-MX"/>
              </w:rPr>
            </w:pPr>
            <w:r w:rsidRPr="00794EB9">
              <w:rPr>
                <w:rFonts w:ascii="Arial" w:hAnsi="Arial" w:cs="Arial"/>
                <w:b/>
                <w:bCs/>
                <w:sz w:val="22"/>
                <w:szCs w:val="22"/>
                <w:lang w:eastAsia="es-MX"/>
              </w:rPr>
              <w:t xml:space="preserve">VT. 2.2 Circuito de Rutas Exprés Perimetrales </w:t>
            </w:r>
          </w:p>
        </w:tc>
        <w:tc>
          <w:tcPr>
            <w:tcW w:w="1191" w:type="pct"/>
            <w:tcBorders>
              <w:top w:val="single" w:sz="4" w:space="0" w:color="auto"/>
              <w:left w:val="single" w:sz="4" w:space="0" w:color="auto"/>
              <w:bottom w:val="single" w:sz="4" w:space="0" w:color="auto"/>
              <w:right w:val="single" w:sz="4" w:space="0" w:color="auto"/>
            </w:tcBorders>
            <w:shd w:val="clear" w:color="auto" w:fill="auto"/>
          </w:tcPr>
          <w:p w14:paraId="55C1438E" w14:textId="77777777" w:rsidR="00794EB9" w:rsidRPr="00794EB9" w:rsidRDefault="00794EB9" w:rsidP="00C307FB">
            <w:pPr>
              <w:ind w:hanging="2"/>
              <w:rPr>
                <w:rFonts w:ascii="Arial" w:hAnsi="Arial" w:cs="Arial"/>
                <w:sz w:val="22"/>
                <w:szCs w:val="22"/>
                <w:lang w:eastAsia="es-MX"/>
              </w:rPr>
            </w:pPr>
            <w:r w:rsidRPr="00794EB9">
              <w:rPr>
                <w:rFonts w:ascii="Arial" w:hAnsi="Arial" w:cs="Arial"/>
                <w:sz w:val="22"/>
                <w:szCs w:val="22"/>
                <w:lang w:eastAsia="es-MX"/>
              </w:rPr>
              <w:t>VT. 2.2.1 Crear el primer circuito de transporte exprés en la ciudad y Delegaciones.</w:t>
            </w:r>
          </w:p>
        </w:tc>
      </w:tr>
      <w:tr w:rsidR="00794EB9" w:rsidRPr="00794EB9" w14:paraId="29E8B86C"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BC82F4B"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9CB08F8" w14:textId="77777777" w:rsidR="00794EB9" w:rsidRPr="00794EB9" w:rsidRDefault="00794EB9" w:rsidP="00C307FB">
            <w:pPr>
              <w:rPr>
                <w:rFonts w:ascii="Arial" w:hAnsi="Arial" w:cs="Arial"/>
                <w:sz w:val="22"/>
                <w:szCs w:val="22"/>
                <w:lang w:eastAsia="es-MX"/>
              </w:rPr>
            </w:pPr>
          </w:p>
        </w:tc>
        <w:tc>
          <w:tcPr>
            <w:tcW w:w="687" w:type="pct"/>
            <w:vMerge/>
            <w:tcBorders>
              <w:left w:val="single" w:sz="8" w:space="0" w:color="434343"/>
              <w:bottom w:val="single" w:sz="8" w:space="0" w:color="434343"/>
              <w:right w:val="single" w:sz="4" w:space="0" w:color="auto"/>
            </w:tcBorders>
            <w:vAlign w:val="center"/>
            <w:hideMark/>
          </w:tcPr>
          <w:p w14:paraId="1D23D8D4" w14:textId="77777777" w:rsidR="00794EB9" w:rsidRPr="00794EB9" w:rsidRDefault="00794EB9" w:rsidP="00C307FB">
            <w:pPr>
              <w:rPr>
                <w:rFonts w:ascii="Arial" w:hAnsi="Arial" w:cs="Arial"/>
                <w:sz w:val="22"/>
                <w:szCs w:val="22"/>
                <w:lang w:eastAsia="es-MX"/>
              </w:rPr>
            </w:pPr>
          </w:p>
        </w:tc>
        <w:tc>
          <w:tcPr>
            <w:tcW w:w="426" w:type="pct"/>
            <w:tcBorders>
              <w:top w:val="single" w:sz="4" w:space="0" w:color="auto"/>
              <w:left w:val="single" w:sz="4" w:space="0" w:color="auto"/>
              <w:bottom w:val="single" w:sz="4" w:space="0" w:color="auto"/>
              <w:right w:val="single" w:sz="4" w:space="0" w:color="auto"/>
            </w:tcBorders>
            <w:shd w:val="clear" w:color="auto" w:fill="auto"/>
            <w:hideMark/>
          </w:tcPr>
          <w:p w14:paraId="0342027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Innovación en movilidad sustentable</w:t>
            </w:r>
          </w:p>
        </w:tc>
        <w:tc>
          <w:tcPr>
            <w:tcW w:w="1024" w:type="pct"/>
            <w:tcBorders>
              <w:top w:val="single" w:sz="4" w:space="0" w:color="auto"/>
              <w:left w:val="single" w:sz="4" w:space="0" w:color="auto"/>
              <w:bottom w:val="single" w:sz="4" w:space="0" w:color="auto"/>
              <w:right w:val="single" w:sz="4" w:space="0" w:color="auto"/>
            </w:tcBorders>
            <w:shd w:val="clear" w:color="auto" w:fill="auto"/>
            <w:hideMark/>
          </w:tcPr>
          <w:p w14:paraId="1665C46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proyectos y acciones que fomenten la intermodalidad con la integración de los distintos medios de movilidad municipal, realizando adecuaciones para la accesibilidad de las personas con discapacidad y adultos mayores</w:t>
            </w:r>
          </w:p>
        </w:tc>
        <w:tc>
          <w:tcPr>
            <w:tcW w:w="686"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592CAB9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2.3 Evolución del SIT</w:t>
            </w:r>
          </w:p>
        </w:tc>
        <w:tc>
          <w:tcPr>
            <w:tcW w:w="1191" w:type="pct"/>
            <w:tcBorders>
              <w:top w:val="single" w:sz="4" w:space="0" w:color="auto"/>
              <w:left w:val="single" w:sz="4" w:space="0" w:color="auto"/>
              <w:bottom w:val="single" w:sz="4" w:space="0" w:color="auto"/>
              <w:right w:val="single" w:sz="4" w:space="0" w:color="auto"/>
            </w:tcBorders>
            <w:shd w:val="clear" w:color="auto" w:fill="auto"/>
            <w:hideMark/>
          </w:tcPr>
          <w:p w14:paraId="21BEA5B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2.3.1 Realizar un estudio Integral Origen-Destino de la Zona Metropolitana, que contemple aspectos de modelación y microsimulación.</w:t>
            </w:r>
          </w:p>
        </w:tc>
      </w:tr>
      <w:tr w:rsidR="00794EB9" w:rsidRPr="00794EB9" w14:paraId="5A8364A7"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FF7D7A1"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21837DF" w14:textId="77777777" w:rsidR="00794EB9" w:rsidRPr="00794EB9" w:rsidRDefault="00794EB9" w:rsidP="00C307FB">
            <w:pPr>
              <w:rPr>
                <w:rFonts w:ascii="Arial" w:hAnsi="Arial" w:cs="Arial"/>
                <w:sz w:val="22"/>
                <w:szCs w:val="22"/>
                <w:lang w:eastAsia="es-MX"/>
              </w:rPr>
            </w:pP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36242D9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20. Porcentaje de cobertura de intermodalidad urbana</w:t>
            </w:r>
            <w:r w:rsidRPr="00794EB9">
              <w:rPr>
                <w:rFonts w:ascii="Arial" w:hAnsi="Arial" w:cs="Arial"/>
                <w:sz w:val="22"/>
                <w:szCs w:val="22"/>
                <w:lang w:eastAsia="es-MX"/>
              </w:rPr>
              <w:br/>
              <w:t xml:space="preserve">I 21. </w:t>
            </w:r>
            <w:r w:rsidRPr="00794EB9">
              <w:rPr>
                <w:rFonts w:ascii="Arial" w:hAnsi="Arial" w:cs="Arial"/>
                <w:sz w:val="22"/>
                <w:szCs w:val="22"/>
                <w:lang w:eastAsia="es-MX"/>
              </w:rPr>
              <w:lastRenderedPageBreak/>
              <w:t>Porcentaje de accesibilidad en el sistema vial</w:t>
            </w:r>
            <w:r w:rsidRPr="00794EB9">
              <w:rPr>
                <w:rFonts w:ascii="Arial" w:hAnsi="Arial" w:cs="Arial"/>
                <w:sz w:val="22"/>
                <w:szCs w:val="22"/>
                <w:lang w:eastAsia="es-MX"/>
              </w:rPr>
              <w:br/>
              <w:t>I 22. Porcentaje de conectividad de las ciclovías existentes con cierre de circuitos</w:t>
            </w:r>
            <w:r w:rsidRPr="00794EB9">
              <w:rPr>
                <w:rFonts w:ascii="Arial" w:hAnsi="Arial" w:cs="Arial"/>
                <w:sz w:val="22"/>
                <w:szCs w:val="22"/>
                <w:lang w:eastAsia="es-MX"/>
              </w:rPr>
              <w:br/>
              <w:t>I 23. Porcentaje de cobertura de transporte público en la zona urbana</w:t>
            </w:r>
          </w:p>
        </w:tc>
        <w:tc>
          <w:tcPr>
            <w:tcW w:w="426" w:type="pct"/>
            <w:vMerge w:val="restart"/>
            <w:tcBorders>
              <w:top w:val="single" w:sz="4" w:space="0" w:color="auto"/>
              <w:left w:val="single" w:sz="8" w:space="0" w:color="434343"/>
              <w:bottom w:val="single" w:sz="8" w:space="0" w:color="434343"/>
              <w:right w:val="single" w:sz="8" w:space="0" w:color="434343"/>
            </w:tcBorders>
            <w:shd w:val="clear" w:color="auto" w:fill="auto"/>
            <w:hideMark/>
          </w:tcPr>
          <w:p w14:paraId="24F4FF6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Implementación de sistemas alternativos de </w:t>
            </w:r>
            <w:r w:rsidRPr="00794EB9">
              <w:rPr>
                <w:rFonts w:ascii="Arial" w:hAnsi="Arial" w:cs="Arial"/>
                <w:sz w:val="22"/>
                <w:szCs w:val="22"/>
                <w:lang w:eastAsia="es-MX"/>
              </w:rPr>
              <w:lastRenderedPageBreak/>
              <w:t>transporte ecológico sustentable</w:t>
            </w:r>
          </w:p>
        </w:tc>
        <w:tc>
          <w:tcPr>
            <w:tcW w:w="1024" w:type="pct"/>
            <w:vMerge w:val="restart"/>
            <w:tcBorders>
              <w:top w:val="single" w:sz="4" w:space="0" w:color="auto"/>
              <w:left w:val="single" w:sz="8" w:space="0" w:color="434343"/>
              <w:bottom w:val="single" w:sz="8" w:space="0" w:color="434343"/>
              <w:right w:val="single" w:sz="8" w:space="0" w:color="434343"/>
            </w:tcBorders>
            <w:shd w:val="clear" w:color="auto" w:fill="auto"/>
            <w:hideMark/>
          </w:tcPr>
          <w:p w14:paraId="65F7B3B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Ampliar la cobertura y capacidad de operación del Sistema Integrado de Transporte (SIT) con nuevos corredores para </w:t>
            </w:r>
            <w:r w:rsidRPr="00794EB9">
              <w:rPr>
                <w:rFonts w:ascii="Arial" w:hAnsi="Arial" w:cs="Arial"/>
                <w:sz w:val="22"/>
                <w:szCs w:val="22"/>
                <w:lang w:eastAsia="es-MX"/>
              </w:rPr>
              <w:lastRenderedPageBreak/>
              <w:t>incorporar más zonas de atención a los usuarios</w:t>
            </w:r>
          </w:p>
        </w:tc>
        <w:tc>
          <w:tcPr>
            <w:tcW w:w="686" w:type="pct"/>
            <w:vMerge/>
            <w:tcBorders>
              <w:top w:val="single" w:sz="4" w:space="0" w:color="auto"/>
              <w:left w:val="single" w:sz="8" w:space="0" w:color="434343"/>
              <w:bottom w:val="single" w:sz="8" w:space="0" w:color="434343"/>
              <w:right w:val="single" w:sz="8" w:space="0" w:color="434343"/>
            </w:tcBorders>
            <w:vAlign w:val="center"/>
            <w:hideMark/>
          </w:tcPr>
          <w:p w14:paraId="6AB65961" w14:textId="77777777" w:rsidR="00794EB9" w:rsidRPr="00794EB9" w:rsidRDefault="00794EB9" w:rsidP="00C307FB">
            <w:pPr>
              <w:rPr>
                <w:rFonts w:ascii="Arial" w:hAnsi="Arial" w:cs="Arial"/>
                <w:b/>
                <w:bCs/>
                <w:sz w:val="22"/>
                <w:szCs w:val="22"/>
                <w:lang w:eastAsia="es-MX"/>
              </w:rPr>
            </w:pPr>
          </w:p>
        </w:tc>
        <w:tc>
          <w:tcPr>
            <w:tcW w:w="1191" w:type="pct"/>
            <w:tcBorders>
              <w:top w:val="single" w:sz="4" w:space="0" w:color="auto"/>
              <w:left w:val="nil"/>
              <w:bottom w:val="single" w:sz="8" w:space="0" w:color="434343"/>
              <w:right w:val="single" w:sz="8" w:space="0" w:color="434343"/>
            </w:tcBorders>
            <w:shd w:val="clear" w:color="auto" w:fill="auto"/>
            <w:hideMark/>
          </w:tcPr>
          <w:p w14:paraId="708FDFA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2.3.2 Realizar un Plan Maestro de nuevas rutas troncales y estaciones de Transferencia. </w:t>
            </w:r>
          </w:p>
        </w:tc>
      </w:tr>
      <w:tr w:rsidR="00794EB9" w:rsidRPr="00794EB9" w14:paraId="01B4B11F"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DB93EFE"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6B29ECB"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D82A9C9"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28B86E45"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466B1645"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54240AB"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D0F251F" w14:textId="77777777" w:rsidR="00794EB9" w:rsidRDefault="00794EB9" w:rsidP="00C307FB">
            <w:pPr>
              <w:rPr>
                <w:rFonts w:ascii="Arial" w:hAnsi="Arial" w:cs="Arial"/>
                <w:sz w:val="22"/>
                <w:szCs w:val="22"/>
                <w:lang w:eastAsia="es-MX"/>
              </w:rPr>
            </w:pPr>
            <w:r w:rsidRPr="00794EB9">
              <w:rPr>
                <w:rFonts w:ascii="Arial" w:hAnsi="Arial" w:cs="Arial"/>
                <w:sz w:val="22"/>
                <w:szCs w:val="22"/>
                <w:lang w:eastAsia="es-MX"/>
              </w:rPr>
              <w:t>VT. 2.3.3 Construir</w:t>
            </w:r>
            <w:r w:rsidR="004522BD">
              <w:rPr>
                <w:rFonts w:ascii="Arial" w:hAnsi="Arial" w:cs="Arial"/>
                <w:sz w:val="22"/>
                <w:szCs w:val="22"/>
                <w:lang w:eastAsia="es-MX"/>
              </w:rPr>
              <w:t xml:space="preserve"> una nueva terminal</w:t>
            </w:r>
            <w:r w:rsidRPr="00794EB9">
              <w:rPr>
                <w:rFonts w:ascii="Arial" w:hAnsi="Arial" w:cs="Arial"/>
                <w:sz w:val="22"/>
                <w:szCs w:val="22"/>
                <w:lang w:eastAsia="es-MX"/>
              </w:rPr>
              <w:t xml:space="preserve"> </w:t>
            </w:r>
            <w:r w:rsidRPr="00794EB9">
              <w:rPr>
                <w:rFonts w:ascii="Arial" w:hAnsi="Arial" w:cs="Arial"/>
                <w:sz w:val="22"/>
                <w:szCs w:val="22"/>
                <w:lang w:eastAsia="es-MX"/>
              </w:rPr>
              <w:lastRenderedPageBreak/>
              <w:t>del SIT y habilitar paraderos seguros.</w:t>
            </w:r>
          </w:p>
          <w:p w14:paraId="29B78D4E" w14:textId="6148C46E" w:rsidR="004522BD" w:rsidRPr="00794EB9" w:rsidRDefault="004522BD" w:rsidP="00C307FB">
            <w:pPr>
              <w:rPr>
                <w:rFonts w:ascii="Arial" w:hAnsi="Arial" w:cs="Arial"/>
                <w:sz w:val="22"/>
                <w:szCs w:val="22"/>
                <w:lang w:eastAsia="es-MX"/>
              </w:rPr>
            </w:pPr>
            <w:r>
              <w:rPr>
                <w:rFonts w:ascii="Arial" w:hAnsi="Arial" w:cs="Arial"/>
                <w:b/>
                <w:color w:val="002060"/>
                <w:sz w:val="18"/>
                <w:szCs w:val="18"/>
                <w:lang w:eastAsia="es-MX"/>
              </w:rPr>
              <w:t>Acción modificada P.O. 27-12</w:t>
            </w:r>
            <w:r w:rsidRPr="004522BD">
              <w:rPr>
                <w:rFonts w:ascii="Arial" w:hAnsi="Arial" w:cs="Arial"/>
                <w:b/>
                <w:color w:val="002060"/>
                <w:sz w:val="18"/>
                <w:szCs w:val="18"/>
                <w:lang w:eastAsia="es-MX"/>
              </w:rPr>
              <w:t>-2022</w:t>
            </w:r>
          </w:p>
        </w:tc>
      </w:tr>
      <w:tr w:rsidR="00794EB9" w:rsidRPr="00794EB9" w14:paraId="6DFD99CD"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BFBA631"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023548F" w14:textId="77777777" w:rsidR="00794EB9" w:rsidRPr="00794EB9" w:rsidRDefault="00794EB9" w:rsidP="00C307FB">
            <w:pPr>
              <w:rPr>
                <w:rFonts w:ascii="Arial" w:hAnsi="Arial" w:cs="Arial"/>
                <w:sz w:val="22"/>
                <w:szCs w:val="22"/>
                <w:lang w:eastAsia="es-MX"/>
              </w:rPr>
            </w:pP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766FC99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20. Porcentaje de cobertura de intermodalidad urbana</w:t>
            </w:r>
            <w:r w:rsidRPr="00794EB9">
              <w:rPr>
                <w:rFonts w:ascii="Arial" w:hAnsi="Arial" w:cs="Arial"/>
                <w:sz w:val="22"/>
                <w:szCs w:val="22"/>
                <w:lang w:eastAsia="es-MX"/>
              </w:rPr>
              <w:br/>
              <w:t>I 22. Porcentaje de conectividad de las ciclovías existentes con cierre de circuitos</w:t>
            </w:r>
            <w:r w:rsidRPr="00794EB9">
              <w:rPr>
                <w:rFonts w:ascii="Arial" w:hAnsi="Arial" w:cs="Arial"/>
                <w:sz w:val="22"/>
                <w:szCs w:val="22"/>
                <w:lang w:eastAsia="es-MX"/>
              </w:rPr>
              <w:br/>
              <w:t xml:space="preserve">I 23. Porcentaje </w:t>
            </w:r>
            <w:r w:rsidRPr="00794EB9">
              <w:rPr>
                <w:rFonts w:ascii="Arial" w:hAnsi="Arial" w:cs="Arial"/>
                <w:sz w:val="22"/>
                <w:szCs w:val="22"/>
                <w:lang w:eastAsia="es-MX"/>
              </w:rPr>
              <w:lastRenderedPageBreak/>
              <w:t>de cobertura de transporte público en la zona urbana</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39961DC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Innovación en movilidad sustentable</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4F01D08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proyectos y acciones que fomenten la intermodalidad con la integración de los distintos medios de movilidad municipal, realizando adecuaciones para la accesibilidad de las personas con discapacidad y adultos mayores</w:t>
            </w:r>
          </w:p>
        </w:tc>
        <w:tc>
          <w:tcPr>
            <w:tcW w:w="686" w:type="pct"/>
            <w:vMerge/>
            <w:tcBorders>
              <w:top w:val="nil"/>
              <w:left w:val="single" w:sz="8" w:space="0" w:color="434343"/>
              <w:bottom w:val="single" w:sz="8" w:space="0" w:color="434343"/>
              <w:right w:val="single" w:sz="8" w:space="0" w:color="434343"/>
            </w:tcBorders>
            <w:vAlign w:val="center"/>
            <w:hideMark/>
          </w:tcPr>
          <w:p w14:paraId="13A9DECE"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6D53FC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2.3.4 Incrementar el esquema de apoyos para el subsidio de transporte a adultos mayores.</w:t>
            </w:r>
          </w:p>
        </w:tc>
      </w:tr>
      <w:tr w:rsidR="00794EB9" w:rsidRPr="00794EB9" w14:paraId="582A4D47"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50230E7"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01AE942"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13734C91"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494D0402"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A9F9672"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75B6576"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85035B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2.3.5 Elaborar el Plan de Reordenamiento de Rutas Suburbanas.</w:t>
            </w:r>
          </w:p>
        </w:tc>
      </w:tr>
      <w:tr w:rsidR="00794EB9" w:rsidRPr="00794EB9" w14:paraId="44293ED2"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69E390C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610" w:type="pct"/>
            <w:tcBorders>
              <w:top w:val="nil"/>
              <w:left w:val="nil"/>
              <w:bottom w:val="single" w:sz="8" w:space="0" w:color="434343"/>
              <w:right w:val="single" w:sz="8" w:space="0" w:color="434343"/>
            </w:tcBorders>
            <w:shd w:val="clear" w:color="auto" w:fill="auto"/>
            <w:hideMark/>
          </w:tcPr>
          <w:p w14:paraId="5A36296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687" w:type="pct"/>
            <w:tcBorders>
              <w:top w:val="nil"/>
              <w:left w:val="nil"/>
              <w:bottom w:val="single" w:sz="8" w:space="0" w:color="434343"/>
              <w:right w:val="single" w:sz="8" w:space="0" w:color="434343"/>
            </w:tcBorders>
            <w:shd w:val="clear" w:color="auto" w:fill="auto"/>
            <w:hideMark/>
          </w:tcPr>
          <w:p w14:paraId="6ADEA7E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61. Porcentaje de población de 18 años y más que percibe segura la ciudad</w:t>
            </w:r>
            <w:r w:rsidRPr="00794EB9">
              <w:rPr>
                <w:rFonts w:ascii="Arial" w:hAnsi="Arial" w:cs="Arial"/>
                <w:sz w:val="22"/>
                <w:szCs w:val="22"/>
                <w:lang w:eastAsia="es-MX"/>
              </w:rPr>
              <w:br/>
              <w:t>I 62. Tasa de incidencia delictiva</w:t>
            </w:r>
            <w:r w:rsidRPr="00794EB9">
              <w:rPr>
                <w:rFonts w:ascii="Arial" w:hAnsi="Arial" w:cs="Arial"/>
                <w:sz w:val="22"/>
                <w:szCs w:val="22"/>
                <w:lang w:eastAsia="es-MX"/>
              </w:rPr>
              <w:br/>
              <w:t>I 63. Número de elementos de la policía municipal por cada mil habitantes</w:t>
            </w:r>
            <w:r w:rsidRPr="00794EB9">
              <w:rPr>
                <w:rFonts w:ascii="Arial" w:hAnsi="Arial" w:cs="Arial"/>
                <w:sz w:val="22"/>
                <w:szCs w:val="22"/>
                <w:lang w:eastAsia="es-MX"/>
              </w:rPr>
              <w:br/>
              <w:t>I 64. Porcentaje de población que percibe que la policía de León está capacitada para acercarse al ciudadana</w:t>
            </w:r>
          </w:p>
        </w:tc>
        <w:tc>
          <w:tcPr>
            <w:tcW w:w="426" w:type="pct"/>
            <w:tcBorders>
              <w:top w:val="nil"/>
              <w:left w:val="nil"/>
              <w:bottom w:val="single" w:sz="8" w:space="0" w:color="434343"/>
              <w:right w:val="single" w:sz="8" w:space="0" w:color="434343"/>
            </w:tcBorders>
            <w:shd w:val="clear" w:color="auto" w:fill="auto"/>
            <w:hideMark/>
          </w:tcPr>
          <w:p w14:paraId="7ADC738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1024" w:type="pct"/>
            <w:tcBorders>
              <w:top w:val="nil"/>
              <w:left w:val="nil"/>
              <w:bottom w:val="single" w:sz="8" w:space="0" w:color="434343"/>
              <w:right w:val="single" w:sz="8" w:space="0" w:color="434343"/>
            </w:tcBorders>
            <w:shd w:val="clear" w:color="auto" w:fill="auto"/>
            <w:hideMark/>
          </w:tcPr>
          <w:p w14:paraId="7648F2C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Conformar entornos y trayectos seguros en las inmediaciones de equipamientos urbanos y espacios públicos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6797D74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2.4 Red de Corredores Seguros</w:t>
            </w: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472A7DC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2.4.1 Desarrollar e implementar el modelo de corredores seguros que conecten con las principales vialidades de la ciudad.</w:t>
            </w:r>
          </w:p>
        </w:tc>
      </w:tr>
      <w:tr w:rsidR="00794EB9" w:rsidRPr="00794EB9" w14:paraId="3E6D9F65"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D5BE93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Movilidad sustentable e incluyente</w:t>
            </w:r>
          </w:p>
        </w:tc>
        <w:tc>
          <w:tcPr>
            <w:tcW w:w="610" w:type="pct"/>
            <w:tcBorders>
              <w:top w:val="nil"/>
              <w:left w:val="nil"/>
              <w:bottom w:val="single" w:sz="8" w:space="0" w:color="434343"/>
              <w:right w:val="single" w:sz="8" w:space="0" w:color="434343"/>
            </w:tcBorders>
            <w:shd w:val="clear" w:color="auto" w:fill="auto"/>
            <w:hideMark/>
          </w:tcPr>
          <w:p w14:paraId="4A0E9E2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687" w:type="pct"/>
            <w:tcBorders>
              <w:top w:val="nil"/>
              <w:left w:val="nil"/>
              <w:bottom w:val="single" w:sz="8" w:space="0" w:color="434343"/>
              <w:right w:val="single" w:sz="8" w:space="0" w:color="434343"/>
            </w:tcBorders>
            <w:shd w:val="clear" w:color="auto" w:fill="auto"/>
            <w:hideMark/>
          </w:tcPr>
          <w:p w14:paraId="2DD6EB0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21. Porcentaje de accesibilidad en el sistema vial</w:t>
            </w:r>
          </w:p>
        </w:tc>
        <w:tc>
          <w:tcPr>
            <w:tcW w:w="426" w:type="pct"/>
            <w:tcBorders>
              <w:top w:val="nil"/>
              <w:left w:val="nil"/>
              <w:bottom w:val="single" w:sz="8" w:space="0" w:color="434343"/>
              <w:right w:val="single" w:sz="8" w:space="0" w:color="434343"/>
            </w:tcBorders>
            <w:shd w:val="clear" w:color="auto" w:fill="auto"/>
            <w:hideMark/>
          </w:tcPr>
          <w:p w14:paraId="29026A3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1024" w:type="pct"/>
            <w:tcBorders>
              <w:top w:val="nil"/>
              <w:left w:val="nil"/>
              <w:bottom w:val="single" w:sz="8" w:space="0" w:color="434343"/>
              <w:right w:val="single" w:sz="8" w:space="0" w:color="434343"/>
            </w:tcBorders>
            <w:shd w:val="clear" w:color="auto" w:fill="auto"/>
            <w:hideMark/>
          </w:tcPr>
          <w:p w14:paraId="5CB1AC8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Impulsar proyectos e intervenciones que hagan más eficiente la movilidad en zonas conflictivas</w:t>
            </w:r>
          </w:p>
        </w:tc>
        <w:tc>
          <w:tcPr>
            <w:tcW w:w="686" w:type="pct"/>
            <w:vMerge/>
            <w:tcBorders>
              <w:top w:val="nil"/>
              <w:left w:val="single" w:sz="8" w:space="0" w:color="434343"/>
              <w:bottom w:val="single" w:sz="8" w:space="0" w:color="434343"/>
              <w:right w:val="single" w:sz="8" w:space="0" w:color="434343"/>
            </w:tcBorders>
            <w:vAlign w:val="center"/>
            <w:hideMark/>
          </w:tcPr>
          <w:p w14:paraId="27357EA2" w14:textId="77777777" w:rsidR="00794EB9" w:rsidRPr="00794EB9" w:rsidRDefault="00794EB9" w:rsidP="00C307FB">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4A47C56C" w14:textId="77777777" w:rsidR="00794EB9" w:rsidRPr="00794EB9" w:rsidRDefault="00794EB9" w:rsidP="00C307FB">
            <w:pPr>
              <w:rPr>
                <w:rFonts w:ascii="Arial" w:hAnsi="Arial" w:cs="Arial"/>
                <w:sz w:val="22"/>
                <w:szCs w:val="22"/>
                <w:lang w:eastAsia="es-MX"/>
              </w:rPr>
            </w:pPr>
          </w:p>
        </w:tc>
      </w:tr>
      <w:tr w:rsidR="00794EB9" w:rsidRPr="00794EB9" w14:paraId="50F00E6D"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0E88B36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610" w:type="pct"/>
            <w:tcBorders>
              <w:top w:val="nil"/>
              <w:left w:val="nil"/>
              <w:bottom w:val="single" w:sz="8" w:space="0" w:color="434343"/>
              <w:right w:val="single" w:sz="8" w:space="0" w:color="434343"/>
            </w:tcBorders>
            <w:shd w:val="clear" w:color="auto" w:fill="auto"/>
            <w:hideMark/>
          </w:tcPr>
          <w:p w14:paraId="2D56EB0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687" w:type="pct"/>
            <w:tcBorders>
              <w:top w:val="nil"/>
              <w:left w:val="nil"/>
              <w:bottom w:val="single" w:sz="8" w:space="0" w:color="434343"/>
              <w:right w:val="single" w:sz="8" w:space="0" w:color="434343"/>
            </w:tcBorders>
            <w:shd w:val="clear" w:color="auto" w:fill="auto"/>
            <w:hideMark/>
          </w:tcPr>
          <w:p w14:paraId="7A83545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61. Porcentaje de población de 18 años y más que percibe segura la ciudad</w:t>
            </w:r>
            <w:r w:rsidRPr="00794EB9">
              <w:rPr>
                <w:rFonts w:ascii="Arial" w:hAnsi="Arial" w:cs="Arial"/>
                <w:sz w:val="22"/>
                <w:szCs w:val="22"/>
                <w:lang w:eastAsia="es-MX"/>
              </w:rPr>
              <w:br/>
              <w:t>I 62. Tasa de incidencia delictiva</w:t>
            </w:r>
            <w:r w:rsidRPr="00794EB9">
              <w:rPr>
                <w:rFonts w:ascii="Arial" w:hAnsi="Arial" w:cs="Arial"/>
                <w:sz w:val="22"/>
                <w:szCs w:val="22"/>
                <w:lang w:eastAsia="es-MX"/>
              </w:rPr>
              <w:br/>
              <w:t>I 63. Número de elementos de la policía municipal por cada mil habitantes</w:t>
            </w:r>
            <w:r w:rsidRPr="00794EB9">
              <w:rPr>
                <w:rFonts w:ascii="Arial" w:hAnsi="Arial" w:cs="Arial"/>
                <w:sz w:val="22"/>
                <w:szCs w:val="22"/>
                <w:lang w:eastAsia="es-MX"/>
              </w:rPr>
              <w:br/>
              <w:t xml:space="preserve">I 64. Porcentaje </w:t>
            </w:r>
            <w:r w:rsidRPr="00794EB9">
              <w:rPr>
                <w:rFonts w:ascii="Arial" w:hAnsi="Arial" w:cs="Arial"/>
                <w:sz w:val="22"/>
                <w:szCs w:val="22"/>
                <w:lang w:eastAsia="es-MX"/>
              </w:rPr>
              <w:lastRenderedPageBreak/>
              <w:t>de población que percibe que la policía de León está capacitada para acercarse al ciudadana</w:t>
            </w:r>
          </w:p>
        </w:tc>
        <w:tc>
          <w:tcPr>
            <w:tcW w:w="426" w:type="pct"/>
            <w:tcBorders>
              <w:top w:val="nil"/>
              <w:left w:val="nil"/>
              <w:bottom w:val="single" w:sz="8" w:space="0" w:color="434343"/>
              <w:right w:val="single" w:sz="8" w:space="0" w:color="434343"/>
            </w:tcBorders>
            <w:shd w:val="clear" w:color="auto" w:fill="auto"/>
            <w:hideMark/>
          </w:tcPr>
          <w:p w14:paraId="1B48786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Desarrollo comunitario y entornos seguros</w:t>
            </w:r>
          </w:p>
        </w:tc>
        <w:tc>
          <w:tcPr>
            <w:tcW w:w="1024" w:type="pct"/>
            <w:tcBorders>
              <w:top w:val="nil"/>
              <w:left w:val="nil"/>
              <w:bottom w:val="single" w:sz="8" w:space="0" w:color="434343"/>
              <w:right w:val="single" w:sz="8" w:space="0" w:color="434343"/>
            </w:tcBorders>
            <w:shd w:val="clear" w:color="auto" w:fill="auto"/>
            <w:hideMark/>
          </w:tcPr>
          <w:p w14:paraId="46401B1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Conformar entornos y trayectos seguros en las inmediaciones de equipamientos urbanos y espacios públicos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245C8ED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2.5 Urbanismo Táctico</w:t>
            </w:r>
          </w:p>
        </w:tc>
        <w:tc>
          <w:tcPr>
            <w:tcW w:w="1191" w:type="pct"/>
            <w:tcBorders>
              <w:top w:val="nil"/>
              <w:left w:val="nil"/>
              <w:bottom w:val="single" w:sz="8" w:space="0" w:color="434343"/>
              <w:right w:val="single" w:sz="8" w:space="0" w:color="434343"/>
            </w:tcBorders>
            <w:shd w:val="clear" w:color="auto" w:fill="auto"/>
            <w:hideMark/>
          </w:tcPr>
          <w:p w14:paraId="0DDF774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2.5.1 Rehabilitar los principales puentes y viaductos de la ciudad.</w:t>
            </w:r>
          </w:p>
        </w:tc>
      </w:tr>
      <w:tr w:rsidR="00794EB9" w:rsidRPr="00794EB9" w14:paraId="57044FD8"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4663C7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610" w:type="pct"/>
            <w:tcBorders>
              <w:top w:val="nil"/>
              <w:left w:val="nil"/>
              <w:bottom w:val="single" w:sz="8" w:space="0" w:color="434343"/>
              <w:right w:val="single" w:sz="8" w:space="0" w:color="434343"/>
            </w:tcBorders>
            <w:shd w:val="clear" w:color="auto" w:fill="auto"/>
            <w:hideMark/>
          </w:tcPr>
          <w:p w14:paraId="0129BAE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687" w:type="pct"/>
            <w:tcBorders>
              <w:top w:val="nil"/>
              <w:left w:val="nil"/>
              <w:bottom w:val="single" w:sz="8" w:space="0" w:color="434343"/>
              <w:right w:val="single" w:sz="8" w:space="0" w:color="434343"/>
            </w:tcBorders>
            <w:shd w:val="clear" w:color="auto" w:fill="auto"/>
            <w:hideMark/>
          </w:tcPr>
          <w:p w14:paraId="38F31EE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21. Porcentaje de accesibilidad en el sistema vial</w:t>
            </w:r>
          </w:p>
        </w:tc>
        <w:tc>
          <w:tcPr>
            <w:tcW w:w="426" w:type="pct"/>
            <w:tcBorders>
              <w:top w:val="nil"/>
              <w:left w:val="nil"/>
              <w:bottom w:val="single" w:sz="8" w:space="0" w:color="434343"/>
              <w:right w:val="single" w:sz="8" w:space="0" w:color="434343"/>
            </w:tcBorders>
            <w:shd w:val="clear" w:color="auto" w:fill="auto"/>
            <w:hideMark/>
          </w:tcPr>
          <w:p w14:paraId="61F67E7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1024" w:type="pct"/>
            <w:tcBorders>
              <w:top w:val="nil"/>
              <w:left w:val="nil"/>
              <w:bottom w:val="single" w:sz="8" w:space="0" w:color="434343"/>
              <w:right w:val="single" w:sz="8" w:space="0" w:color="434343"/>
            </w:tcBorders>
            <w:shd w:val="clear" w:color="auto" w:fill="auto"/>
            <w:hideMark/>
          </w:tcPr>
          <w:p w14:paraId="485E265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Impulsar proyectos e intervenciones que hagan más eficiente la movilidad en zonas conflictivas</w:t>
            </w:r>
          </w:p>
        </w:tc>
        <w:tc>
          <w:tcPr>
            <w:tcW w:w="686" w:type="pct"/>
            <w:vMerge/>
            <w:tcBorders>
              <w:top w:val="nil"/>
              <w:left w:val="single" w:sz="8" w:space="0" w:color="434343"/>
              <w:bottom w:val="single" w:sz="8" w:space="0" w:color="434343"/>
              <w:right w:val="single" w:sz="8" w:space="0" w:color="434343"/>
            </w:tcBorders>
            <w:vAlign w:val="center"/>
            <w:hideMark/>
          </w:tcPr>
          <w:p w14:paraId="5EF0ED21"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BC606E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2.5.2 Rehabilitar vialidades prioritarias mediante un sistema de bacheo y mantenimiento eficiente.</w:t>
            </w:r>
          </w:p>
        </w:tc>
      </w:tr>
      <w:tr w:rsidR="00794EB9" w:rsidRPr="00794EB9" w14:paraId="61616A23"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B77EF9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610" w:type="pct"/>
            <w:tcBorders>
              <w:top w:val="nil"/>
              <w:left w:val="nil"/>
              <w:bottom w:val="single" w:sz="8" w:space="0" w:color="434343"/>
              <w:right w:val="single" w:sz="8" w:space="0" w:color="434343"/>
            </w:tcBorders>
            <w:shd w:val="clear" w:color="auto" w:fill="auto"/>
            <w:hideMark/>
          </w:tcPr>
          <w:p w14:paraId="232EE00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Fortalecer la cohesión social consolidando un modelo de seguridad cívica y ciudadana para la prevención, </w:t>
            </w:r>
            <w:r w:rsidRPr="00794EB9">
              <w:rPr>
                <w:rFonts w:ascii="Arial" w:hAnsi="Arial" w:cs="Arial"/>
                <w:sz w:val="22"/>
                <w:szCs w:val="22"/>
                <w:lang w:eastAsia="es-MX"/>
              </w:rPr>
              <w:lastRenderedPageBreak/>
              <w:t>vigilancia y atención de factores de riesgo</w:t>
            </w:r>
          </w:p>
        </w:tc>
        <w:tc>
          <w:tcPr>
            <w:tcW w:w="687" w:type="pct"/>
            <w:tcBorders>
              <w:top w:val="nil"/>
              <w:left w:val="nil"/>
              <w:bottom w:val="single" w:sz="8" w:space="0" w:color="434343"/>
              <w:right w:val="single" w:sz="8" w:space="0" w:color="434343"/>
            </w:tcBorders>
            <w:shd w:val="clear" w:color="auto" w:fill="auto"/>
            <w:hideMark/>
          </w:tcPr>
          <w:p w14:paraId="585434A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61. Porcentaje de población de 18 años y más que percibe segura la ciudad</w:t>
            </w:r>
            <w:r w:rsidRPr="00794EB9">
              <w:rPr>
                <w:rFonts w:ascii="Arial" w:hAnsi="Arial" w:cs="Arial"/>
                <w:sz w:val="22"/>
                <w:szCs w:val="22"/>
                <w:lang w:eastAsia="es-MX"/>
              </w:rPr>
              <w:br/>
              <w:t>I 62. Tasa de incidencia delictiva</w:t>
            </w:r>
            <w:r w:rsidRPr="00794EB9">
              <w:rPr>
                <w:rFonts w:ascii="Arial" w:hAnsi="Arial" w:cs="Arial"/>
                <w:sz w:val="22"/>
                <w:szCs w:val="22"/>
                <w:lang w:eastAsia="es-MX"/>
              </w:rPr>
              <w:br/>
            </w:r>
            <w:r w:rsidRPr="00794EB9">
              <w:rPr>
                <w:rFonts w:ascii="Arial" w:hAnsi="Arial" w:cs="Arial"/>
                <w:sz w:val="22"/>
                <w:szCs w:val="22"/>
                <w:lang w:eastAsia="es-MX"/>
              </w:rPr>
              <w:lastRenderedPageBreak/>
              <w:t>I 63. Número de elementos de la policía municipal por cada mil habitantes</w:t>
            </w:r>
            <w:r w:rsidRPr="00794EB9">
              <w:rPr>
                <w:rFonts w:ascii="Arial" w:hAnsi="Arial" w:cs="Arial"/>
                <w:sz w:val="22"/>
                <w:szCs w:val="22"/>
                <w:lang w:eastAsia="es-MX"/>
              </w:rPr>
              <w:br/>
              <w:t>I 64. Porcentaje de población que percibe que la policía de León está capacitada para acercarse al ciudadana</w:t>
            </w:r>
          </w:p>
        </w:tc>
        <w:tc>
          <w:tcPr>
            <w:tcW w:w="426" w:type="pct"/>
            <w:tcBorders>
              <w:top w:val="nil"/>
              <w:left w:val="nil"/>
              <w:bottom w:val="single" w:sz="8" w:space="0" w:color="434343"/>
              <w:right w:val="single" w:sz="8" w:space="0" w:color="434343"/>
            </w:tcBorders>
            <w:shd w:val="clear" w:color="auto" w:fill="auto"/>
            <w:hideMark/>
          </w:tcPr>
          <w:p w14:paraId="317567B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Desarrollo comunitario y entornos seguros</w:t>
            </w:r>
          </w:p>
        </w:tc>
        <w:tc>
          <w:tcPr>
            <w:tcW w:w="1024" w:type="pct"/>
            <w:tcBorders>
              <w:top w:val="nil"/>
              <w:left w:val="nil"/>
              <w:bottom w:val="single" w:sz="8" w:space="0" w:color="434343"/>
              <w:right w:val="single" w:sz="8" w:space="0" w:color="434343"/>
            </w:tcBorders>
            <w:shd w:val="clear" w:color="auto" w:fill="auto"/>
            <w:hideMark/>
          </w:tcPr>
          <w:p w14:paraId="0018273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Conformar entornos y trayectos seguros en las inmediaciones de equipamientos urbanos y espacios públicos</w:t>
            </w:r>
          </w:p>
        </w:tc>
        <w:tc>
          <w:tcPr>
            <w:tcW w:w="686" w:type="pct"/>
            <w:vMerge/>
            <w:tcBorders>
              <w:top w:val="nil"/>
              <w:left w:val="single" w:sz="8" w:space="0" w:color="434343"/>
              <w:bottom w:val="single" w:sz="8" w:space="0" w:color="434343"/>
              <w:right w:val="single" w:sz="8" w:space="0" w:color="434343"/>
            </w:tcBorders>
            <w:vAlign w:val="center"/>
            <w:hideMark/>
          </w:tcPr>
          <w:p w14:paraId="39A5B6CF"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562FBC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2.5.3  Realizar el  Mantenimiento y Rehabilitación del sistema de alumbrado público</w:t>
            </w:r>
          </w:p>
        </w:tc>
      </w:tr>
      <w:tr w:rsidR="00794EB9" w:rsidRPr="00794EB9" w14:paraId="4F78E096"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7131BC0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1C07F17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77C6A19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21. Porcentaje de accesibilidad en el sistema vial</w:t>
            </w:r>
            <w:r w:rsidRPr="00794EB9">
              <w:rPr>
                <w:rFonts w:ascii="Arial" w:hAnsi="Arial" w:cs="Arial"/>
                <w:sz w:val="22"/>
                <w:szCs w:val="22"/>
                <w:lang w:eastAsia="es-MX"/>
              </w:rPr>
              <w:br/>
              <w:t>I 23. Porcentaje de cobertura de transporte público en la zona urbana</w:t>
            </w:r>
          </w:p>
        </w:tc>
        <w:tc>
          <w:tcPr>
            <w:tcW w:w="426" w:type="pct"/>
            <w:tcBorders>
              <w:top w:val="nil"/>
              <w:left w:val="nil"/>
              <w:bottom w:val="single" w:sz="8" w:space="0" w:color="434343"/>
              <w:right w:val="single" w:sz="8" w:space="0" w:color="434343"/>
            </w:tcBorders>
            <w:shd w:val="clear" w:color="auto" w:fill="auto"/>
            <w:hideMark/>
          </w:tcPr>
          <w:p w14:paraId="1A311AE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1024" w:type="pct"/>
            <w:tcBorders>
              <w:top w:val="nil"/>
              <w:left w:val="nil"/>
              <w:bottom w:val="single" w:sz="8" w:space="0" w:color="434343"/>
              <w:right w:val="single" w:sz="8" w:space="0" w:color="434343"/>
            </w:tcBorders>
            <w:shd w:val="clear" w:color="auto" w:fill="auto"/>
            <w:hideMark/>
          </w:tcPr>
          <w:p w14:paraId="68E1167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el sistema vial primario priorizando el cierre de circuitos</w:t>
            </w:r>
          </w:p>
        </w:tc>
        <w:tc>
          <w:tcPr>
            <w:tcW w:w="686" w:type="pct"/>
            <w:vMerge/>
            <w:tcBorders>
              <w:top w:val="nil"/>
              <w:left w:val="single" w:sz="8" w:space="0" w:color="434343"/>
              <w:bottom w:val="single" w:sz="8" w:space="0" w:color="434343"/>
              <w:right w:val="single" w:sz="8" w:space="0" w:color="434343"/>
            </w:tcBorders>
            <w:vAlign w:val="center"/>
            <w:hideMark/>
          </w:tcPr>
          <w:p w14:paraId="1E2775DA"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AE0DC8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2.5.4 Optimizar la señalética en las principales vialidades de la ciudad. </w:t>
            </w:r>
          </w:p>
        </w:tc>
      </w:tr>
      <w:tr w:rsidR="00794EB9" w:rsidRPr="00794EB9" w14:paraId="417B7CE0"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B4CC783"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B8ED171"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105C8C6" w14:textId="77777777" w:rsidR="00794EB9" w:rsidRPr="00794EB9" w:rsidRDefault="00794EB9" w:rsidP="00C307FB">
            <w:pPr>
              <w:rPr>
                <w:rFonts w:ascii="Arial" w:hAnsi="Arial" w:cs="Arial"/>
                <w:sz w:val="22"/>
                <w:szCs w:val="22"/>
                <w:lang w:eastAsia="es-MX"/>
              </w:rPr>
            </w:pPr>
          </w:p>
        </w:tc>
        <w:tc>
          <w:tcPr>
            <w:tcW w:w="426" w:type="pct"/>
            <w:tcBorders>
              <w:top w:val="nil"/>
              <w:left w:val="nil"/>
              <w:bottom w:val="single" w:sz="8" w:space="0" w:color="434343"/>
              <w:right w:val="single" w:sz="8" w:space="0" w:color="434343"/>
            </w:tcBorders>
            <w:shd w:val="clear" w:color="auto" w:fill="auto"/>
            <w:hideMark/>
          </w:tcPr>
          <w:p w14:paraId="45F41CF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Innovación en movilidad sustentable</w:t>
            </w:r>
          </w:p>
        </w:tc>
        <w:tc>
          <w:tcPr>
            <w:tcW w:w="1024" w:type="pct"/>
            <w:tcBorders>
              <w:top w:val="nil"/>
              <w:left w:val="nil"/>
              <w:bottom w:val="single" w:sz="8" w:space="0" w:color="434343"/>
              <w:right w:val="single" w:sz="8" w:space="0" w:color="434343"/>
            </w:tcBorders>
            <w:shd w:val="clear" w:color="auto" w:fill="auto"/>
            <w:hideMark/>
          </w:tcPr>
          <w:p w14:paraId="4108CD3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Generar proyectos y acciones que fomenten la intermodalidad con la integración de los distintos medios de movilidad </w:t>
            </w:r>
            <w:r w:rsidRPr="00794EB9">
              <w:rPr>
                <w:rFonts w:ascii="Arial" w:hAnsi="Arial" w:cs="Arial"/>
                <w:sz w:val="22"/>
                <w:szCs w:val="22"/>
                <w:lang w:eastAsia="es-MX"/>
              </w:rPr>
              <w:lastRenderedPageBreak/>
              <w:t>municipal, realizando adecuaciones para la accesibilidad de las personas con diversidad funcional y adultos mayores</w:t>
            </w:r>
          </w:p>
        </w:tc>
        <w:tc>
          <w:tcPr>
            <w:tcW w:w="686" w:type="pct"/>
            <w:vMerge/>
            <w:tcBorders>
              <w:top w:val="nil"/>
              <w:left w:val="single" w:sz="8" w:space="0" w:color="434343"/>
              <w:bottom w:val="single" w:sz="8" w:space="0" w:color="434343"/>
              <w:right w:val="single" w:sz="8" w:space="0" w:color="434343"/>
            </w:tcBorders>
            <w:vAlign w:val="center"/>
            <w:hideMark/>
          </w:tcPr>
          <w:p w14:paraId="09B5460B"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A4CDB0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2.5.5 Actualizar los Estudios y Proyectos en materia de movilidad con base en el Modelo de Delegaciones.</w:t>
            </w:r>
          </w:p>
        </w:tc>
      </w:tr>
      <w:tr w:rsidR="00794EB9" w:rsidRPr="00794EB9" w14:paraId="79160AD6"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9727557"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70C6DE2" w14:textId="77777777" w:rsidR="00794EB9" w:rsidRPr="00794EB9" w:rsidRDefault="00794EB9" w:rsidP="00C307FB">
            <w:pPr>
              <w:rPr>
                <w:rFonts w:ascii="Arial" w:hAnsi="Arial" w:cs="Arial"/>
                <w:sz w:val="22"/>
                <w:szCs w:val="22"/>
                <w:lang w:eastAsia="es-MX"/>
              </w:rPr>
            </w:pP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32E06AC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23. Porcentaje de cobertura de transporte público en la zona urbana</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666DB29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1024" w:type="pct"/>
            <w:tcBorders>
              <w:top w:val="nil"/>
              <w:left w:val="nil"/>
              <w:bottom w:val="single" w:sz="8" w:space="0" w:color="434343"/>
              <w:right w:val="single" w:sz="8" w:space="0" w:color="434343"/>
            </w:tcBorders>
            <w:shd w:val="clear" w:color="auto" w:fill="auto"/>
            <w:hideMark/>
          </w:tcPr>
          <w:p w14:paraId="1969BB6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Construir accesos integrales con la pavimentación de calles en polígonos de desarrollo, donde circula el transporte público y permitan la accesibilidad al equipamiento</w:t>
            </w:r>
          </w:p>
        </w:tc>
        <w:tc>
          <w:tcPr>
            <w:tcW w:w="686" w:type="pct"/>
            <w:vMerge/>
            <w:tcBorders>
              <w:top w:val="nil"/>
              <w:left w:val="single" w:sz="8" w:space="0" w:color="434343"/>
              <w:bottom w:val="single" w:sz="8" w:space="0" w:color="434343"/>
              <w:right w:val="single" w:sz="8" w:space="0" w:color="434343"/>
            </w:tcBorders>
            <w:vAlign w:val="center"/>
            <w:hideMark/>
          </w:tcPr>
          <w:p w14:paraId="08462E44"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76998C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2.5.6 Desarrollar los proyectos ejecutivos y ejecutar las obras viales para pavimentar las vialidades primarias y secundarias de la ciudad así como obras prioritarias para el desarrollo social </w:t>
            </w:r>
          </w:p>
        </w:tc>
      </w:tr>
      <w:tr w:rsidR="00794EB9" w:rsidRPr="00794EB9" w14:paraId="5ACEEF26"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DAAB511"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8F13ACB"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596973FB"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D93564D" w14:textId="77777777" w:rsidR="00794EB9" w:rsidRPr="00794EB9" w:rsidRDefault="00794EB9" w:rsidP="00C307FB">
            <w:pPr>
              <w:rPr>
                <w:rFonts w:ascii="Arial" w:hAnsi="Arial" w:cs="Arial"/>
                <w:sz w:val="22"/>
                <w:szCs w:val="22"/>
                <w:lang w:eastAsia="es-MX"/>
              </w:rPr>
            </w:pP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586293F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Impulsar proyectos e intervenciones que hagan más eficiente la movilidad en zonas conflictivas</w:t>
            </w:r>
          </w:p>
        </w:tc>
        <w:tc>
          <w:tcPr>
            <w:tcW w:w="686" w:type="pct"/>
            <w:vMerge/>
            <w:tcBorders>
              <w:top w:val="nil"/>
              <w:left w:val="single" w:sz="8" w:space="0" w:color="434343"/>
              <w:bottom w:val="single" w:sz="8" w:space="0" w:color="434343"/>
              <w:right w:val="single" w:sz="8" w:space="0" w:color="434343"/>
            </w:tcBorders>
            <w:vAlign w:val="center"/>
            <w:hideMark/>
          </w:tcPr>
          <w:p w14:paraId="58D2B229"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609A36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2.5.7 Realizar estudios de movilidad en zonas de conflicto y pares viales.</w:t>
            </w:r>
          </w:p>
        </w:tc>
      </w:tr>
      <w:tr w:rsidR="00794EB9" w:rsidRPr="00794EB9" w14:paraId="3423A2B8"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FB9763F"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8FA28E1"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FFEF8FC"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03A2ACB3"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12C7F7A4"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C74134A"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C14C70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2.5.8 Ejecutar las acciones de mejora en zonas prioritarias y pares viales.</w:t>
            </w:r>
          </w:p>
        </w:tc>
      </w:tr>
      <w:tr w:rsidR="00794EB9" w:rsidRPr="00794EB9" w14:paraId="1C0FDC4B"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6264482"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51F1D00" w14:textId="77777777" w:rsidR="00794EB9" w:rsidRPr="00794EB9" w:rsidRDefault="00794EB9" w:rsidP="00C307FB">
            <w:pPr>
              <w:rPr>
                <w:rFonts w:ascii="Arial" w:hAnsi="Arial" w:cs="Arial"/>
                <w:sz w:val="22"/>
                <w:szCs w:val="22"/>
                <w:lang w:eastAsia="es-MX"/>
              </w:rPr>
            </w:pP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65A8407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21. Porcentaje de accesibilidad en el sistema vial</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02BD3F2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Implementación de sistemas alternativos de transporte ecoló</w:t>
            </w:r>
            <w:r w:rsidRPr="00794EB9">
              <w:rPr>
                <w:rFonts w:ascii="Arial" w:hAnsi="Arial" w:cs="Arial"/>
                <w:sz w:val="22"/>
                <w:szCs w:val="22"/>
                <w:lang w:eastAsia="es-MX"/>
              </w:rPr>
              <w:lastRenderedPageBreak/>
              <w:t>gico sustentable</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312C06D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Desarrollar proyectos y estudios para establecer la factibilidad de centros de distribución para organizar el transporte de carga</w:t>
            </w:r>
          </w:p>
        </w:tc>
        <w:tc>
          <w:tcPr>
            <w:tcW w:w="686" w:type="pct"/>
            <w:vMerge/>
            <w:tcBorders>
              <w:top w:val="nil"/>
              <w:left w:val="single" w:sz="8" w:space="0" w:color="434343"/>
              <w:bottom w:val="single" w:sz="8" w:space="0" w:color="434343"/>
              <w:right w:val="single" w:sz="8" w:space="0" w:color="434343"/>
            </w:tcBorders>
            <w:vAlign w:val="center"/>
            <w:hideMark/>
          </w:tcPr>
          <w:p w14:paraId="011054BC"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A8F71D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2.5.9 Implementar el Modelo de Ordenamiento de Transporte de carga para mejorar la movilidad de la ciudad</w:t>
            </w:r>
          </w:p>
        </w:tc>
      </w:tr>
      <w:tr w:rsidR="00794EB9" w:rsidRPr="00794EB9" w14:paraId="6FD24E2C"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782E03F"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2E190CC"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027CDFFE"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0BA9CCBF"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0C207B15"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51E87DF"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F4F49E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2.5.10 Intervenir los principales accesos de la ciudad como </w:t>
            </w:r>
            <w:r w:rsidRPr="00794EB9">
              <w:rPr>
                <w:rFonts w:ascii="Arial" w:hAnsi="Arial" w:cs="Arial"/>
                <w:sz w:val="22"/>
                <w:szCs w:val="22"/>
                <w:lang w:eastAsia="es-MX"/>
              </w:rPr>
              <w:lastRenderedPageBreak/>
              <w:t>parte del Modelo de Ordenamiento de Transporte de carga.</w:t>
            </w:r>
          </w:p>
        </w:tc>
      </w:tr>
      <w:tr w:rsidR="00794EB9" w:rsidRPr="00794EB9" w14:paraId="2F542866"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20DDD7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Seguridad ciudadana y paz sostenible</w:t>
            </w:r>
          </w:p>
        </w:tc>
        <w:tc>
          <w:tcPr>
            <w:tcW w:w="610" w:type="pct"/>
            <w:tcBorders>
              <w:top w:val="nil"/>
              <w:left w:val="nil"/>
              <w:bottom w:val="single" w:sz="8" w:space="0" w:color="434343"/>
              <w:right w:val="single" w:sz="8" w:space="0" w:color="434343"/>
            </w:tcBorders>
            <w:shd w:val="clear" w:color="auto" w:fill="auto"/>
            <w:hideMark/>
          </w:tcPr>
          <w:p w14:paraId="18F675F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687" w:type="pct"/>
            <w:tcBorders>
              <w:top w:val="nil"/>
              <w:left w:val="nil"/>
              <w:bottom w:val="single" w:sz="8" w:space="0" w:color="434343"/>
              <w:right w:val="single" w:sz="8" w:space="0" w:color="434343"/>
            </w:tcBorders>
            <w:shd w:val="clear" w:color="auto" w:fill="auto"/>
            <w:hideMark/>
          </w:tcPr>
          <w:p w14:paraId="4217C30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br/>
              <w:t>I 61. Porcentaje de población de 18 años y más que percibe segura la ciudad</w:t>
            </w:r>
          </w:p>
        </w:tc>
        <w:tc>
          <w:tcPr>
            <w:tcW w:w="426" w:type="pct"/>
            <w:tcBorders>
              <w:top w:val="nil"/>
              <w:left w:val="nil"/>
              <w:bottom w:val="single" w:sz="8" w:space="0" w:color="434343"/>
              <w:right w:val="single" w:sz="8" w:space="0" w:color="434343"/>
            </w:tcBorders>
            <w:shd w:val="clear" w:color="auto" w:fill="auto"/>
            <w:hideMark/>
          </w:tcPr>
          <w:p w14:paraId="24A1653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1024" w:type="pct"/>
            <w:tcBorders>
              <w:top w:val="nil"/>
              <w:left w:val="nil"/>
              <w:bottom w:val="single" w:sz="8" w:space="0" w:color="434343"/>
              <w:right w:val="single" w:sz="8" w:space="0" w:color="434343"/>
            </w:tcBorders>
            <w:shd w:val="clear" w:color="auto" w:fill="auto"/>
            <w:hideMark/>
          </w:tcPr>
          <w:p w14:paraId="5EB3E27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Conformar entornos y trayectos seguros en las inmediaciones de equipamientos urbanos y espacios públicos</w:t>
            </w:r>
          </w:p>
        </w:tc>
        <w:tc>
          <w:tcPr>
            <w:tcW w:w="686" w:type="pct"/>
            <w:vMerge/>
            <w:tcBorders>
              <w:top w:val="nil"/>
              <w:left w:val="single" w:sz="8" w:space="0" w:color="434343"/>
              <w:bottom w:val="single" w:sz="8" w:space="0" w:color="434343"/>
              <w:right w:val="single" w:sz="8" w:space="0" w:color="434343"/>
            </w:tcBorders>
            <w:vAlign w:val="center"/>
            <w:hideMark/>
          </w:tcPr>
          <w:p w14:paraId="3604BF82"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F33BFD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2.5.11 Realizar la siguiente etapa de Modernización del Alumbrado Público.</w:t>
            </w:r>
          </w:p>
        </w:tc>
      </w:tr>
      <w:tr w:rsidR="00794EB9" w:rsidRPr="00794EB9" w14:paraId="158EB845"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4A9EA40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610" w:type="pct"/>
            <w:tcBorders>
              <w:top w:val="nil"/>
              <w:left w:val="nil"/>
              <w:bottom w:val="single" w:sz="8" w:space="0" w:color="434343"/>
              <w:right w:val="single" w:sz="8" w:space="0" w:color="434343"/>
            </w:tcBorders>
            <w:shd w:val="clear" w:color="auto" w:fill="auto"/>
            <w:hideMark/>
          </w:tcPr>
          <w:p w14:paraId="430670C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687" w:type="pct"/>
            <w:tcBorders>
              <w:top w:val="nil"/>
              <w:left w:val="nil"/>
              <w:bottom w:val="single" w:sz="8" w:space="0" w:color="434343"/>
              <w:right w:val="single" w:sz="8" w:space="0" w:color="434343"/>
            </w:tcBorders>
            <w:shd w:val="clear" w:color="auto" w:fill="auto"/>
            <w:hideMark/>
          </w:tcPr>
          <w:p w14:paraId="6920BDB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23. Porcentaje de cobertura de transporte público en la zona urbana</w:t>
            </w:r>
          </w:p>
        </w:tc>
        <w:tc>
          <w:tcPr>
            <w:tcW w:w="426" w:type="pct"/>
            <w:tcBorders>
              <w:top w:val="nil"/>
              <w:left w:val="nil"/>
              <w:bottom w:val="single" w:sz="8" w:space="0" w:color="434343"/>
              <w:right w:val="single" w:sz="8" w:space="0" w:color="434343"/>
            </w:tcBorders>
            <w:shd w:val="clear" w:color="auto" w:fill="auto"/>
            <w:hideMark/>
          </w:tcPr>
          <w:p w14:paraId="281BA76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1024" w:type="pct"/>
            <w:tcBorders>
              <w:top w:val="nil"/>
              <w:left w:val="nil"/>
              <w:bottom w:val="single" w:sz="8" w:space="0" w:color="434343"/>
              <w:right w:val="single" w:sz="8" w:space="0" w:color="434343"/>
            </w:tcBorders>
            <w:shd w:val="clear" w:color="auto" w:fill="auto"/>
            <w:hideMark/>
          </w:tcPr>
          <w:p w14:paraId="47F290B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Construir accesos integrales con la pavimentación de calles en polígonos de desarrollo, donde circula el transporte público y permitan la accesibilidad al equipamiento</w:t>
            </w:r>
          </w:p>
        </w:tc>
        <w:tc>
          <w:tcPr>
            <w:tcW w:w="686" w:type="pct"/>
            <w:vMerge/>
            <w:tcBorders>
              <w:top w:val="nil"/>
              <w:left w:val="single" w:sz="8" w:space="0" w:color="434343"/>
              <w:bottom w:val="single" w:sz="8" w:space="0" w:color="434343"/>
              <w:right w:val="single" w:sz="8" w:space="0" w:color="434343"/>
            </w:tcBorders>
            <w:vAlign w:val="center"/>
            <w:hideMark/>
          </w:tcPr>
          <w:p w14:paraId="3FA64B9E"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9AFBA6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2.5.12 Llevar a cabo Servicios Complementarios a la Obra Pública, en materia de liberación de afectaciones, laboratorios, supervisión, estudios y proyectos, ampliaciones presupuestales, obras emergentes y acciones de remediación </w:t>
            </w:r>
          </w:p>
        </w:tc>
      </w:tr>
      <w:tr w:rsidR="00794EB9" w:rsidRPr="00794EB9" w14:paraId="5300DC96"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1F3FE10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w:t>
            </w:r>
          </w:p>
        </w:tc>
        <w:tc>
          <w:tcPr>
            <w:tcW w:w="610" w:type="pct"/>
            <w:tcBorders>
              <w:top w:val="nil"/>
              <w:left w:val="nil"/>
              <w:bottom w:val="single" w:sz="8" w:space="0" w:color="434343"/>
              <w:right w:val="single" w:sz="8" w:space="0" w:color="434343"/>
            </w:tcBorders>
            <w:shd w:val="clear" w:color="auto" w:fill="D9D9D9" w:themeFill="background1" w:themeFillShade="D9"/>
            <w:noWrap/>
            <w:hideMark/>
          </w:tcPr>
          <w:p w14:paraId="70A942C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D9D9D9" w:themeFill="background1" w:themeFillShade="D9"/>
            <w:noWrap/>
            <w:hideMark/>
          </w:tcPr>
          <w:p w14:paraId="2872C53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D9D9D9" w:themeFill="background1" w:themeFillShade="D9"/>
            <w:noWrap/>
            <w:hideMark/>
          </w:tcPr>
          <w:p w14:paraId="5603FC5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71F43BA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41A1F37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VT3. Nuevo Modelo de Seguridad</w:t>
            </w: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7D05650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4E4D2CEA"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631B3ED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2746512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4FA38AC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63. Número de elementos de la policía municipal por cada mil habitantes</w:t>
            </w:r>
            <w:r w:rsidRPr="00794EB9">
              <w:rPr>
                <w:rFonts w:ascii="Arial" w:hAnsi="Arial" w:cs="Arial"/>
                <w:sz w:val="22"/>
                <w:szCs w:val="22"/>
                <w:lang w:eastAsia="es-MX"/>
              </w:rPr>
              <w:br/>
              <w:t>I 64. Porcentaje de población que percibe que la policía de León está capacitada para acercarse al ciudadano</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5010A13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Proximidad y prevención social para la seguridad ciudadana</w:t>
            </w:r>
          </w:p>
        </w:tc>
        <w:tc>
          <w:tcPr>
            <w:tcW w:w="1024" w:type="pct"/>
            <w:tcBorders>
              <w:top w:val="nil"/>
              <w:left w:val="nil"/>
              <w:bottom w:val="single" w:sz="8" w:space="0" w:color="434343"/>
              <w:right w:val="single" w:sz="8" w:space="0" w:color="434343"/>
            </w:tcBorders>
            <w:shd w:val="clear" w:color="auto" w:fill="auto"/>
            <w:hideMark/>
          </w:tcPr>
          <w:p w14:paraId="290533B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Desarrollar programas permanentes de formación y capacitación para la mejora de competencias y habilidades de los elementos de la corporación de policía </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479DB59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3.1 Calidad Máxima</w:t>
            </w:r>
          </w:p>
        </w:tc>
        <w:tc>
          <w:tcPr>
            <w:tcW w:w="1191" w:type="pct"/>
            <w:tcBorders>
              <w:top w:val="nil"/>
              <w:left w:val="nil"/>
              <w:bottom w:val="single" w:sz="8" w:space="0" w:color="434343"/>
              <w:right w:val="single" w:sz="8" w:space="0" w:color="434343"/>
            </w:tcBorders>
            <w:shd w:val="clear" w:color="auto" w:fill="auto"/>
            <w:hideMark/>
          </w:tcPr>
          <w:p w14:paraId="084B5D7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3.1.1 Convertir a la Academia Metropolitana de Seguridad Pública en Universidad de Seguridad Pública, modificando la currícula actual y elevando el perfil de los formadores de la Academia. </w:t>
            </w:r>
          </w:p>
        </w:tc>
      </w:tr>
      <w:tr w:rsidR="00794EB9" w:rsidRPr="00794EB9" w14:paraId="51CB3A96"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1C0FDEE"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3DA3CAB"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6566894"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7BF6DB4A" w14:textId="77777777" w:rsidR="00794EB9" w:rsidRPr="00794EB9" w:rsidRDefault="00794EB9" w:rsidP="00C307FB">
            <w:pPr>
              <w:rPr>
                <w:rFonts w:ascii="Arial" w:hAnsi="Arial" w:cs="Arial"/>
                <w:sz w:val="22"/>
                <w:szCs w:val="22"/>
                <w:lang w:eastAsia="es-MX"/>
              </w:rPr>
            </w:pP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4847AAC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Concentrar e integrar los servicios y funciones de la Secretaría de Seguridad Pública con un enfoque estratégico, que permita ampliar la cobertura y las capacidades de reacción</w:t>
            </w:r>
          </w:p>
        </w:tc>
        <w:tc>
          <w:tcPr>
            <w:tcW w:w="686" w:type="pct"/>
            <w:vMerge/>
            <w:tcBorders>
              <w:top w:val="nil"/>
              <w:left w:val="single" w:sz="8" w:space="0" w:color="434343"/>
              <w:bottom w:val="single" w:sz="8" w:space="0" w:color="434343"/>
              <w:right w:val="single" w:sz="8" w:space="0" w:color="434343"/>
            </w:tcBorders>
            <w:vAlign w:val="center"/>
            <w:hideMark/>
          </w:tcPr>
          <w:p w14:paraId="007083AC"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77800F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3.1.2 Realizar un estudio de factibilidad de las nuevas instalaciones de la Secretaría de Seguridad, Prevención y Protección Ciudadana y de los Juzgados Cívicos.</w:t>
            </w:r>
          </w:p>
        </w:tc>
      </w:tr>
      <w:tr w:rsidR="00794EB9" w:rsidRPr="00794EB9" w14:paraId="344BC480"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C936CEC"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EC6912C"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2BC0D23"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350F4D8"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33CDE959"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D7DBDDD"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BE9D2E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3.1.3 Realizar las adecuaciones necesarias para mejorar la infraestructura física de la Secretaría de Seguridad, Prevención y Protección Ciudadana.</w:t>
            </w:r>
          </w:p>
        </w:tc>
      </w:tr>
      <w:tr w:rsidR="00794EB9" w:rsidRPr="00794EB9" w14:paraId="2241168E"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9BE3645"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134D1C0"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125FA70B"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7A9800DF" w14:textId="77777777" w:rsidR="00794EB9" w:rsidRPr="00794EB9" w:rsidRDefault="00794EB9" w:rsidP="00C307FB">
            <w:pPr>
              <w:rPr>
                <w:rFonts w:ascii="Arial" w:hAnsi="Arial" w:cs="Arial"/>
                <w:sz w:val="22"/>
                <w:szCs w:val="22"/>
                <w:lang w:eastAsia="es-MX"/>
              </w:rPr>
            </w:pP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34666DD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Consolidar la estructura policial y de prevención para fortalecer el </w:t>
            </w:r>
            <w:r w:rsidRPr="00794EB9">
              <w:rPr>
                <w:rFonts w:ascii="Arial" w:hAnsi="Arial" w:cs="Arial"/>
                <w:sz w:val="22"/>
                <w:szCs w:val="22"/>
                <w:lang w:eastAsia="es-MX"/>
              </w:rPr>
              <w:lastRenderedPageBreak/>
              <w:t>modelo de proximidad y atención a la ciudadanía</w:t>
            </w:r>
          </w:p>
        </w:tc>
        <w:tc>
          <w:tcPr>
            <w:tcW w:w="686" w:type="pct"/>
            <w:vMerge/>
            <w:tcBorders>
              <w:top w:val="nil"/>
              <w:left w:val="single" w:sz="8" w:space="0" w:color="434343"/>
              <w:bottom w:val="single" w:sz="8" w:space="0" w:color="434343"/>
              <w:right w:val="single" w:sz="8" w:space="0" w:color="434343"/>
            </w:tcBorders>
            <w:vAlign w:val="center"/>
            <w:hideMark/>
          </w:tcPr>
          <w:p w14:paraId="58908A46"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C158FF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3.1.4. Dotar de equipamiento a los cuerpos de seguridad para que ejerzan con </w:t>
            </w:r>
            <w:r w:rsidRPr="00794EB9">
              <w:rPr>
                <w:rFonts w:ascii="Arial" w:hAnsi="Arial" w:cs="Arial"/>
                <w:sz w:val="22"/>
                <w:szCs w:val="22"/>
                <w:lang w:eastAsia="es-MX"/>
              </w:rPr>
              <w:lastRenderedPageBreak/>
              <w:t>efectividad y seguridad sus labores</w:t>
            </w:r>
          </w:p>
        </w:tc>
      </w:tr>
      <w:tr w:rsidR="00794EB9" w:rsidRPr="00794EB9" w14:paraId="3FC5D7B2"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60B09EC"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0886F62"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D25FBD5"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53B1688"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6DC5EDC"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6F2FF6A2"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E15A77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3.1.5 Mejorar las condiciones salariales de los elementos de policía y policía vial municipal.</w:t>
            </w:r>
          </w:p>
        </w:tc>
      </w:tr>
      <w:tr w:rsidR="00794EB9" w:rsidRPr="00794EB9" w14:paraId="292D854E"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3F0973D"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FE6D540"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58FED24"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D893F57"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454FCE76"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1B06766"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77B886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3.1.6 Actualizar e implementar la Sectorización para establecer el Modelo de Cuadrantes.</w:t>
            </w:r>
          </w:p>
        </w:tc>
      </w:tr>
      <w:tr w:rsidR="00794EB9" w:rsidRPr="00794EB9" w14:paraId="799C46C9"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525FD4A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Tecnología y conectividad digital</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416E0A4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la cobertura de conectividad digital, favoreciendo la tele gestión y una mayor eficiencia de servicios públicos</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358CDFB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73. Promedio semanal de usuarios conectados a la red de internet del transporte público</w:t>
            </w:r>
            <w:r w:rsidRPr="00794EB9">
              <w:rPr>
                <w:rFonts w:ascii="Arial" w:hAnsi="Arial" w:cs="Arial"/>
                <w:sz w:val="22"/>
                <w:szCs w:val="22"/>
                <w:lang w:eastAsia="es-MX"/>
              </w:rPr>
              <w:br/>
              <w:t>I 74. Porcentaje de luminarias integradas al sistema de Tele-gestión</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786F69D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Tecnología y videovigilancia para la seguridad ciudadana</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653C285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y consolidar la cobertura del equipamiento y la infraestructura tecnológica para la prevención y la seguridad ciudadana por distritos urbanos y delegaciones</w:t>
            </w:r>
          </w:p>
        </w:tc>
        <w:tc>
          <w:tcPr>
            <w:tcW w:w="686" w:type="pct"/>
            <w:vMerge/>
            <w:tcBorders>
              <w:top w:val="nil"/>
              <w:left w:val="single" w:sz="8" w:space="0" w:color="434343"/>
              <w:bottom w:val="single" w:sz="8" w:space="0" w:color="434343"/>
              <w:right w:val="single" w:sz="8" w:space="0" w:color="434343"/>
            </w:tcBorders>
            <w:vAlign w:val="center"/>
            <w:hideMark/>
          </w:tcPr>
          <w:p w14:paraId="4FE42CCE"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F97B23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3.1.7 Instalar Puntos de Monitoreo Inteligente para aumentar la conexión de cámaras de particulares sumadas al proyecto León Vigilante.</w:t>
            </w:r>
          </w:p>
        </w:tc>
      </w:tr>
      <w:tr w:rsidR="00794EB9" w:rsidRPr="00794EB9" w14:paraId="4E7D70D0"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B547B63"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30E743B"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0C8DF199"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C7A3F4B"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38DAE960"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137EC81"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978E88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3.1.8 Incrementar el número de cámaras de particulares sumadas al proyecto León Vigilante.</w:t>
            </w:r>
          </w:p>
        </w:tc>
      </w:tr>
      <w:tr w:rsidR="00794EB9" w:rsidRPr="00794EB9" w14:paraId="0A59A4EF"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3D5DB96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4F9D5B3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w:t>
            </w:r>
            <w:r w:rsidRPr="00794EB9">
              <w:rPr>
                <w:rFonts w:ascii="Arial" w:hAnsi="Arial" w:cs="Arial"/>
                <w:sz w:val="22"/>
                <w:szCs w:val="22"/>
                <w:lang w:eastAsia="es-MX"/>
              </w:rPr>
              <w:lastRenderedPageBreak/>
              <w:t>d cívica y ciudadana para la prevención, vigilancia y atención de factores de riesgo</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62C1F1F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 63. Número de elementos de la policía municipal por cada mil </w:t>
            </w:r>
            <w:r w:rsidRPr="00794EB9">
              <w:rPr>
                <w:rFonts w:ascii="Arial" w:hAnsi="Arial" w:cs="Arial"/>
                <w:sz w:val="22"/>
                <w:szCs w:val="22"/>
                <w:lang w:eastAsia="es-MX"/>
              </w:rPr>
              <w:lastRenderedPageBreak/>
              <w:t>habitantes</w:t>
            </w:r>
            <w:r w:rsidRPr="00794EB9">
              <w:rPr>
                <w:rFonts w:ascii="Arial" w:hAnsi="Arial" w:cs="Arial"/>
                <w:sz w:val="22"/>
                <w:szCs w:val="22"/>
                <w:lang w:eastAsia="es-MX"/>
              </w:rPr>
              <w:br/>
              <w:t>I 64. Porcentaje de población que percibe que la policía de León está capacitada para acercarse al ciudadano</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456BD95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Proximidad y prevención social para la seguri</w:t>
            </w:r>
            <w:r w:rsidRPr="00794EB9">
              <w:rPr>
                <w:rFonts w:ascii="Arial" w:hAnsi="Arial" w:cs="Arial"/>
                <w:sz w:val="22"/>
                <w:szCs w:val="22"/>
                <w:lang w:eastAsia="es-MX"/>
              </w:rPr>
              <w:lastRenderedPageBreak/>
              <w:t>dad ciudadana</w:t>
            </w:r>
          </w:p>
        </w:tc>
        <w:tc>
          <w:tcPr>
            <w:tcW w:w="1024" w:type="pct"/>
            <w:tcBorders>
              <w:top w:val="nil"/>
              <w:left w:val="nil"/>
              <w:bottom w:val="single" w:sz="8" w:space="0" w:color="434343"/>
              <w:right w:val="single" w:sz="8" w:space="0" w:color="434343"/>
            </w:tcBorders>
            <w:shd w:val="clear" w:color="auto" w:fill="auto"/>
            <w:hideMark/>
          </w:tcPr>
          <w:p w14:paraId="557E6F5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Desarrollar programas permanentes de formación y capacitación para la mejora de competencias y habilidades de los elementos de </w:t>
            </w:r>
            <w:r w:rsidRPr="00794EB9">
              <w:rPr>
                <w:rFonts w:ascii="Arial" w:hAnsi="Arial" w:cs="Arial"/>
                <w:sz w:val="22"/>
                <w:szCs w:val="22"/>
                <w:lang w:eastAsia="es-MX"/>
              </w:rPr>
              <w:lastRenderedPageBreak/>
              <w:t xml:space="preserve">la corporación de policía </w:t>
            </w:r>
          </w:p>
        </w:tc>
        <w:tc>
          <w:tcPr>
            <w:tcW w:w="686" w:type="pct"/>
            <w:vMerge/>
            <w:tcBorders>
              <w:top w:val="nil"/>
              <w:left w:val="single" w:sz="8" w:space="0" w:color="434343"/>
              <w:bottom w:val="single" w:sz="8" w:space="0" w:color="434343"/>
              <w:right w:val="single" w:sz="8" w:space="0" w:color="434343"/>
            </w:tcBorders>
            <w:vAlign w:val="center"/>
            <w:hideMark/>
          </w:tcPr>
          <w:p w14:paraId="6E826366"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B2C377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3.1.9 Reacreditar las Certificaciones de los tres programas del Triple Arco de CALEA.</w:t>
            </w:r>
          </w:p>
        </w:tc>
      </w:tr>
      <w:tr w:rsidR="00794EB9" w:rsidRPr="00794EB9" w14:paraId="2FC88D14"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C19153B"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95038F2"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75A584D0"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9E504CA" w14:textId="77777777" w:rsidR="00794EB9" w:rsidRPr="00794EB9" w:rsidRDefault="00794EB9" w:rsidP="00C307FB">
            <w:pPr>
              <w:rPr>
                <w:rFonts w:ascii="Arial" w:hAnsi="Arial" w:cs="Arial"/>
                <w:sz w:val="22"/>
                <w:szCs w:val="22"/>
                <w:lang w:eastAsia="es-MX"/>
              </w:rPr>
            </w:pP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11F5A28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la estructura policial y de prevención para fortalecer el modelo de proximidad y atención a la ciudadanía</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1768290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VT. 3.2 Prevención Activa </w:t>
            </w:r>
          </w:p>
        </w:tc>
        <w:tc>
          <w:tcPr>
            <w:tcW w:w="1191" w:type="pct"/>
            <w:tcBorders>
              <w:top w:val="nil"/>
              <w:left w:val="nil"/>
              <w:bottom w:val="single" w:sz="8" w:space="0" w:color="434343"/>
              <w:right w:val="single" w:sz="8" w:space="0" w:color="434343"/>
            </w:tcBorders>
            <w:shd w:val="clear" w:color="auto" w:fill="auto"/>
            <w:hideMark/>
          </w:tcPr>
          <w:p w14:paraId="11F99B5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3.2.1 Desarrollar y publicar el Programa para la Prevención Social de la Violencia y la Delincuencia del Municipio de León.</w:t>
            </w:r>
          </w:p>
        </w:tc>
      </w:tr>
      <w:tr w:rsidR="00794EB9" w:rsidRPr="00794EB9" w14:paraId="0CEA520E"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BD90E82"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10E6DB1"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7192D852"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2981A465"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6D8C9207"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4CB007E"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ADEB59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3.2.2 Cumplir con los 4 ejes del Programa de Prevención de la SSPPC que permitan el conocimiento permanente de la problemática delictiva, la participación de la comunidad y el trabajo con la sociedad civil organizada.</w:t>
            </w:r>
          </w:p>
        </w:tc>
      </w:tr>
      <w:tr w:rsidR="00794EB9" w:rsidRPr="00794EB9" w14:paraId="38B530AD"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145AACE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Tecnología y conectividad digital</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75A77D7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la cobertura de conectividad digital, favoreciendo la tele gestión y una mayor eficiencia de servicios públicos</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3584575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73. Promedio semanal de usuarios conectados a la red de internet del transporte público</w:t>
            </w:r>
            <w:r w:rsidRPr="00794EB9">
              <w:rPr>
                <w:rFonts w:ascii="Arial" w:hAnsi="Arial" w:cs="Arial"/>
                <w:sz w:val="22"/>
                <w:szCs w:val="22"/>
                <w:lang w:eastAsia="es-MX"/>
              </w:rPr>
              <w:br/>
              <w:t>I 74. Porcentaje de luminarias integradas al sistema de Tele-gestión</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311808E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Tecnología y videovigilancia para la seguridad ciudadana</w:t>
            </w:r>
          </w:p>
        </w:tc>
        <w:tc>
          <w:tcPr>
            <w:tcW w:w="1024" w:type="pct"/>
            <w:tcBorders>
              <w:top w:val="nil"/>
              <w:left w:val="nil"/>
              <w:bottom w:val="single" w:sz="8" w:space="0" w:color="434343"/>
              <w:right w:val="single" w:sz="8" w:space="0" w:color="434343"/>
            </w:tcBorders>
            <w:shd w:val="clear" w:color="auto" w:fill="auto"/>
            <w:hideMark/>
          </w:tcPr>
          <w:p w14:paraId="021ABE1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y consolidar la cobertura del equipamiento y la infraestructura tecnológica para la prevención y la seguridad</w:t>
            </w:r>
            <w:r w:rsidRPr="00794EB9">
              <w:rPr>
                <w:rFonts w:ascii="Arial" w:hAnsi="Arial" w:cs="Arial"/>
                <w:sz w:val="22"/>
                <w:szCs w:val="22"/>
                <w:lang w:eastAsia="es-MX"/>
              </w:rPr>
              <w:br/>
              <w:t>ciudadana por distritos urbanos y delegaciones</w:t>
            </w:r>
          </w:p>
        </w:tc>
        <w:tc>
          <w:tcPr>
            <w:tcW w:w="686" w:type="pct"/>
            <w:vMerge/>
            <w:tcBorders>
              <w:top w:val="nil"/>
              <w:left w:val="single" w:sz="8" w:space="0" w:color="434343"/>
              <w:bottom w:val="single" w:sz="8" w:space="0" w:color="434343"/>
              <w:right w:val="single" w:sz="8" w:space="0" w:color="434343"/>
            </w:tcBorders>
            <w:vAlign w:val="center"/>
            <w:hideMark/>
          </w:tcPr>
          <w:p w14:paraId="56FB6453" w14:textId="77777777" w:rsidR="00794EB9" w:rsidRPr="00794EB9" w:rsidRDefault="00794EB9" w:rsidP="00C307FB">
            <w:pPr>
              <w:rPr>
                <w:rFonts w:ascii="Arial" w:hAnsi="Arial" w:cs="Arial"/>
                <w:b/>
                <w:bCs/>
                <w:sz w:val="22"/>
                <w:szCs w:val="22"/>
                <w:lang w:eastAsia="es-MX"/>
              </w:rPr>
            </w:pP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0544BA8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3.2.3 Cubrir los accesos principales de la ciudad con arcos carreteros a través de un esquema de Seguridad Perimetral Urbana.</w:t>
            </w:r>
          </w:p>
        </w:tc>
      </w:tr>
      <w:tr w:rsidR="00794EB9" w:rsidRPr="00794EB9" w14:paraId="6A5F2ED6"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1A192FF2"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3511B3F"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98F32E6"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5A09ACA" w14:textId="77777777" w:rsidR="00794EB9" w:rsidRPr="00794EB9" w:rsidRDefault="00794EB9" w:rsidP="00C307FB">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6D5F0D2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Diseñar e implementar un modelo tecnológico alternativo de vigilancia, para la prevención y la seguridad </w:t>
            </w:r>
            <w:r w:rsidRPr="00794EB9">
              <w:rPr>
                <w:rFonts w:ascii="Arial" w:hAnsi="Arial" w:cs="Arial"/>
                <w:sz w:val="22"/>
                <w:szCs w:val="22"/>
                <w:lang w:eastAsia="es-MX"/>
              </w:rPr>
              <w:lastRenderedPageBreak/>
              <w:t>ciudadana en los polos de desarrollo rural</w:t>
            </w:r>
          </w:p>
        </w:tc>
        <w:tc>
          <w:tcPr>
            <w:tcW w:w="686" w:type="pct"/>
            <w:vMerge/>
            <w:tcBorders>
              <w:top w:val="nil"/>
              <w:left w:val="single" w:sz="8" w:space="0" w:color="434343"/>
              <w:bottom w:val="single" w:sz="8" w:space="0" w:color="434343"/>
              <w:right w:val="single" w:sz="8" w:space="0" w:color="434343"/>
            </w:tcBorders>
            <w:vAlign w:val="center"/>
            <w:hideMark/>
          </w:tcPr>
          <w:p w14:paraId="7289505C" w14:textId="77777777" w:rsidR="00794EB9" w:rsidRPr="00794EB9" w:rsidRDefault="00794EB9" w:rsidP="00C307FB">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18DCD189" w14:textId="77777777" w:rsidR="00794EB9" w:rsidRPr="00794EB9" w:rsidRDefault="00794EB9" w:rsidP="00C307FB">
            <w:pPr>
              <w:rPr>
                <w:rFonts w:ascii="Arial" w:hAnsi="Arial" w:cs="Arial"/>
                <w:sz w:val="22"/>
                <w:szCs w:val="22"/>
                <w:lang w:eastAsia="es-MX"/>
              </w:rPr>
            </w:pPr>
          </w:p>
        </w:tc>
      </w:tr>
      <w:tr w:rsidR="00794EB9" w:rsidRPr="00794EB9" w14:paraId="1CB11A21"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6094BF2D" w14:textId="77777777" w:rsidR="00794EB9" w:rsidRPr="00794EB9" w:rsidRDefault="00794EB9" w:rsidP="00C307FB">
            <w:pPr>
              <w:spacing w:after="240"/>
              <w:rPr>
                <w:rFonts w:ascii="Arial" w:hAnsi="Arial" w:cs="Arial"/>
                <w:sz w:val="22"/>
                <w:szCs w:val="22"/>
                <w:lang w:eastAsia="es-MX"/>
              </w:rPr>
            </w:pPr>
            <w:r w:rsidRPr="00794EB9">
              <w:rPr>
                <w:rFonts w:ascii="Arial" w:hAnsi="Arial" w:cs="Arial"/>
                <w:sz w:val="22"/>
                <w:szCs w:val="22"/>
                <w:lang w:eastAsia="es-MX"/>
              </w:rPr>
              <w:t>Seguridad ciudadana y paz sostenible</w:t>
            </w:r>
            <w:r w:rsidRPr="00794EB9">
              <w:rPr>
                <w:rFonts w:ascii="Arial" w:hAnsi="Arial" w:cs="Arial"/>
                <w:sz w:val="22"/>
                <w:szCs w:val="22"/>
                <w:lang w:eastAsia="es-MX"/>
              </w:rPr>
              <w:br/>
            </w:r>
            <w:r w:rsidRPr="00794EB9">
              <w:rPr>
                <w:rFonts w:ascii="Arial" w:hAnsi="Arial" w:cs="Arial"/>
                <w:sz w:val="22"/>
                <w:szCs w:val="22"/>
                <w:lang w:eastAsia="es-MX"/>
              </w:rPr>
              <w:br/>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45770FB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687" w:type="pct"/>
            <w:tcBorders>
              <w:top w:val="nil"/>
              <w:left w:val="nil"/>
              <w:bottom w:val="single" w:sz="8" w:space="0" w:color="434343"/>
              <w:right w:val="single" w:sz="8" w:space="0" w:color="434343"/>
            </w:tcBorders>
            <w:shd w:val="clear" w:color="auto" w:fill="auto"/>
            <w:hideMark/>
          </w:tcPr>
          <w:p w14:paraId="03A2CEA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63. Número de elementos de la policía municipal por cada mil habitantes</w:t>
            </w:r>
            <w:r w:rsidRPr="00794EB9">
              <w:rPr>
                <w:rFonts w:ascii="Arial" w:hAnsi="Arial" w:cs="Arial"/>
                <w:sz w:val="22"/>
                <w:szCs w:val="22"/>
                <w:lang w:eastAsia="es-MX"/>
              </w:rPr>
              <w:br/>
              <w:t>I 64. Porcentaje de población que percibe que la policía de León está capacitada para acercarse al ciudadano</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17DF8B9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1024" w:type="pct"/>
            <w:tcBorders>
              <w:top w:val="nil"/>
              <w:left w:val="nil"/>
              <w:bottom w:val="single" w:sz="8" w:space="0" w:color="434343"/>
              <w:right w:val="single" w:sz="8" w:space="0" w:color="434343"/>
            </w:tcBorders>
            <w:shd w:val="clear" w:color="auto" w:fill="auto"/>
            <w:hideMark/>
          </w:tcPr>
          <w:p w14:paraId="75FB7B1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programas de organización comunitaria y cultura cívica para el desarrollo local y el fortalecimiento del núcleo familiar</w:t>
            </w:r>
          </w:p>
        </w:tc>
        <w:tc>
          <w:tcPr>
            <w:tcW w:w="686" w:type="pct"/>
            <w:vMerge/>
            <w:tcBorders>
              <w:top w:val="nil"/>
              <w:left w:val="single" w:sz="8" w:space="0" w:color="434343"/>
              <w:bottom w:val="single" w:sz="8" w:space="0" w:color="434343"/>
              <w:right w:val="single" w:sz="8" w:space="0" w:color="434343"/>
            </w:tcBorders>
            <w:vAlign w:val="center"/>
            <w:hideMark/>
          </w:tcPr>
          <w:p w14:paraId="4BAE33FD"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50D5CE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3.2.4 Reactivar los Comités de Seguridad Urbana para el trabajo permanente en materia de prevención del delito en el municipio.</w:t>
            </w:r>
          </w:p>
        </w:tc>
      </w:tr>
      <w:tr w:rsidR="00794EB9" w:rsidRPr="00794EB9" w14:paraId="144B895E"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144172A"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C39826C" w14:textId="77777777" w:rsidR="00794EB9" w:rsidRPr="00794EB9" w:rsidRDefault="00794EB9" w:rsidP="00C307FB">
            <w:pPr>
              <w:rPr>
                <w:rFonts w:ascii="Arial" w:hAnsi="Arial" w:cs="Arial"/>
                <w:sz w:val="22"/>
                <w:szCs w:val="22"/>
                <w:lang w:eastAsia="es-MX"/>
              </w:rPr>
            </w:pPr>
          </w:p>
        </w:tc>
        <w:tc>
          <w:tcPr>
            <w:tcW w:w="687" w:type="pct"/>
            <w:tcBorders>
              <w:top w:val="nil"/>
              <w:left w:val="nil"/>
              <w:bottom w:val="single" w:sz="8" w:space="0" w:color="434343"/>
              <w:right w:val="single" w:sz="8" w:space="0" w:color="434343"/>
            </w:tcBorders>
            <w:shd w:val="clear" w:color="auto" w:fill="auto"/>
            <w:hideMark/>
          </w:tcPr>
          <w:p w14:paraId="054D2CC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61. Porcentaje de población de 18 años y más que percibe segura la ciudad</w:t>
            </w:r>
          </w:p>
        </w:tc>
        <w:tc>
          <w:tcPr>
            <w:tcW w:w="426" w:type="pct"/>
            <w:vMerge/>
            <w:tcBorders>
              <w:top w:val="nil"/>
              <w:left w:val="single" w:sz="8" w:space="0" w:color="434343"/>
              <w:bottom w:val="single" w:sz="8" w:space="0" w:color="434343"/>
              <w:right w:val="single" w:sz="8" w:space="0" w:color="434343"/>
            </w:tcBorders>
            <w:vAlign w:val="center"/>
            <w:hideMark/>
          </w:tcPr>
          <w:p w14:paraId="7CBA681C" w14:textId="77777777" w:rsidR="00794EB9" w:rsidRPr="00794EB9" w:rsidRDefault="00794EB9" w:rsidP="00C307FB">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1638FA6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Establecer mecanismos de colaboración y coordinación con la comunidad educativa y las instancias correspondientes, para contar con trayectos seguros y escuelas libres de vandalismo</w:t>
            </w:r>
          </w:p>
        </w:tc>
        <w:tc>
          <w:tcPr>
            <w:tcW w:w="686" w:type="pct"/>
            <w:vMerge/>
            <w:tcBorders>
              <w:top w:val="nil"/>
              <w:left w:val="single" w:sz="8" w:space="0" w:color="434343"/>
              <w:bottom w:val="single" w:sz="8" w:space="0" w:color="434343"/>
              <w:right w:val="single" w:sz="8" w:space="0" w:color="434343"/>
            </w:tcBorders>
            <w:vAlign w:val="center"/>
            <w:hideMark/>
          </w:tcPr>
          <w:p w14:paraId="22EA06A0"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70CE22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3.2.5 Construir y mantener entornos seguros en escuelas en zonas de alta incidencia delictiva</w:t>
            </w:r>
          </w:p>
        </w:tc>
      </w:tr>
      <w:tr w:rsidR="00794EB9" w:rsidRPr="00794EB9" w14:paraId="61E5CC6F"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30E1A74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Tecnología y cone</w:t>
            </w:r>
            <w:r w:rsidRPr="00794EB9">
              <w:rPr>
                <w:rFonts w:ascii="Arial" w:hAnsi="Arial" w:cs="Arial"/>
                <w:sz w:val="22"/>
                <w:szCs w:val="22"/>
                <w:lang w:eastAsia="es-MX"/>
              </w:rPr>
              <w:lastRenderedPageBreak/>
              <w:t>ctividad digital</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5BDB173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Ampliar la cobertura de </w:t>
            </w:r>
            <w:r w:rsidRPr="00794EB9">
              <w:rPr>
                <w:rFonts w:ascii="Arial" w:hAnsi="Arial" w:cs="Arial"/>
                <w:sz w:val="22"/>
                <w:szCs w:val="22"/>
                <w:lang w:eastAsia="es-MX"/>
              </w:rPr>
              <w:lastRenderedPageBreak/>
              <w:t>conectividad digital, favoreciendo la tele gestión y una mayor eficiencia de servicios públicos</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7F17BE8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 73. Promedio semanal de </w:t>
            </w:r>
            <w:r w:rsidRPr="00794EB9">
              <w:rPr>
                <w:rFonts w:ascii="Arial" w:hAnsi="Arial" w:cs="Arial"/>
                <w:sz w:val="22"/>
                <w:szCs w:val="22"/>
                <w:lang w:eastAsia="es-MX"/>
              </w:rPr>
              <w:lastRenderedPageBreak/>
              <w:t>usuarios conectados a la red de internet del transporte público</w:t>
            </w:r>
            <w:r w:rsidRPr="00794EB9">
              <w:rPr>
                <w:rFonts w:ascii="Arial" w:hAnsi="Arial" w:cs="Arial"/>
                <w:sz w:val="22"/>
                <w:szCs w:val="22"/>
                <w:lang w:eastAsia="es-MX"/>
              </w:rPr>
              <w:br/>
              <w:t>I 74. Porcentaje de luminarias integradas al sistema de Tele-gestión</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4CF5176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Conectividad digital </w:t>
            </w:r>
            <w:r w:rsidRPr="00794EB9">
              <w:rPr>
                <w:rFonts w:ascii="Arial" w:hAnsi="Arial" w:cs="Arial"/>
                <w:sz w:val="22"/>
                <w:szCs w:val="22"/>
                <w:lang w:eastAsia="es-MX"/>
              </w:rPr>
              <w:lastRenderedPageBreak/>
              <w:t xml:space="preserve">y tele gestión de servicios públicos </w:t>
            </w:r>
          </w:p>
        </w:tc>
        <w:tc>
          <w:tcPr>
            <w:tcW w:w="1024" w:type="pct"/>
            <w:tcBorders>
              <w:top w:val="nil"/>
              <w:left w:val="nil"/>
              <w:bottom w:val="single" w:sz="8" w:space="0" w:color="434343"/>
              <w:right w:val="single" w:sz="8" w:space="0" w:color="434343"/>
            </w:tcBorders>
            <w:shd w:val="clear" w:color="auto" w:fill="auto"/>
            <w:hideMark/>
          </w:tcPr>
          <w:p w14:paraId="7190E7C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Consolidar la infraestructura para la prestación y </w:t>
            </w:r>
            <w:r w:rsidRPr="00794EB9">
              <w:rPr>
                <w:rFonts w:ascii="Arial" w:hAnsi="Arial" w:cs="Arial"/>
                <w:sz w:val="22"/>
                <w:szCs w:val="22"/>
                <w:lang w:eastAsia="es-MX"/>
              </w:rPr>
              <w:lastRenderedPageBreak/>
              <w:t>optimización de servicios públicos por medio la tele gestión</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5F195B3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VT. 3.3 Tolerancia Cero</w:t>
            </w:r>
          </w:p>
        </w:tc>
        <w:tc>
          <w:tcPr>
            <w:tcW w:w="1191" w:type="pct"/>
            <w:tcBorders>
              <w:top w:val="nil"/>
              <w:left w:val="nil"/>
              <w:bottom w:val="single" w:sz="8" w:space="0" w:color="434343"/>
              <w:right w:val="single" w:sz="8" w:space="0" w:color="434343"/>
            </w:tcBorders>
            <w:shd w:val="clear" w:color="auto" w:fill="auto"/>
            <w:hideMark/>
          </w:tcPr>
          <w:p w14:paraId="6ACD529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3.3.1 Cubrir las vialidades primarias de la ciudad con equipamiento </w:t>
            </w:r>
            <w:r w:rsidRPr="00794EB9">
              <w:rPr>
                <w:rFonts w:ascii="Arial" w:hAnsi="Arial" w:cs="Arial"/>
                <w:sz w:val="22"/>
                <w:szCs w:val="22"/>
                <w:lang w:eastAsia="es-MX"/>
              </w:rPr>
              <w:lastRenderedPageBreak/>
              <w:t>tecnológico para disminuir la accidentalidad y detectar posibles delitos y faltas al reglamento de policía y vialidad.</w:t>
            </w:r>
          </w:p>
        </w:tc>
      </w:tr>
      <w:tr w:rsidR="00794EB9" w:rsidRPr="00794EB9" w14:paraId="1166C8B4"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7E0A20E"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FB5C3DD"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B27A16B"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4A685F2F" w14:textId="77777777" w:rsidR="00794EB9" w:rsidRPr="00794EB9" w:rsidRDefault="00794EB9" w:rsidP="00C307FB">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21187BB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Desarrollar e implementar programas de inteligencia artificial y ciencia de datos con alianzas nacionales e internacionales para la mejora en la prestación de servicios públicos</w:t>
            </w:r>
          </w:p>
        </w:tc>
        <w:tc>
          <w:tcPr>
            <w:tcW w:w="686" w:type="pct"/>
            <w:vMerge/>
            <w:tcBorders>
              <w:top w:val="nil"/>
              <w:left w:val="single" w:sz="8" w:space="0" w:color="434343"/>
              <w:bottom w:val="single" w:sz="8" w:space="0" w:color="434343"/>
              <w:right w:val="single" w:sz="8" w:space="0" w:color="434343"/>
            </w:tcBorders>
            <w:vAlign w:val="center"/>
            <w:hideMark/>
          </w:tcPr>
          <w:p w14:paraId="434E2B8A"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8E918B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3.3.2 Desarrollar un software y sistematizar el proceso del cumplimiento de la prerrogativa de actividades comunitarias.</w:t>
            </w:r>
          </w:p>
        </w:tc>
      </w:tr>
      <w:tr w:rsidR="00794EB9" w:rsidRPr="00794EB9" w14:paraId="40B4BBB1"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F2E642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610" w:type="pct"/>
            <w:tcBorders>
              <w:top w:val="nil"/>
              <w:left w:val="nil"/>
              <w:bottom w:val="single" w:sz="8" w:space="0" w:color="434343"/>
              <w:right w:val="single" w:sz="8" w:space="0" w:color="434343"/>
            </w:tcBorders>
            <w:shd w:val="clear" w:color="auto" w:fill="auto"/>
            <w:hideMark/>
          </w:tcPr>
          <w:p w14:paraId="21C4FFF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687" w:type="pct"/>
            <w:tcBorders>
              <w:top w:val="nil"/>
              <w:left w:val="nil"/>
              <w:bottom w:val="single" w:sz="8" w:space="0" w:color="434343"/>
              <w:right w:val="single" w:sz="8" w:space="0" w:color="434343"/>
            </w:tcBorders>
            <w:shd w:val="clear" w:color="auto" w:fill="auto"/>
            <w:hideMark/>
          </w:tcPr>
          <w:p w14:paraId="1D9B76E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61. Porcentaje de población de 18 años y más que percibe segura la ciudad</w:t>
            </w:r>
            <w:r w:rsidRPr="00794EB9">
              <w:rPr>
                <w:rFonts w:ascii="Arial" w:hAnsi="Arial" w:cs="Arial"/>
                <w:sz w:val="22"/>
                <w:szCs w:val="22"/>
                <w:lang w:eastAsia="es-MX"/>
              </w:rPr>
              <w:br/>
              <w:t>I 62. Tasa de incidencia delictiva</w:t>
            </w:r>
          </w:p>
        </w:tc>
        <w:tc>
          <w:tcPr>
            <w:tcW w:w="426" w:type="pct"/>
            <w:tcBorders>
              <w:top w:val="nil"/>
              <w:left w:val="nil"/>
              <w:bottom w:val="single" w:sz="8" w:space="0" w:color="434343"/>
              <w:right w:val="single" w:sz="8" w:space="0" w:color="434343"/>
            </w:tcBorders>
            <w:shd w:val="clear" w:color="auto" w:fill="auto"/>
            <w:hideMark/>
          </w:tcPr>
          <w:p w14:paraId="702C3D4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1024" w:type="pct"/>
            <w:tcBorders>
              <w:top w:val="nil"/>
              <w:left w:val="nil"/>
              <w:bottom w:val="single" w:sz="8" w:space="0" w:color="434343"/>
              <w:right w:val="single" w:sz="8" w:space="0" w:color="434343"/>
            </w:tcBorders>
            <w:shd w:val="clear" w:color="auto" w:fill="auto"/>
            <w:hideMark/>
          </w:tcPr>
          <w:p w14:paraId="6C38893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programas de organización comunitaria y cultura cívica para el desarrollo local y el fortalecimiento del núcleo familiar</w:t>
            </w:r>
          </w:p>
        </w:tc>
        <w:tc>
          <w:tcPr>
            <w:tcW w:w="686" w:type="pct"/>
            <w:vMerge/>
            <w:tcBorders>
              <w:top w:val="nil"/>
              <w:left w:val="single" w:sz="8" w:space="0" w:color="434343"/>
              <w:bottom w:val="single" w:sz="8" w:space="0" w:color="434343"/>
              <w:right w:val="single" w:sz="8" w:space="0" w:color="434343"/>
            </w:tcBorders>
            <w:vAlign w:val="center"/>
            <w:hideMark/>
          </w:tcPr>
          <w:p w14:paraId="4FF4DF84"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02FB16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3.3.3 Realizar una campaña de difusión de cultura de la legalidad y justicia cívica (reglamentos).</w:t>
            </w:r>
          </w:p>
        </w:tc>
      </w:tr>
      <w:tr w:rsidR="00794EB9" w:rsidRPr="00794EB9" w14:paraId="4701A152"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70914CE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D9D9D9" w:themeFill="background1" w:themeFillShade="D9"/>
            <w:noWrap/>
            <w:hideMark/>
          </w:tcPr>
          <w:p w14:paraId="113FBC0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D9D9D9" w:themeFill="background1" w:themeFillShade="D9"/>
            <w:noWrap/>
            <w:hideMark/>
          </w:tcPr>
          <w:p w14:paraId="551CC29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D9D9D9" w:themeFill="background1" w:themeFillShade="D9"/>
            <w:noWrap/>
            <w:hideMark/>
          </w:tcPr>
          <w:p w14:paraId="4B61EC3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06B050F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351E58F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VT4. León Ciudad Emoción</w:t>
            </w: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6848AC2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4E643EC3"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496AD5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Modelo urbano integrador</w:t>
            </w:r>
          </w:p>
        </w:tc>
        <w:tc>
          <w:tcPr>
            <w:tcW w:w="610" w:type="pct"/>
            <w:tcBorders>
              <w:top w:val="nil"/>
              <w:left w:val="nil"/>
              <w:bottom w:val="single" w:sz="8" w:space="0" w:color="434343"/>
              <w:right w:val="single" w:sz="8" w:space="0" w:color="434343"/>
            </w:tcBorders>
            <w:shd w:val="clear" w:color="auto" w:fill="auto"/>
            <w:hideMark/>
          </w:tcPr>
          <w:p w14:paraId="4385BC2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infraestructura verde</w:t>
            </w:r>
          </w:p>
        </w:tc>
        <w:tc>
          <w:tcPr>
            <w:tcW w:w="687" w:type="pct"/>
            <w:tcBorders>
              <w:top w:val="nil"/>
              <w:left w:val="nil"/>
              <w:bottom w:val="single" w:sz="8" w:space="0" w:color="434343"/>
              <w:right w:val="single" w:sz="8" w:space="0" w:color="434343"/>
            </w:tcBorders>
            <w:shd w:val="clear" w:color="auto" w:fill="auto"/>
            <w:hideMark/>
          </w:tcPr>
          <w:p w14:paraId="7C90D9B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25. Densidad de la zona urbana</w:t>
            </w:r>
            <w:r w:rsidRPr="00794EB9">
              <w:rPr>
                <w:rFonts w:ascii="Arial" w:hAnsi="Arial" w:cs="Arial"/>
                <w:sz w:val="22"/>
                <w:szCs w:val="22"/>
                <w:lang w:eastAsia="es-MX"/>
              </w:rPr>
              <w:br/>
              <w:t>I 28. Porcentaje de acciones implementadas para la infraestructura verde</w:t>
            </w:r>
          </w:p>
        </w:tc>
        <w:tc>
          <w:tcPr>
            <w:tcW w:w="426" w:type="pct"/>
            <w:tcBorders>
              <w:top w:val="nil"/>
              <w:left w:val="nil"/>
              <w:bottom w:val="single" w:sz="8" w:space="0" w:color="434343"/>
              <w:right w:val="single" w:sz="8" w:space="0" w:color="434343"/>
            </w:tcBorders>
            <w:shd w:val="clear" w:color="auto" w:fill="auto"/>
            <w:hideMark/>
          </w:tcPr>
          <w:p w14:paraId="5BFC693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Densificación y consolidación urbana</w:t>
            </w:r>
            <w:r w:rsidRPr="00794EB9">
              <w:rPr>
                <w:rFonts w:ascii="Arial" w:hAnsi="Arial" w:cs="Arial"/>
                <w:sz w:val="22"/>
                <w:szCs w:val="22"/>
                <w:lang w:eastAsia="es-MX"/>
              </w:rPr>
              <w:br/>
              <w:t xml:space="preserve"> </w:t>
            </w:r>
          </w:p>
        </w:tc>
        <w:tc>
          <w:tcPr>
            <w:tcW w:w="1024" w:type="pct"/>
            <w:tcBorders>
              <w:top w:val="nil"/>
              <w:left w:val="nil"/>
              <w:bottom w:val="single" w:sz="8" w:space="0" w:color="434343"/>
              <w:right w:val="single" w:sz="8" w:space="0" w:color="434343"/>
            </w:tcBorders>
            <w:shd w:val="clear" w:color="auto" w:fill="auto"/>
            <w:hideMark/>
          </w:tcPr>
          <w:p w14:paraId="7D5D3E0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Regenerar y reactivar turística y económicamente el Distrito F, correspondiente a la Ciudad Histórica </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7D2113E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VT.4.1 Patrimonio Cultural e Identidad Leonesa </w:t>
            </w:r>
          </w:p>
        </w:tc>
        <w:tc>
          <w:tcPr>
            <w:tcW w:w="1191" w:type="pct"/>
            <w:tcBorders>
              <w:top w:val="nil"/>
              <w:left w:val="nil"/>
              <w:bottom w:val="single" w:sz="8" w:space="0" w:color="434343"/>
              <w:right w:val="single" w:sz="8" w:space="0" w:color="434343"/>
            </w:tcBorders>
            <w:shd w:val="clear" w:color="auto" w:fill="auto"/>
            <w:hideMark/>
          </w:tcPr>
          <w:p w14:paraId="7904F62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4.1.1 Desarrollar el Plan de Manejo de la Ciudad Histórica.</w:t>
            </w:r>
          </w:p>
        </w:tc>
      </w:tr>
      <w:tr w:rsidR="00794EB9" w:rsidRPr="00794EB9" w14:paraId="3578DA44"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76C89DC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0959941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Ampliar la oferta de sitios y opciones de recreación y esparcimiento, con altos estándares de calidad, que sean accesibles para las y los </w:t>
            </w:r>
            <w:r w:rsidRPr="00794EB9">
              <w:rPr>
                <w:rFonts w:ascii="Arial" w:hAnsi="Arial" w:cs="Arial"/>
                <w:sz w:val="22"/>
                <w:szCs w:val="22"/>
                <w:lang w:eastAsia="es-MX"/>
              </w:rPr>
              <w:lastRenderedPageBreak/>
              <w:t>leoneses y visitantes</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4C93043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 44. Superficie de espacios públicos </w:t>
            </w:r>
            <w:r w:rsidRPr="00794EB9">
              <w:rPr>
                <w:rFonts w:ascii="Arial" w:hAnsi="Arial" w:cs="Arial"/>
                <w:sz w:val="22"/>
                <w:szCs w:val="22"/>
                <w:lang w:eastAsia="es-MX"/>
              </w:rPr>
              <w:br/>
              <w:t>I 45. Porcentaje de cobertura geográfica de los espacios públicos</w:t>
            </w:r>
            <w:r w:rsidRPr="00794EB9">
              <w:rPr>
                <w:rFonts w:ascii="Arial" w:hAnsi="Arial" w:cs="Arial"/>
                <w:sz w:val="22"/>
                <w:szCs w:val="22"/>
                <w:lang w:eastAsia="es-MX"/>
              </w:rPr>
              <w:br/>
              <w:t xml:space="preserve">I 46. Porcentaje de espacios públicos </w:t>
            </w:r>
            <w:r w:rsidRPr="00794EB9">
              <w:rPr>
                <w:rFonts w:ascii="Arial" w:hAnsi="Arial" w:cs="Arial"/>
                <w:sz w:val="22"/>
                <w:szCs w:val="22"/>
                <w:lang w:eastAsia="es-MX"/>
              </w:rPr>
              <w:lastRenderedPageBreak/>
              <w:t>en buen estado</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3F15348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Promoción de la cultura y la identidad leonesa. </w:t>
            </w:r>
          </w:p>
        </w:tc>
        <w:tc>
          <w:tcPr>
            <w:tcW w:w="1024" w:type="pct"/>
            <w:tcBorders>
              <w:top w:val="nil"/>
              <w:left w:val="nil"/>
              <w:bottom w:val="single" w:sz="8" w:space="0" w:color="434343"/>
              <w:right w:val="single" w:sz="8" w:space="0" w:color="434343"/>
            </w:tcBorders>
            <w:shd w:val="clear" w:color="auto" w:fill="auto"/>
            <w:hideMark/>
          </w:tcPr>
          <w:p w14:paraId="2B8CFFA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Restaurar, regenerar y reactivar los atractivos naturales, así como el patrimonio histórico y cultural </w:t>
            </w:r>
          </w:p>
        </w:tc>
        <w:tc>
          <w:tcPr>
            <w:tcW w:w="686" w:type="pct"/>
            <w:vMerge/>
            <w:tcBorders>
              <w:top w:val="nil"/>
              <w:left w:val="single" w:sz="8" w:space="0" w:color="434343"/>
              <w:bottom w:val="single" w:sz="8" w:space="0" w:color="434343"/>
              <w:right w:val="single" w:sz="8" w:space="0" w:color="434343"/>
            </w:tcBorders>
            <w:vAlign w:val="center"/>
            <w:hideMark/>
          </w:tcPr>
          <w:p w14:paraId="5B377C22" w14:textId="77777777" w:rsidR="00794EB9" w:rsidRPr="00794EB9" w:rsidRDefault="00794EB9" w:rsidP="00C307FB">
            <w:pPr>
              <w:rPr>
                <w:rFonts w:ascii="Arial" w:hAnsi="Arial" w:cs="Arial"/>
                <w:b/>
                <w:bCs/>
                <w:sz w:val="22"/>
                <w:szCs w:val="22"/>
                <w:lang w:eastAsia="es-MX"/>
              </w:rPr>
            </w:pP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7AA20A7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4.1.2 Realizar estudios y proyectos de regeneración urbana en Barrios Históricos.</w:t>
            </w:r>
          </w:p>
        </w:tc>
      </w:tr>
      <w:tr w:rsidR="00794EB9" w:rsidRPr="00794EB9" w14:paraId="4C997286"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85A2490"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5399B8E"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7E115825"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7A6F812B" w14:textId="77777777" w:rsidR="00794EB9" w:rsidRPr="00794EB9" w:rsidRDefault="00794EB9" w:rsidP="00C307FB">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22BB470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Conservar y mantener y ampliar la infraestructura cultural del municipio</w:t>
            </w:r>
          </w:p>
        </w:tc>
        <w:tc>
          <w:tcPr>
            <w:tcW w:w="686" w:type="pct"/>
            <w:vMerge/>
            <w:tcBorders>
              <w:top w:val="nil"/>
              <w:left w:val="single" w:sz="8" w:space="0" w:color="434343"/>
              <w:bottom w:val="single" w:sz="8" w:space="0" w:color="434343"/>
              <w:right w:val="single" w:sz="8" w:space="0" w:color="434343"/>
            </w:tcBorders>
            <w:vAlign w:val="center"/>
            <w:hideMark/>
          </w:tcPr>
          <w:p w14:paraId="05A0D3DA" w14:textId="77777777" w:rsidR="00794EB9" w:rsidRPr="00794EB9" w:rsidRDefault="00794EB9" w:rsidP="00C307FB">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05EC12CA" w14:textId="77777777" w:rsidR="00794EB9" w:rsidRPr="00794EB9" w:rsidRDefault="00794EB9" w:rsidP="00C307FB">
            <w:pPr>
              <w:rPr>
                <w:rFonts w:ascii="Arial" w:hAnsi="Arial" w:cs="Arial"/>
                <w:sz w:val="22"/>
                <w:szCs w:val="22"/>
                <w:lang w:eastAsia="es-MX"/>
              </w:rPr>
            </w:pPr>
          </w:p>
        </w:tc>
      </w:tr>
      <w:tr w:rsidR="00794EB9" w:rsidRPr="00794EB9" w14:paraId="046000DC"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35CB5FC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Estilos de vida saludable </w:t>
            </w:r>
          </w:p>
        </w:tc>
        <w:tc>
          <w:tcPr>
            <w:tcW w:w="610" w:type="pct"/>
            <w:tcBorders>
              <w:top w:val="nil"/>
              <w:left w:val="nil"/>
              <w:bottom w:val="single" w:sz="8" w:space="0" w:color="434343"/>
              <w:right w:val="single" w:sz="8" w:space="0" w:color="434343"/>
            </w:tcBorders>
            <w:shd w:val="clear" w:color="auto" w:fill="auto"/>
            <w:hideMark/>
          </w:tcPr>
          <w:p w14:paraId="56268B7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687" w:type="pct"/>
            <w:tcBorders>
              <w:top w:val="nil"/>
              <w:left w:val="nil"/>
              <w:bottom w:val="single" w:sz="8" w:space="0" w:color="434343"/>
              <w:right w:val="single" w:sz="8" w:space="0" w:color="434343"/>
            </w:tcBorders>
            <w:shd w:val="clear" w:color="auto" w:fill="auto"/>
            <w:hideMark/>
          </w:tcPr>
          <w:p w14:paraId="1FC05DB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53. Porcentaje de muertes por enfermedades crónico degenerativas</w:t>
            </w:r>
          </w:p>
        </w:tc>
        <w:tc>
          <w:tcPr>
            <w:tcW w:w="426" w:type="pct"/>
            <w:tcBorders>
              <w:top w:val="nil"/>
              <w:left w:val="nil"/>
              <w:bottom w:val="single" w:sz="8" w:space="0" w:color="434343"/>
              <w:right w:val="single" w:sz="8" w:space="0" w:color="434343"/>
            </w:tcBorders>
            <w:shd w:val="clear" w:color="auto" w:fill="auto"/>
            <w:hideMark/>
          </w:tcPr>
          <w:p w14:paraId="31D741D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1024" w:type="pct"/>
            <w:tcBorders>
              <w:top w:val="nil"/>
              <w:left w:val="nil"/>
              <w:bottom w:val="single" w:sz="8" w:space="0" w:color="434343"/>
              <w:right w:val="single" w:sz="8" w:space="0" w:color="434343"/>
            </w:tcBorders>
            <w:shd w:val="clear" w:color="auto" w:fill="auto"/>
            <w:hideMark/>
          </w:tcPr>
          <w:p w14:paraId="2A06B11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programas de cultura física y deporte en escuelas, centros de capacitación y sitios laborales</w:t>
            </w:r>
          </w:p>
        </w:tc>
        <w:tc>
          <w:tcPr>
            <w:tcW w:w="686" w:type="pct"/>
            <w:vMerge/>
            <w:tcBorders>
              <w:top w:val="nil"/>
              <w:left w:val="single" w:sz="8" w:space="0" w:color="434343"/>
              <w:bottom w:val="single" w:sz="8" w:space="0" w:color="434343"/>
              <w:right w:val="single" w:sz="8" w:space="0" w:color="434343"/>
            </w:tcBorders>
            <w:vAlign w:val="center"/>
            <w:hideMark/>
          </w:tcPr>
          <w:p w14:paraId="5DC3EE0F"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0908C3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4.1.3 Otorgar apoyos a equipos deportivos representativos de León, de acuerdo a la normativa del Reglamento de Apoyos Deportivos.</w:t>
            </w:r>
          </w:p>
        </w:tc>
      </w:tr>
      <w:tr w:rsidR="00794EB9" w:rsidRPr="00794EB9" w14:paraId="34415FA1"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720DBA7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13B6FFB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esparcimiento, con altos estándares de calidad, que sean accesibles para las y los leoneses y visitantes</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6E7D920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I 44. Superficie de espacios públicos </w:t>
            </w:r>
            <w:r w:rsidRPr="00794EB9">
              <w:rPr>
                <w:rFonts w:ascii="Arial" w:hAnsi="Arial" w:cs="Arial"/>
                <w:sz w:val="22"/>
                <w:szCs w:val="22"/>
                <w:lang w:eastAsia="es-MX"/>
              </w:rPr>
              <w:br/>
              <w:t>I 45. Porcentaje de cobertura geográfica de los espacios públicos</w:t>
            </w:r>
            <w:r w:rsidRPr="00794EB9">
              <w:rPr>
                <w:rFonts w:ascii="Arial" w:hAnsi="Arial" w:cs="Arial"/>
                <w:sz w:val="22"/>
                <w:szCs w:val="22"/>
                <w:lang w:eastAsia="es-MX"/>
              </w:rPr>
              <w:br/>
              <w:t>I 46. Porcentaje de espacios públicos en buen estado</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62591D3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Promoción de la cultura y la identidad leonesa</w:t>
            </w:r>
          </w:p>
        </w:tc>
        <w:tc>
          <w:tcPr>
            <w:tcW w:w="1024" w:type="pct"/>
            <w:tcBorders>
              <w:top w:val="nil"/>
              <w:left w:val="nil"/>
              <w:bottom w:val="single" w:sz="8" w:space="0" w:color="434343"/>
              <w:right w:val="single" w:sz="8" w:space="0" w:color="434343"/>
            </w:tcBorders>
            <w:shd w:val="clear" w:color="auto" w:fill="auto"/>
            <w:hideMark/>
          </w:tcPr>
          <w:p w14:paraId="0FC2CA2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Desarrollar actividades culturales que sean accesibles para la población en zonas vulnerables y propiciar las visitas y apropiación de los espacios y recintos emblemáticos de la ciudad</w:t>
            </w:r>
          </w:p>
        </w:tc>
        <w:tc>
          <w:tcPr>
            <w:tcW w:w="686" w:type="pct"/>
            <w:vMerge/>
            <w:tcBorders>
              <w:top w:val="nil"/>
              <w:left w:val="single" w:sz="8" w:space="0" w:color="434343"/>
              <w:bottom w:val="single" w:sz="8" w:space="0" w:color="434343"/>
              <w:right w:val="single" w:sz="8" w:space="0" w:color="434343"/>
            </w:tcBorders>
            <w:vAlign w:val="center"/>
            <w:hideMark/>
          </w:tcPr>
          <w:p w14:paraId="3ED32293"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4E22F6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4.1.4 Realizar un Programa anual de conferencias, proyectos académicos, exposiciones y activaciones artísticas en los diferentes recintos ubicados en zonas con valor histórico para la ciudadanía.</w:t>
            </w:r>
          </w:p>
        </w:tc>
      </w:tr>
      <w:tr w:rsidR="00794EB9" w:rsidRPr="00794EB9" w14:paraId="4A499E93"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AFE7BD4"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FE153C7"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2257B204"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19550A30" w14:textId="77777777" w:rsidR="00794EB9" w:rsidRPr="00794EB9" w:rsidRDefault="00794EB9" w:rsidP="00C307FB">
            <w:pPr>
              <w:rPr>
                <w:rFonts w:ascii="Arial" w:hAnsi="Arial" w:cs="Arial"/>
                <w:sz w:val="22"/>
                <w:szCs w:val="22"/>
                <w:lang w:eastAsia="es-MX"/>
              </w:rPr>
            </w:pP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6E7498E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Promover el arraigo y la identidad local con la generación de circuitos y </w:t>
            </w:r>
            <w:r w:rsidRPr="00794EB9">
              <w:rPr>
                <w:rFonts w:ascii="Arial" w:hAnsi="Arial" w:cs="Arial"/>
                <w:sz w:val="22"/>
                <w:szCs w:val="22"/>
                <w:lang w:eastAsia="es-MX"/>
              </w:rPr>
              <w:lastRenderedPageBreak/>
              <w:t>recorridos culturales que articulen sitios y espacios públicos del municipio y que incentiven el turismo local</w:t>
            </w:r>
          </w:p>
        </w:tc>
        <w:tc>
          <w:tcPr>
            <w:tcW w:w="686" w:type="pct"/>
            <w:vMerge/>
            <w:tcBorders>
              <w:top w:val="nil"/>
              <w:left w:val="single" w:sz="8" w:space="0" w:color="434343"/>
              <w:bottom w:val="single" w:sz="8" w:space="0" w:color="434343"/>
              <w:right w:val="single" w:sz="8" w:space="0" w:color="434343"/>
            </w:tcBorders>
            <w:vAlign w:val="center"/>
            <w:hideMark/>
          </w:tcPr>
          <w:p w14:paraId="0A1A71A5"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386828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4.1.5 Realizar exposiciones en las diferentes salas del MIL (Museo de las Identidades Leonesas) con </w:t>
            </w:r>
            <w:r w:rsidRPr="00794EB9">
              <w:rPr>
                <w:rFonts w:ascii="Arial" w:hAnsi="Arial" w:cs="Arial"/>
                <w:sz w:val="22"/>
                <w:szCs w:val="22"/>
                <w:lang w:eastAsia="es-MX"/>
              </w:rPr>
              <w:lastRenderedPageBreak/>
              <w:t>temáticas de identidad, orígenes e historia de León, arte y objetos culturales.</w:t>
            </w:r>
          </w:p>
        </w:tc>
      </w:tr>
      <w:tr w:rsidR="00794EB9" w:rsidRPr="00794EB9" w14:paraId="360AE644"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5555615"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5D40D97"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231A28E8"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DA017F6"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41C3FD60" w14:textId="77777777" w:rsidR="00794EB9" w:rsidRPr="00794EB9" w:rsidRDefault="00794EB9" w:rsidP="00C307FB">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16DC30E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4.2. Marca Ciudad</w:t>
            </w:r>
          </w:p>
        </w:tc>
        <w:tc>
          <w:tcPr>
            <w:tcW w:w="1191" w:type="pct"/>
            <w:tcBorders>
              <w:top w:val="nil"/>
              <w:left w:val="nil"/>
              <w:bottom w:val="single" w:sz="8" w:space="0" w:color="434343"/>
              <w:right w:val="single" w:sz="8" w:space="0" w:color="434343"/>
            </w:tcBorders>
            <w:shd w:val="clear" w:color="auto" w:fill="auto"/>
            <w:hideMark/>
          </w:tcPr>
          <w:p w14:paraId="184BFBE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4.2.1 Instalar decoración emblemática acorde a  cuatro temporadas en los principales puntos y avenidas de la ciudad como parte de los esfuerzos para fortalecer la identidad local.</w:t>
            </w:r>
          </w:p>
        </w:tc>
      </w:tr>
      <w:tr w:rsidR="00794EB9" w:rsidRPr="00794EB9" w14:paraId="45336D75"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B309E63"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3391414"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FC4347B"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551E3E34"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044543E9"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04AEE26"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59F23F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4.2.2 Intervenir zonas emblemáticas con iluminación escénica en la ciudad.</w:t>
            </w:r>
          </w:p>
        </w:tc>
      </w:tr>
      <w:tr w:rsidR="00794EB9" w:rsidRPr="00794EB9" w14:paraId="202BD1C8"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60FAFA3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610" w:type="pct"/>
            <w:tcBorders>
              <w:top w:val="nil"/>
              <w:left w:val="nil"/>
              <w:bottom w:val="single" w:sz="8" w:space="0" w:color="434343"/>
              <w:right w:val="single" w:sz="8" w:space="0" w:color="434343"/>
            </w:tcBorders>
            <w:shd w:val="clear" w:color="auto" w:fill="auto"/>
            <w:hideMark/>
          </w:tcPr>
          <w:p w14:paraId="175E129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w:t>
            </w:r>
            <w:r w:rsidRPr="00794EB9">
              <w:rPr>
                <w:rFonts w:ascii="Arial" w:hAnsi="Arial" w:cs="Arial"/>
                <w:sz w:val="22"/>
                <w:szCs w:val="22"/>
                <w:lang w:eastAsia="es-MX"/>
              </w:rPr>
              <w:lastRenderedPageBreak/>
              <w:t>s de interés colectivo</w:t>
            </w:r>
          </w:p>
        </w:tc>
        <w:tc>
          <w:tcPr>
            <w:tcW w:w="687" w:type="pct"/>
            <w:tcBorders>
              <w:top w:val="nil"/>
              <w:left w:val="nil"/>
              <w:bottom w:val="single" w:sz="8" w:space="0" w:color="434343"/>
              <w:right w:val="single" w:sz="8" w:space="0" w:color="434343"/>
            </w:tcBorders>
            <w:shd w:val="clear" w:color="auto" w:fill="auto"/>
            <w:hideMark/>
          </w:tcPr>
          <w:p w14:paraId="0EFBA89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66. Porcentaje de consejos ciudadanos con consejeras y consejeros jóvenes</w:t>
            </w:r>
          </w:p>
        </w:tc>
        <w:tc>
          <w:tcPr>
            <w:tcW w:w="426" w:type="pct"/>
            <w:tcBorders>
              <w:top w:val="nil"/>
              <w:left w:val="nil"/>
              <w:bottom w:val="single" w:sz="8" w:space="0" w:color="434343"/>
              <w:right w:val="single" w:sz="8" w:space="0" w:color="434343"/>
            </w:tcBorders>
            <w:shd w:val="clear" w:color="auto" w:fill="auto"/>
            <w:hideMark/>
          </w:tcPr>
          <w:p w14:paraId="6780314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Juventudes agentes del cambio</w:t>
            </w:r>
          </w:p>
        </w:tc>
        <w:tc>
          <w:tcPr>
            <w:tcW w:w="1024" w:type="pct"/>
            <w:tcBorders>
              <w:top w:val="nil"/>
              <w:left w:val="nil"/>
              <w:bottom w:val="single" w:sz="8" w:space="0" w:color="434343"/>
              <w:right w:val="single" w:sz="8" w:space="0" w:color="434343"/>
            </w:tcBorders>
            <w:shd w:val="clear" w:color="auto" w:fill="auto"/>
            <w:hideMark/>
          </w:tcPr>
          <w:p w14:paraId="3BEF4B0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Brindar apoyos para la internacionalización y el desarrollo de habilidades interculturales de las juventudes </w:t>
            </w:r>
          </w:p>
        </w:tc>
        <w:tc>
          <w:tcPr>
            <w:tcW w:w="686" w:type="pct"/>
            <w:vMerge/>
            <w:tcBorders>
              <w:top w:val="nil"/>
              <w:left w:val="single" w:sz="8" w:space="0" w:color="434343"/>
              <w:bottom w:val="single" w:sz="8" w:space="0" w:color="434343"/>
              <w:right w:val="single" w:sz="8" w:space="0" w:color="434343"/>
            </w:tcBorders>
            <w:vAlign w:val="center"/>
            <w:hideMark/>
          </w:tcPr>
          <w:p w14:paraId="661D59E0"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F0DD18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4.2.3 Reconocer a jóvenes leoneses destacados en las artes, la cultura, la ciencia y el desarrollo social.</w:t>
            </w:r>
          </w:p>
        </w:tc>
      </w:tr>
      <w:tr w:rsidR="00794EB9" w:rsidRPr="00794EB9" w14:paraId="37E85980"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4C1B9FC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Estilos de vida saludable </w:t>
            </w:r>
          </w:p>
        </w:tc>
        <w:tc>
          <w:tcPr>
            <w:tcW w:w="610" w:type="pct"/>
            <w:tcBorders>
              <w:top w:val="nil"/>
              <w:left w:val="nil"/>
              <w:bottom w:val="single" w:sz="8" w:space="0" w:color="434343"/>
              <w:right w:val="single" w:sz="8" w:space="0" w:color="434343"/>
            </w:tcBorders>
            <w:shd w:val="clear" w:color="auto" w:fill="auto"/>
            <w:hideMark/>
          </w:tcPr>
          <w:p w14:paraId="5ACE538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687" w:type="pct"/>
            <w:tcBorders>
              <w:top w:val="nil"/>
              <w:left w:val="nil"/>
              <w:bottom w:val="single" w:sz="8" w:space="0" w:color="434343"/>
              <w:right w:val="single" w:sz="8" w:space="0" w:color="434343"/>
            </w:tcBorders>
            <w:shd w:val="clear" w:color="auto" w:fill="auto"/>
            <w:hideMark/>
          </w:tcPr>
          <w:p w14:paraId="3866B2D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53. Porcentaje de muertes por enfermedades crónico degenerativas</w:t>
            </w:r>
            <w:r w:rsidRPr="00794EB9">
              <w:rPr>
                <w:rFonts w:ascii="Arial" w:hAnsi="Arial" w:cs="Arial"/>
                <w:sz w:val="22"/>
                <w:szCs w:val="22"/>
                <w:lang w:eastAsia="es-MX"/>
              </w:rPr>
              <w:br/>
              <w:t>I 55. Tasa de mortalidad por suicidio</w:t>
            </w:r>
          </w:p>
        </w:tc>
        <w:tc>
          <w:tcPr>
            <w:tcW w:w="426" w:type="pct"/>
            <w:tcBorders>
              <w:top w:val="nil"/>
              <w:left w:val="nil"/>
              <w:bottom w:val="single" w:sz="8" w:space="0" w:color="434343"/>
              <w:right w:val="single" w:sz="8" w:space="0" w:color="434343"/>
            </w:tcBorders>
            <w:shd w:val="clear" w:color="auto" w:fill="auto"/>
            <w:hideMark/>
          </w:tcPr>
          <w:p w14:paraId="56E7AB4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1024" w:type="pct"/>
            <w:tcBorders>
              <w:top w:val="nil"/>
              <w:left w:val="nil"/>
              <w:bottom w:val="single" w:sz="8" w:space="0" w:color="434343"/>
              <w:right w:val="single" w:sz="8" w:space="0" w:color="434343"/>
            </w:tcBorders>
            <w:shd w:val="clear" w:color="auto" w:fill="auto"/>
            <w:hideMark/>
          </w:tcPr>
          <w:p w14:paraId="10A3E14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programas de cultura física y deporte en escuelas, centros de capacitación y sitios laborales</w:t>
            </w:r>
          </w:p>
        </w:tc>
        <w:tc>
          <w:tcPr>
            <w:tcW w:w="686" w:type="pct"/>
            <w:vMerge/>
            <w:tcBorders>
              <w:top w:val="nil"/>
              <w:left w:val="single" w:sz="8" w:space="0" w:color="434343"/>
              <w:bottom w:val="single" w:sz="8" w:space="0" w:color="434343"/>
              <w:right w:val="single" w:sz="8" w:space="0" w:color="434343"/>
            </w:tcBorders>
            <w:vAlign w:val="center"/>
            <w:hideMark/>
          </w:tcPr>
          <w:p w14:paraId="7A06F427"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7D16A4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4.2.4 Reconocer a los atletas más sobresalientes en las diferentes disciplinas deportivas que se practican en la ciudad y desarrollar mecanismos de participación y promoción de los mismos con organizaciones privadas para posicionar a León como ciudad líder en promoción del deporte.  </w:t>
            </w:r>
          </w:p>
        </w:tc>
      </w:tr>
      <w:tr w:rsidR="00794EB9" w:rsidRPr="00794EB9" w14:paraId="11737103"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67BE66A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Fortalecimiento de sectores estratégicos y de la economía local</w:t>
            </w:r>
          </w:p>
        </w:tc>
        <w:tc>
          <w:tcPr>
            <w:tcW w:w="610" w:type="pct"/>
            <w:tcBorders>
              <w:top w:val="nil"/>
              <w:left w:val="nil"/>
              <w:bottom w:val="single" w:sz="8" w:space="0" w:color="434343"/>
              <w:right w:val="single" w:sz="8" w:space="0" w:color="434343"/>
            </w:tcBorders>
            <w:shd w:val="clear" w:color="auto" w:fill="auto"/>
            <w:hideMark/>
          </w:tcPr>
          <w:p w14:paraId="0E74143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Impulsar los sectores que muestran un alto potencial de desarrollo favoreciendo la diversificación y el fortalecimiento de la economía local</w:t>
            </w:r>
          </w:p>
        </w:tc>
        <w:tc>
          <w:tcPr>
            <w:tcW w:w="687" w:type="pct"/>
            <w:tcBorders>
              <w:top w:val="nil"/>
              <w:left w:val="nil"/>
              <w:bottom w:val="single" w:sz="8" w:space="0" w:color="434343"/>
              <w:right w:val="single" w:sz="8" w:space="0" w:color="434343"/>
            </w:tcBorders>
            <w:shd w:val="clear" w:color="auto" w:fill="auto"/>
            <w:hideMark/>
          </w:tcPr>
          <w:p w14:paraId="16395BA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43. Derrama económica del sector turismo</w:t>
            </w:r>
          </w:p>
        </w:tc>
        <w:tc>
          <w:tcPr>
            <w:tcW w:w="426" w:type="pct"/>
            <w:tcBorders>
              <w:top w:val="nil"/>
              <w:left w:val="nil"/>
              <w:bottom w:val="single" w:sz="8" w:space="0" w:color="434343"/>
              <w:right w:val="single" w:sz="8" w:space="0" w:color="434343"/>
            </w:tcBorders>
            <w:shd w:val="clear" w:color="auto" w:fill="auto"/>
            <w:hideMark/>
          </w:tcPr>
          <w:p w14:paraId="317CDF7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Turismo sostenible</w:t>
            </w:r>
          </w:p>
        </w:tc>
        <w:tc>
          <w:tcPr>
            <w:tcW w:w="1024" w:type="pct"/>
            <w:tcBorders>
              <w:top w:val="nil"/>
              <w:left w:val="nil"/>
              <w:bottom w:val="single" w:sz="8" w:space="0" w:color="434343"/>
              <w:right w:val="single" w:sz="8" w:space="0" w:color="434343"/>
            </w:tcBorders>
            <w:shd w:val="clear" w:color="auto" w:fill="auto"/>
            <w:hideMark/>
          </w:tcPr>
          <w:p w14:paraId="1E94D57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Gestionar alianzas estratégicas locales, nacionales e internacionales que permitan fortalecer la competitividad y visibilidad turística de León</w:t>
            </w:r>
          </w:p>
        </w:tc>
        <w:tc>
          <w:tcPr>
            <w:tcW w:w="686" w:type="pct"/>
            <w:vMerge/>
            <w:tcBorders>
              <w:top w:val="nil"/>
              <w:left w:val="single" w:sz="8" w:space="0" w:color="434343"/>
              <w:bottom w:val="single" w:sz="8" w:space="0" w:color="434343"/>
              <w:right w:val="single" w:sz="8" w:space="0" w:color="434343"/>
            </w:tcBorders>
            <w:vAlign w:val="center"/>
            <w:hideMark/>
          </w:tcPr>
          <w:p w14:paraId="4ECEAAF2"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980E8E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4.2.5 Implementar un consejo renovado que integre a los diferentes organismos empresariales para ser una voz activa ciudadana que diseñe y gestione estrategias de comunicación y promoción orientadas a fortalecer la identidad social, la unión ciudadana y la promoción turística de la ciudad.  </w:t>
            </w:r>
          </w:p>
        </w:tc>
      </w:tr>
      <w:tr w:rsidR="00794EB9" w:rsidRPr="00794EB9" w14:paraId="34B09FEA"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14C32F1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Recreación accesible y de calidad</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1EF19B1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esparcimiento, con altos estándares de calidad, que sean accesibles para las y los leoneses y visitantes</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35D8454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I 44. Superficie de espacios públicos </w:t>
            </w:r>
            <w:r w:rsidRPr="00794EB9">
              <w:rPr>
                <w:rFonts w:ascii="Arial" w:hAnsi="Arial" w:cs="Arial"/>
                <w:sz w:val="22"/>
                <w:szCs w:val="22"/>
                <w:lang w:eastAsia="es-MX"/>
              </w:rPr>
              <w:br/>
              <w:t>I 45. Porcentaje de cobertura geográfica de los espacios públicos</w:t>
            </w:r>
            <w:r w:rsidRPr="00794EB9">
              <w:rPr>
                <w:rFonts w:ascii="Arial" w:hAnsi="Arial" w:cs="Arial"/>
                <w:sz w:val="22"/>
                <w:szCs w:val="22"/>
                <w:lang w:eastAsia="es-MX"/>
              </w:rPr>
              <w:br/>
              <w:t>I 46. Porcentaje de espacios públicos en buen estado</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44E6B94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Promoción de la cultura y la identidad leonesa</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625E44E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Desarrollar actividades culturales que sean accesibles para la población en zonas vulnerables y propiciar las visitas y apropiación de los espacios y recintos emblemáticos de la ciudad</w:t>
            </w:r>
          </w:p>
        </w:tc>
        <w:tc>
          <w:tcPr>
            <w:tcW w:w="686" w:type="pct"/>
            <w:vMerge/>
            <w:tcBorders>
              <w:top w:val="nil"/>
              <w:left w:val="single" w:sz="8" w:space="0" w:color="434343"/>
              <w:bottom w:val="single" w:sz="8" w:space="0" w:color="434343"/>
              <w:right w:val="single" w:sz="8" w:space="0" w:color="434343"/>
            </w:tcBorders>
            <w:vAlign w:val="center"/>
            <w:hideMark/>
          </w:tcPr>
          <w:p w14:paraId="55877FDB"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A40D82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4.2.6 Construcción y operación de módulos móviles con oferta de talleres y eventos artísticos itinerando en las 7 Delegaciones</w:t>
            </w:r>
          </w:p>
        </w:tc>
      </w:tr>
      <w:tr w:rsidR="00794EB9" w:rsidRPr="00794EB9" w14:paraId="183FBF57"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6F3AEBE"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D83ADF3"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FB53817"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2635AB17"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73F157EF" w14:textId="77777777" w:rsidR="00794EB9" w:rsidRPr="00794EB9" w:rsidRDefault="00794EB9" w:rsidP="00C307FB">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0CC7701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VT.4.3 Atracción y Promoción de Eventos Turísticos y Culturales </w:t>
            </w:r>
          </w:p>
        </w:tc>
        <w:tc>
          <w:tcPr>
            <w:tcW w:w="1191" w:type="pct"/>
            <w:tcBorders>
              <w:top w:val="nil"/>
              <w:left w:val="nil"/>
              <w:bottom w:val="single" w:sz="8" w:space="0" w:color="434343"/>
              <w:right w:val="single" w:sz="8" w:space="0" w:color="434343"/>
            </w:tcBorders>
            <w:shd w:val="clear" w:color="auto" w:fill="auto"/>
            <w:hideMark/>
          </w:tcPr>
          <w:p w14:paraId="5A23534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4.3.1 Realizar eventos culturales de impacto nacional e internacional, para proyectar a León</w:t>
            </w:r>
          </w:p>
        </w:tc>
      </w:tr>
      <w:tr w:rsidR="00794EB9" w:rsidRPr="00794EB9" w14:paraId="73D1D183"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609C249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Desarrollo rural sustentable</w:t>
            </w:r>
          </w:p>
        </w:tc>
        <w:tc>
          <w:tcPr>
            <w:tcW w:w="610" w:type="pct"/>
            <w:tcBorders>
              <w:top w:val="nil"/>
              <w:left w:val="nil"/>
              <w:bottom w:val="single" w:sz="8" w:space="0" w:color="434343"/>
              <w:right w:val="single" w:sz="8" w:space="0" w:color="434343"/>
            </w:tcBorders>
            <w:shd w:val="clear" w:color="auto" w:fill="auto"/>
            <w:hideMark/>
          </w:tcPr>
          <w:p w14:paraId="61340F8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Aumentar la productividad y la eficiencia del sector agroalimentario, consolidando un modelo de desarrollo rural sostenible, incluyente y articulado</w:t>
            </w:r>
          </w:p>
        </w:tc>
        <w:tc>
          <w:tcPr>
            <w:tcW w:w="687" w:type="pct"/>
            <w:tcBorders>
              <w:top w:val="nil"/>
              <w:left w:val="nil"/>
              <w:bottom w:val="single" w:sz="8" w:space="0" w:color="434343"/>
              <w:right w:val="single" w:sz="8" w:space="0" w:color="434343"/>
            </w:tcBorders>
            <w:shd w:val="clear" w:color="auto" w:fill="auto"/>
            <w:hideMark/>
          </w:tcPr>
          <w:p w14:paraId="25450FC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33. Valor de la producción agrícola de riego</w:t>
            </w:r>
            <w:r w:rsidRPr="00794EB9">
              <w:rPr>
                <w:rFonts w:ascii="Arial" w:hAnsi="Arial" w:cs="Arial"/>
                <w:sz w:val="22"/>
                <w:szCs w:val="22"/>
                <w:lang w:eastAsia="es-MX"/>
              </w:rPr>
              <w:br/>
              <w:t>I 34. Valor de las exportaciones del sector agroindustrial</w:t>
            </w:r>
            <w:r w:rsidRPr="00794EB9">
              <w:rPr>
                <w:rFonts w:ascii="Arial" w:hAnsi="Arial" w:cs="Arial"/>
                <w:sz w:val="22"/>
                <w:szCs w:val="22"/>
                <w:lang w:eastAsia="es-MX"/>
              </w:rPr>
              <w:br/>
              <w:t>I 35. Valor de la producción de carne en canal y otros productos de origen animal</w:t>
            </w:r>
          </w:p>
        </w:tc>
        <w:tc>
          <w:tcPr>
            <w:tcW w:w="426" w:type="pct"/>
            <w:tcBorders>
              <w:top w:val="nil"/>
              <w:left w:val="nil"/>
              <w:bottom w:val="single" w:sz="8" w:space="0" w:color="434343"/>
              <w:right w:val="single" w:sz="8" w:space="0" w:color="434343"/>
            </w:tcBorders>
            <w:shd w:val="clear" w:color="auto" w:fill="auto"/>
            <w:hideMark/>
          </w:tcPr>
          <w:p w14:paraId="657C102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Fortalecimiento del sector agroalimentario y del abasto local</w:t>
            </w:r>
          </w:p>
        </w:tc>
        <w:tc>
          <w:tcPr>
            <w:tcW w:w="1024" w:type="pct"/>
            <w:tcBorders>
              <w:top w:val="nil"/>
              <w:left w:val="nil"/>
              <w:bottom w:val="single" w:sz="8" w:space="0" w:color="434343"/>
              <w:right w:val="single" w:sz="8" w:space="0" w:color="434343"/>
            </w:tcBorders>
            <w:shd w:val="clear" w:color="auto" w:fill="auto"/>
            <w:hideMark/>
          </w:tcPr>
          <w:p w14:paraId="63856CF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Modernizar y ampliar el sistema de centros de abasto y promover su articulación con mercados públicos y centros de comercialización rural para promover el consumo local</w:t>
            </w:r>
          </w:p>
        </w:tc>
        <w:tc>
          <w:tcPr>
            <w:tcW w:w="686" w:type="pct"/>
            <w:vMerge/>
            <w:tcBorders>
              <w:top w:val="nil"/>
              <w:left w:val="single" w:sz="8" w:space="0" w:color="434343"/>
              <w:bottom w:val="single" w:sz="8" w:space="0" w:color="434343"/>
              <w:right w:val="single" w:sz="8" w:space="0" w:color="434343"/>
            </w:tcBorders>
            <w:vAlign w:val="center"/>
            <w:hideMark/>
          </w:tcPr>
          <w:p w14:paraId="10B2C2D6"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4E9439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4.3.2 Participar y promover la participación en eventos orientados al fortalecimiento de los sectores agroalimentario y agropecuario.</w:t>
            </w:r>
          </w:p>
        </w:tc>
      </w:tr>
      <w:tr w:rsidR="00794EB9" w:rsidRPr="00794EB9" w14:paraId="3920D6F4"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535F858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Fortalecim</w:t>
            </w:r>
            <w:r w:rsidRPr="00794EB9">
              <w:rPr>
                <w:rFonts w:ascii="Arial" w:hAnsi="Arial" w:cs="Arial"/>
                <w:sz w:val="22"/>
                <w:szCs w:val="22"/>
                <w:lang w:eastAsia="es-MX"/>
              </w:rPr>
              <w:lastRenderedPageBreak/>
              <w:t>iento de sectores estratégicos y de la economía local</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1291638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Impulsar los </w:t>
            </w:r>
            <w:r w:rsidRPr="00794EB9">
              <w:rPr>
                <w:rFonts w:ascii="Arial" w:hAnsi="Arial" w:cs="Arial"/>
                <w:sz w:val="22"/>
                <w:szCs w:val="22"/>
                <w:lang w:eastAsia="es-MX"/>
              </w:rPr>
              <w:lastRenderedPageBreak/>
              <w:t>sectores que muestran un alto potencial de desarrollo favoreciendo la diversificación y el fortalecimiento de la economía local</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6EA41EB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 43. Derrama </w:t>
            </w:r>
            <w:r w:rsidRPr="00794EB9">
              <w:rPr>
                <w:rFonts w:ascii="Arial" w:hAnsi="Arial" w:cs="Arial"/>
                <w:sz w:val="22"/>
                <w:szCs w:val="22"/>
                <w:lang w:eastAsia="es-MX"/>
              </w:rPr>
              <w:lastRenderedPageBreak/>
              <w:t>económica del sector turismo</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293A2E5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Turismo </w:t>
            </w:r>
            <w:r w:rsidRPr="00794EB9">
              <w:rPr>
                <w:rFonts w:ascii="Arial" w:hAnsi="Arial" w:cs="Arial"/>
                <w:sz w:val="22"/>
                <w:szCs w:val="22"/>
                <w:lang w:eastAsia="es-MX"/>
              </w:rPr>
              <w:lastRenderedPageBreak/>
              <w:t>sostenible</w:t>
            </w:r>
          </w:p>
        </w:tc>
        <w:tc>
          <w:tcPr>
            <w:tcW w:w="1024" w:type="pct"/>
            <w:tcBorders>
              <w:top w:val="nil"/>
              <w:left w:val="nil"/>
              <w:bottom w:val="single" w:sz="8" w:space="0" w:color="434343"/>
              <w:right w:val="single" w:sz="8" w:space="0" w:color="434343"/>
            </w:tcBorders>
            <w:shd w:val="clear" w:color="auto" w:fill="auto"/>
            <w:hideMark/>
          </w:tcPr>
          <w:p w14:paraId="380F8DF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Promover la innovación y el </w:t>
            </w:r>
            <w:r w:rsidRPr="00794EB9">
              <w:rPr>
                <w:rFonts w:ascii="Arial" w:hAnsi="Arial" w:cs="Arial"/>
                <w:sz w:val="22"/>
                <w:szCs w:val="22"/>
                <w:lang w:eastAsia="es-MX"/>
              </w:rPr>
              <w:lastRenderedPageBreak/>
              <w:t>emprendimiento en el turismo doméstico como factor clave de resiliencia social y económica a partir de la cultura, identidad e historia leonesa</w:t>
            </w:r>
          </w:p>
        </w:tc>
        <w:tc>
          <w:tcPr>
            <w:tcW w:w="686" w:type="pct"/>
            <w:vMerge/>
            <w:tcBorders>
              <w:top w:val="nil"/>
              <w:left w:val="single" w:sz="8" w:space="0" w:color="434343"/>
              <w:bottom w:val="single" w:sz="8" w:space="0" w:color="434343"/>
              <w:right w:val="single" w:sz="8" w:space="0" w:color="434343"/>
            </w:tcBorders>
            <w:vAlign w:val="center"/>
            <w:hideMark/>
          </w:tcPr>
          <w:p w14:paraId="47C589C7"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04383B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VT 4.3.3 Realizar festivales de </w:t>
            </w:r>
            <w:r w:rsidRPr="00794EB9">
              <w:rPr>
                <w:rFonts w:ascii="Arial" w:hAnsi="Arial" w:cs="Arial"/>
                <w:sz w:val="22"/>
                <w:szCs w:val="22"/>
                <w:lang w:eastAsia="es-MX"/>
              </w:rPr>
              <w:lastRenderedPageBreak/>
              <w:t>atracción turística para la ciudad.</w:t>
            </w:r>
          </w:p>
        </w:tc>
      </w:tr>
      <w:tr w:rsidR="00794EB9" w:rsidRPr="00794EB9" w14:paraId="321F6E22"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BE30F75"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0D4C1F1"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D20E423"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01DCE54A" w14:textId="77777777" w:rsidR="00794EB9" w:rsidRPr="00794EB9" w:rsidRDefault="00794EB9" w:rsidP="00C307FB">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125501C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Gestionar alianzas estratégicas locales, nacionales e internacionales que permitan fortalecer la competitividad y visibilidad turística de León</w:t>
            </w:r>
          </w:p>
        </w:tc>
        <w:tc>
          <w:tcPr>
            <w:tcW w:w="686" w:type="pct"/>
            <w:vMerge/>
            <w:tcBorders>
              <w:top w:val="nil"/>
              <w:left w:val="single" w:sz="8" w:space="0" w:color="434343"/>
              <w:bottom w:val="single" w:sz="8" w:space="0" w:color="434343"/>
              <w:right w:val="single" w:sz="8" w:space="0" w:color="434343"/>
            </w:tcBorders>
            <w:vAlign w:val="center"/>
            <w:hideMark/>
          </w:tcPr>
          <w:p w14:paraId="6232FEF9"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96C7DB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VT 4.3.4 Realizar eventos de proyección nacional e internacional</w:t>
            </w:r>
          </w:p>
        </w:tc>
      </w:tr>
      <w:tr w:rsidR="00794EB9" w:rsidRPr="00794EB9" w14:paraId="0E1885DE"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7AD0DEF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D9D9D9" w:themeFill="background1" w:themeFillShade="D9"/>
            <w:noWrap/>
            <w:hideMark/>
          </w:tcPr>
          <w:p w14:paraId="3A06E16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D9D9D9" w:themeFill="background1" w:themeFillShade="D9"/>
            <w:noWrap/>
            <w:hideMark/>
          </w:tcPr>
          <w:p w14:paraId="350127D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D9D9D9" w:themeFill="background1" w:themeFillShade="D9"/>
            <w:noWrap/>
            <w:hideMark/>
          </w:tcPr>
          <w:p w14:paraId="0863637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67EC853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77BF111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BANERA "VIVIR SANO"</w:t>
            </w: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77FF096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18E10F93" w14:textId="77777777" w:rsidTr="00C307FB">
        <w:trPr>
          <w:trHeight w:val="57"/>
        </w:trPr>
        <w:tc>
          <w:tcPr>
            <w:tcW w:w="376" w:type="pct"/>
            <w:tcBorders>
              <w:top w:val="nil"/>
              <w:left w:val="nil"/>
              <w:bottom w:val="single" w:sz="4" w:space="0" w:color="auto"/>
              <w:right w:val="nil"/>
            </w:tcBorders>
            <w:shd w:val="clear" w:color="FFFFFF" w:fill="FFFFFF"/>
            <w:noWrap/>
            <w:vAlign w:val="center"/>
            <w:hideMark/>
          </w:tcPr>
          <w:p w14:paraId="5DD45A3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4" w:space="0" w:color="auto"/>
              <w:right w:val="nil"/>
            </w:tcBorders>
            <w:shd w:val="clear" w:color="FFFFFF" w:fill="FFFFFF"/>
            <w:noWrap/>
            <w:vAlign w:val="center"/>
            <w:hideMark/>
          </w:tcPr>
          <w:p w14:paraId="369584D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4" w:space="0" w:color="auto"/>
              <w:right w:val="nil"/>
            </w:tcBorders>
            <w:shd w:val="clear" w:color="FFFFFF" w:fill="FFFFFF"/>
            <w:noWrap/>
            <w:vAlign w:val="center"/>
            <w:hideMark/>
          </w:tcPr>
          <w:p w14:paraId="2114E61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4" w:space="0" w:color="auto"/>
              <w:right w:val="nil"/>
            </w:tcBorders>
            <w:shd w:val="clear" w:color="FFFFFF" w:fill="FFFFFF"/>
            <w:noWrap/>
            <w:vAlign w:val="center"/>
            <w:hideMark/>
          </w:tcPr>
          <w:p w14:paraId="39CB177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4" w:space="0" w:color="auto"/>
              <w:right w:val="nil"/>
            </w:tcBorders>
            <w:shd w:val="clear" w:color="FFFFFF" w:fill="FFFFFF"/>
            <w:noWrap/>
            <w:vAlign w:val="center"/>
            <w:hideMark/>
          </w:tcPr>
          <w:p w14:paraId="3F4FB1F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nil"/>
              <w:right w:val="nil"/>
            </w:tcBorders>
            <w:shd w:val="clear" w:color="FFFFFF" w:fill="FFFFFF"/>
            <w:vAlign w:val="center"/>
            <w:hideMark/>
          </w:tcPr>
          <w:p w14:paraId="6F6ABE4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w:t>
            </w:r>
          </w:p>
        </w:tc>
        <w:tc>
          <w:tcPr>
            <w:tcW w:w="1191" w:type="pct"/>
            <w:tcBorders>
              <w:top w:val="nil"/>
              <w:left w:val="nil"/>
              <w:bottom w:val="nil"/>
              <w:right w:val="nil"/>
            </w:tcBorders>
            <w:shd w:val="clear" w:color="FFFFFF" w:fill="FFFFFF"/>
            <w:vAlign w:val="center"/>
            <w:hideMark/>
          </w:tcPr>
          <w:p w14:paraId="6D134F9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r>
      <w:tr w:rsidR="00794EB9" w:rsidRPr="00794EB9" w14:paraId="638758E2" w14:textId="77777777" w:rsidTr="00C307FB">
        <w:trPr>
          <w:trHeight w:val="387"/>
        </w:trPr>
        <w:tc>
          <w:tcPr>
            <w:tcW w:w="3123"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D1F4B67" w14:textId="77777777" w:rsidR="00794EB9" w:rsidRPr="00794EB9" w:rsidRDefault="00794EB9" w:rsidP="00C307FB">
            <w:pPr>
              <w:rPr>
                <w:rFonts w:ascii="Arial" w:hAnsi="Arial" w:cs="Arial"/>
                <w:sz w:val="22"/>
                <w:szCs w:val="22"/>
                <w:lang w:eastAsia="es-MX"/>
              </w:rPr>
            </w:pPr>
          </w:p>
        </w:tc>
        <w:tc>
          <w:tcPr>
            <w:tcW w:w="1877" w:type="pct"/>
            <w:gridSpan w:val="2"/>
            <w:tcBorders>
              <w:top w:val="single" w:sz="8" w:space="0" w:color="434343"/>
              <w:left w:val="single" w:sz="4" w:space="0" w:color="auto"/>
              <w:right w:val="single" w:sz="8" w:space="0" w:color="434343"/>
            </w:tcBorders>
            <w:shd w:val="clear" w:color="auto" w:fill="D9D9D9" w:themeFill="background1" w:themeFillShade="D9"/>
            <w:noWrap/>
          </w:tcPr>
          <w:p w14:paraId="049C6F7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VS1. León Verde</w:t>
            </w:r>
          </w:p>
          <w:p w14:paraId="006CA876" w14:textId="77777777" w:rsidR="00794EB9" w:rsidRPr="00794EB9" w:rsidRDefault="00794EB9" w:rsidP="00C307FB">
            <w:pPr>
              <w:ind w:hanging="2"/>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27ED6A4A" w14:textId="77777777" w:rsidTr="00C307FB">
        <w:trPr>
          <w:trHeight w:val="57"/>
        </w:trPr>
        <w:tc>
          <w:tcPr>
            <w:tcW w:w="376" w:type="pct"/>
            <w:tcBorders>
              <w:top w:val="single" w:sz="4" w:space="0" w:color="auto"/>
              <w:left w:val="single" w:sz="8" w:space="0" w:color="434343"/>
              <w:bottom w:val="single" w:sz="8" w:space="0" w:color="434343"/>
              <w:right w:val="single" w:sz="8" w:space="0" w:color="434343"/>
            </w:tcBorders>
            <w:shd w:val="clear" w:color="auto" w:fill="auto"/>
            <w:hideMark/>
          </w:tcPr>
          <w:p w14:paraId="5A69C1C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610" w:type="pct"/>
            <w:tcBorders>
              <w:top w:val="single" w:sz="4" w:space="0" w:color="auto"/>
              <w:left w:val="nil"/>
              <w:bottom w:val="single" w:sz="8" w:space="0" w:color="434343"/>
              <w:right w:val="single" w:sz="8" w:space="0" w:color="434343"/>
            </w:tcBorders>
            <w:shd w:val="clear" w:color="auto" w:fill="auto"/>
            <w:hideMark/>
          </w:tcPr>
          <w:p w14:paraId="263BAEE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687" w:type="pct"/>
            <w:tcBorders>
              <w:top w:val="single" w:sz="4" w:space="0" w:color="auto"/>
              <w:left w:val="nil"/>
              <w:bottom w:val="single" w:sz="8" w:space="0" w:color="434343"/>
              <w:right w:val="single" w:sz="8" w:space="0" w:color="434343"/>
            </w:tcBorders>
            <w:shd w:val="clear" w:color="auto" w:fill="auto"/>
            <w:hideMark/>
          </w:tcPr>
          <w:p w14:paraId="5AB1DC4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59. Tasa de abandono escolar de niñas, niños y adolescentes</w:t>
            </w:r>
            <w:r w:rsidRPr="00794EB9">
              <w:rPr>
                <w:rFonts w:ascii="Arial" w:hAnsi="Arial" w:cs="Arial"/>
                <w:sz w:val="22"/>
                <w:szCs w:val="22"/>
                <w:lang w:eastAsia="es-MX"/>
              </w:rPr>
              <w:br/>
              <w:t>I 60. Tasa de abandono escolar en el nivel medio superior</w:t>
            </w:r>
          </w:p>
        </w:tc>
        <w:tc>
          <w:tcPr>
            <w:tcW w:w="426" w:type="pct"/>
            <w:tcBorders>
              <w:top w:val="single" w:sz="4" w:space="0" w:color="auto"/>
              <w:left w:val="nil"/>
              <w:bottom w:val="single" w:sz="8" w:space="0" w:color="434343"/>
              <w:right w:val="single" w:sz="8" w:space="0" w:color="434343"/>
            </w:tcBorders>
            <w:shd w:val="clear" w:color="auto" w:fill="auto"/>
            <w:hideMark/>
          </w:tcPr>
          <w:p w14:paraId="745CCCD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Educación ciudadana con enfoque de derechos </w:t>
            </w:r>
          </w:p>
        </w:tc>
        <w:tc>
          <w:tcPr>
            <w:tcW w:w="1024" w:type="pct"/>
            <w:tcBorders>
              <w:top w:val="single" w:sz="4" w:space="0" w:color="auto"/>
              <w:left w:val="nil"/>
              <w:bottom w:val="single" w:sz="8" w:space="0" w:color="434343"/>
              <w:right w:val="single" w:sz="8" w:space="0" w:color="434343"/>
            </w:tcBorders>
            <w:shd w:val="clear" w:color="auto" w:fill="auto"/>
            <w:hideMark/>
          </w:tcPr>
          <w:p w14:paraId="272B124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un esquema integral de educación ambiental para la ciudadanía,  con énfasis en la participación de niñas, niños y adolescentes</w:t>
            </w:r>
          </w:p>
        </w:tc>
        <w:tc>
          <w:tcPr>
            <w:tcW w:w="686" w:type="pct"/>
            <w:tcBorders>
              <w:top w:val="nil"/>
              <w:left w:val="nil"/>
              <w:bottom w:val="single" w:sz="8" w:space="0" w:color="434343"/>
              <w:right w:val="single" w:sz="8" w:space="0" w:color="434343"/>
            </w:tcBorders>
            <w:shd w:val="clear" w:color="auto" w:fill="auto"/>
            <w:hideMark/>
          </w:tcPr>
          <w:p w14:paraId="3A69BE7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 1.1 Amigos del Planeta</w:t>
            </w:r>
          </w:p>
        </w:tc>
        <w:tc>
          <w:tcPr>
            <w:tcW w:w="1191" w:type="pct"/>
            <w:tcBorders>
              <w:top w:val="nil"/>
              <w:left w:val="nil"/>
              <w:bottom w:val="single" w:sz="8" w:space="0" w:color="434343"/>
              <w:right w:val="single" w:sz="8" w:space="0" w:color="434343"/>
            </w:tcBorders>
            <w:shd w:val="clear" w:color="auto" w:fill="auto"/>
            <w:hideMark/>
          </w:tcPr>
          <w:p w14:paraId="05BC67F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VS.1.1.1 Diseñar el programa y la entrega de Certificaciones "Amigos del Planeta", dirigido a individuos, asociaciones y empresas con logros destacados en acciones de forestación, conservación ambiental y otras relacionadas con la mejora del medio ambiente en León. </w:t>
            </w:r>
          </w:p>
        </w:tc>
      </w:tr>
      <w:tr w:rsidR="00794EB9" w:rsidRPr="00794EB9" w14:paraId="1E315C78" w14:textId="77777777" w:rsidTr="00C307FB">
        <w:trPr>
          <w:trHeight w:val="57"/>
        </w:trPr>
        <w:tc>
          <w:tcPr>
            <w:tcW w:w="376" w:type="pct"/>
            <w:vMerge w:val="restart"/>
            <w:tcBorders>
              <w:top w:val="nil"/>
              <w:left w:val="single" w:sz="8" w:space="0" w:color="434343"/>
              <w:right w:val="single" w:sz="8" w:space="0" w:color="434343"/>
            </w:tcBorders>
            <w:shd w:val="clear" w:color="auto" w:fill="auto"/>
            <w:hideMark/>
          </w:tcPr>
          <w:p w14:paraId="5A13608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Estilos de vida saludable</w:t>
            </w:r>
          </w:p>
        </w:tc>
        <w:tc>
          <w:tcPr>
            <w:tcW w:w="610" w:type="pct"/>
            <w:vMerge w:val="restart"/>
            <w:tcBorders>
              <w:top w:val="nil"/>
              <w:left w:val="single" w:sz="8" w:space="0" w:color="434343"/>
              <w:right w:val="single" w:sz="8" w:space="0" w:color="434343"/>
            </w:tcBorders>
            <w:shd w:val="clear" w:color="auto" w:fill="auto"/>
            <w:hideMark/>
          </w:tcPr>
          <w:p w14:paraId="346A744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687" w:type="pct"/>
            <w:vMerge w:val="restart"/>
            <w:tcBorders>
              <w:top w:val="nil"/>
              <w:left w:val="single" w:sz="8" w:space="0" w:color="434343"/>
              <w:right w:val="single" w:sz="8" w:space="0" w:color="434343"/>
            </w:tcBorders>
            <w:shd w:val="clear" w:color="auto" w:fill="auto"/>
            <w:hideMark/>
          </w:tcPr>
          <w:p w14:paraId="72FCB1B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54. Porcentaje de población afiliada a servicios de salud</w:t>
            </w:r>
          </w:p>
          <w:p w14:paraId="6339DFF0" w14:textId="77777777" w:rsidR="00794EB9" w:rsidRPr="00794EB9" w:rsidRDefault="00794EB9" w:rsidP="00C307FB">
            <w:pPr>
              <w:rPr>
                <w:rFonts w:ascii="Arial" w:hAnsi="Arial" w:cs="Arial"/>
                <w:sz w:val="22"/>
                <w:szCs w:val="22"/>
                <w:lang w:eastAsia="es-MX"/>
              </w:rPr>
            </w:pPr>
          </w:p>
          <w:p w14:paraId="3E50F824" w14:textId="77777777" w:rsidR="00794EB9" w:rsidRPr="00794EB9" w:rsidRDefault="00794EB9" w:rsidP="00C307FB">
            <w:pPr>
              <w:rPr>
                <w:rFonts w:ascii="Arial" w:hAnsi="Arial" w:cs="Arial"/>
                <w:sz w:val="22"/>
                <w:szCs w:val="22"/>
                <w:lang w:eastAsia="es-MX"/>
              </w:rPr>
            </w:pPr>
          </w:p>
        </w:tc>
        <w:tc>
          <w:tcPr>
            <w:tcW w:w="426" w:type="pct"/>
            <w:vMerge w:val="restart"/>
            <w:tcBorders>
              <w:top w:val="nil"/>
              <w:left w:val="single" w:sz="8" w:space="0" w:color="434343"/>
              <w:right w:val="single" w:sz="8" w:space="0" w:color="434343"/>
            </w:tcBorders>
            <w:shd w:val="clear" w:color="auto" w:fill="auto"/>
            <w:hideMark/>
          </w:tcPr>
          <w:p w14:paraId="434C63E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1024" w:type="pct"/>
            <w:vMerge w:val="restart"/>
            <w:tcBorders>
              <w:top w:val="nil"/>
              <w:left w:val="single" w:sz="8" w:space="0" w:color="434343"/>
              <w:right w:val="single" w:sz="8" w:space="0" w:color="434343"/>
            </w:tcBorders>
            <w:shd w:val="clear" w:color="auto" w:fill="auto"/>
            <w:hideMark/>
          </w:tcPr>
          <w:p w14:paraId="64A090A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un modelo municipal de salud preventiva que promueva estilos de vida saludable y la activación física, con énfasis en zonas de mayor vulnerabilidad</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7EDAD97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 1.2 León protector de mascotas y animales en riesgo</w:t>
            </w:r>
          </w:p>
        </w:tc>
        <w:tc>
          <w:tcPr>
            <w:tcW w:w="1191" w:type="pct"/>
            <w:tcBorders>
              <w:top w:val="nil"/>
              <w:left w:val="nil"/>
              <w:bottom w:val="single" w:sz="8" w:space="0" w:color="434343"/>
              <w:right w:val="single" w:sz="8" w:space="0" w:color="434343"/>
            </w:tcBorders>
            <w:shd w:val="clear" w:color="auto" w:fill="auto"/>
            <w:hideMark/>
          </w:tcPr>
          <w:p w14:paraId="2CD5B94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1.2.1 Realizar esterilizaciones de perros y gatos en el Municipio de León para reducir la población de animales en estado de abandono en calle.</w:t>
            </w:r>
          </w:p>
        </w:tc>
      </w:tr>
      <w:tr w:rsidR="00794EB9" w:rsidRPr="00794EB9" w14:paraId="210680F5" w14:textId="77777777" w:rsidTr="00C307FB">
        <w:trPr>
          <w:trHeight w:val="57"/>
        </w:trPr>
        <w:tc>
          <w:tcPr>
            <w:tcW w:w="376" w:type="pct"/>
            <w:vMerge/>
            <w:tcBorders>
              <w:left w:val="single" w:sz="8" w:space="0" w:color="434343"/>
              <w:bottom w:val="single" w:sz="8" w:space="0" w:color="434343"/>
              <w:right w:val="single" w:sz="8" w:space="0" w:color="434343"/>
            </w:tcBorders>
            <w:shd w:val="clear" w:color="auto" w:fill="auto"/>
            <w:vAlign w:val="center"/>
            <w:hideMark/>
          </w:tcPr>
          <w:p w14:paraId="66B5173F"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shd w:val="clear" w:color="auto" w:fill="auto"/>
            <w:vAlign w:val="center"/>
            <w:hideMark/>
          </w:tcPr>
          <w:p w14:paraId="4C49B9CE" w14:textId="77777777" w:rsidR="00794EB9" w:rsidRPr="00794EB9" w:rsidRDefault="00794EB9" w:rsidP="00C307FB">
            <w:pPr>
              <w:rPr>
                <w:rFonts w:ascii="Arial" w:hAnsi="Arial" w:cs="Arial"/>
                <w:sz w:val="22"/>
                <w:szCs w:val="22"/>
                <w:lang w:eastAsia="es-MX"/>
              </w:rPr>
            </w:pPr>
          </w:p>
        </w:tc>
        <w:tc>
          <w:tcPr>
            <w:tcW w:w="687" w:type="pct"/>
            <w:vMerge/>
            <w:tcBorders>
              <w:left w:val="single" w:sz="8" w:space="0" w:color="434343"/>
              <w:bottom w:val="single" w:sz="8" w:space="0" w:color="434343"/>
              <w:right w:val="single" w:sz="8" w:space="0" w:color="434343"/>
            </w:tcBorders>
            <w:shd w:val="clear" w:color="auto" w:fill="auto"/>
            <w:vAlign w:val="center"/>
            <w:hideMark/>
          </w:tcPr>
          <w:p w14:paraId="4369FF95" w14:textId="77777777" w:rsidR="00794EB9" w:rsidRPr="00794EB9" w:rsidRDefault="00794EB9" w:rsidP="00C307FB">
            <w:pPr>
              <w:rPr>
                <w:rFonts w:ascii="Arial" w:hAnsi="Arial" w:cs="Arial"/>
                <w:sz w:val="22"/>
                <w:szCs w:val="22"/>
                <w:lang w:eastAsia="es-MX"/>
              </w:rPr>
            </w:pPr>
          </w:p>
        </w:tc>
        <w:tc>
          <w:tcPr>
            <w:tcW w:w="426" w:type="pct"/>
            <w:vMerge/>
            <w:tcBorders>
              <w:left w:val="single" w:sz="8" w:space="0" w:color="434343"/>
              <w:bottom w:val="single" w:sz="8" w:space="0" w:color="434343"/>
              <w:right w:val="single" w:sz="8" w:space="0" w:color="434343"/>
            </w:tcBorders>
            <w:shd w:val="clear" w:color="auto" w:fill="auto"/>
            <w:vAlign w:val="center"/>
            <w:hideMark/>
          </w:tcPr>
          <w:p w14:paraId="547ED89C" w14:textId="77777777" w:rsidR="00794EB9" w:rsidRPr="00794EB9" w:rsidRDefault="00794EB9" w:rsidP="00C307FB">
            <w:pPr>
              <w:rPr>
                <w:rFonts w:ascii="Arial" w:hAnsi="Arial" w:cs="Arial"/>
                <w:sz w:val="22"/>
                <w:szCs w:val="22"/>
                <w:lang w:eastAsia="es-MX"/>
              </w:rPr>
            </w:pPr>
          </w:p>
        </w:tc>
        <w:tc>
          <w:tcPr>
            <w:tcW w:w="1024" w:type="pct"/>
            <w:vMerge/>
            <w:tcBorders>
              <w:left w:val="single" w:sz="8" w:space="0" w:color="434343"/>
              <w:bottom w:val="single" w:sz="8" w:space="0" w:color="434343"/>
              <w:right w:val="single" w:sz="8" w:space="0" w:color="434343"/>
            </w:tcBorders>
            <w:shd w:val="clear" w:color="auto" w:fill="auto"/>
            <w:vAlign w:val="center"/>
            <w:hideMark/>
          </w:tcPr>
          <w:p w14:paraId="2148BE94"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EC3E870"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CB9052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1.2.2 Ampliar los horarios y mejorar los servicios de atención del Centro de Control y Bienestar Animal.</w:t>
            </w:r>
          </w:p>
        </w:tc>
      </w:tr>
      <w:tr w:rsidR="00794EB9" w:rsidRPr="00794EB9" w14:paraId="5A1BB8E3"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118DF2CD" w14:textId="77777777" w:rsidR="00794EB9" w:rsidRPr="00794EB9" w:rsidRDefault="00794EB9" w:rsidP="00C307FB">
            <w:pPr>
              <w:rPr>
                <w:rFonts w:ascii="Arial" w:hAnsi="Arial" w:cs="Arial"/>
                <w:sz w:val="22"/>
                <w:szCs w:val="22"/>
                <w:lang w:eastAsia="es-MX"/>
              </w:rPr>
            </w:pPr>
            <w:r w:rsidRPr="00794EB9">
              <w:rPr>
                <w:rFonts w:ascii="Arial" w:eastAsia="Arial Narrow" w:hAnsi="Arial" w:cs="Arial"/>
                <w:sz w:val="22"/>
                <w:szCs w:val="22"/>
              </w:rPr>
              <w:t>Sustentabilidad ante el cambio climático</w:t>
            </w:r>
          </w:p>
        </w:tc>
        <w:tc>
          <w:tcPr>
            <w:tcW w:w="610" w:type="pct"/>
            <w:tcBorders>
              <w:top w:val="nil"/>
              <w:left w:val="single" w:sz="8" w:space="0" w:color="434343"/>
              <w:bottom w:val="single" w:sz="8" w:space="0" w:color="434343"/>
              <w:right w:val="single" w:sz="8" w:space="0" w:color="434343"/>
            </w:tcBorders>
            <w:shd w:val="clear" w:color="auto" w:fill="auto"/>
            <w:hideMark/>
          </w:tcPr>
          <w:p w14:paraId="0DA85401" w14:textId="77777777" w:rsidR="00794EB9" w:rsidRPr="00794EB9" w:rsidRDefault="00794EB9" w:rsidP="00C307FB">
            <w:pPr>
              <w:rPr>
                <w:rFonts w:ascii="Arial" w:hAnsi="Arial" w:cs="Arial"/>
                <w:sz w:val="22"/>
                <w:szCs w:val="22"/>
                <w:lang w:eastAsia="es-MX"/>
              </w:rPr>
            </w:pPr>
            <w:r w:rsidRPr="00794EB9">
              <w:rPr>
                <w:rFonts w:ascii="Arial" w:eastAsia="Arial Narrow" w:hAnsi="Arial" w:cs="Arial"/>
                <w:sz w:val="22"/>
                <w:szCs w:val="22"/>
              </w:rPr>
              <w:t>Aprovechar de manera racional y sustentable los recursos naturales a favor de la mitigación y adaptación ante el cambio climático</w:t>
            </w:r>
          </w:p>
        </w:tc>
        <w:tc>
          <w:tcPr>
            <w:tcW w:w="687" w:type="pct"/>
            <w:tcBorders>
              <w:top w:val="nil"/>
              <w:left w:val="single" w:sz="8" w:space="0" w:color="434343"/>
              <w:bottom w:val="single" w:sz="8" w:space="0" w:color="434343"/>
              <w:right w:val="single" w:sz="8" w:space="0" w:color="434343"/>
            </w:tcBorders>
            <w:shd w:val="clear" w:color="auto" w:fill="auto"/>
            <w:hideMark/>
          </w:tcPr>
          <w:p w14:paraId="0DAB6051" w14:textId="77777777" w:rsidR="00794EB9" w:rsidRPr="00794EB9" w:rsidRDefault="00794EB9" w:rsidP="00C307FB">
            <w:pPr>
              <w:rPr>
                <w:rFonts w:ascii="Arial" w:hAnsi="Arial" w:cs="Arial"/>
                <w:sz w:val="22"/>
                <w:szCs w:val="22"/>
                <w:lang w:eastAsia="es-MX"/>
              </w:rPr>
            </w:pPr>
            <w:r w:rsidRPr="00794EB9">
              <w:rPr>
                <w:rFonts w:ascii="Arial" w:eastAsia="Arial Narrow" w:hAnsi="Arial" w:cs="Arial"/>
                <w:sz w:val="22"/>
                <w:szCs w:val="22"/>
              </w:rPr>
              <w:t>I 7.</w:t>
            </w:r>
            <w:r w:rsidRPr="00794EB9">
              <w:rPr>
                <w:rFonts w:ascii="Arial" w:hAnsi="Arial" w:cs="Arial"/>
                <w:sz w:val="22"/>
                <w:szCs w:val="22"/>
              </w:rPr>
              <w:t xml:space="preserve"> </w:t>
            </w:r>
            <w:r w:rsidRPr="00794EB9">
              <w:rPr>
                <w:rFonts w:ascii="Arial" w:eastAsia="Arial Narrow" w:hAnsi="Arial" w:cs="Arial"/>
                <w:sz w:val="22"/>
                <w:szCs w:val="22"/>
              </w:rPr>
              <w:t xml:space="preserve">Número de especies de fauna en la zona urbana </w:t>
            </w:r>
          </w:p>
        </w:tc>
        <w:tc>
          <w:tcPr>
            <w:tcW w:w="426" w:type="pct"/>
            <w:tcBorders>
              <w:top w:val="nil"/>
              <w:left w:val="single" w:sz="8" w:space="0" w:color="434343"/>
              <w:bottom w:val="single" w:sz="8" w:space="0" w:color="434343"/>
              <w:right w:val="single" w:sz="8" w:space="0" w:color="434343"/>
            </w:tcBorders>
            <w:shd w:val="clear" w:color="auto" w:fill="auto"/>
            <w:hideMark/>
          </w:tcPr>
          <w:p w14:paraId="029AAE83" w14:textId="77777777" w:rsidR="00794EB9" w:rsidRPr="00794EB9" w:rsidRDefault="00794EB9" w:rsidP="00C307FB">
            <w:pPr>
              <w:rPr>
                <w:rFonts w:ascii="Arial" w:hAnsi="Arial" w:cs="Arial"/>
                <w:sz w:val="22"/>
                <w:szCs w:val="22"/>
                <w:lang w:eastAsia="es-MX"/>
              </w:rPr>
            </w:pPr>
            <w:r w:rsidRPr="00794EB9">
              <w:rPr>
                <w:rFonts w:ascii="Arial" w:eastAsia="Arial Narrow" w:hAnsi="Arial" w:cs="Arial"/>
                <w:sz w:val="22"/>
                <w:szCs w:val="22"/>
              </w:rPr>
              <w:t>Conservación y regeneración de los recursos naturales</w:t>
            </w:r>
          </w:p>
        </w:tc>
        <w:tc>
          <w:tcPr>
            <w:tcW w:w="1024" w:type="pct"/>
            <w:tcBorders>
              <w:top w:val="nil"/>
              <w:left w:val="single" w:sz="8" w:space="0" w:color="434343"/>
              <w:bottom w:val="single" w:sz="8" w:space="0" w:color="434343"/>
              <w:right w:val="single" w:sz="8" w:space="0" w:color="434343"/>
            </w:tcBorders>
            <w:shd w:val="clear" w:color="auto" w:fill="auto"/>
            <w:hideMark/>
          </w:tcPr>
          <w:p w14:paraId="03259C14" w14:textId="77777777" w:rsidR="00794EB9" w:rsidRPr="00794EB9" w:rsidRDefault="00794EB9" w:rsidP="00C307FB">
            <w:pPr>
              <w:widowControl w:val="0"/>
              <w:pBdr>
                <w:top w:val="nil"/>
                <w:left w:val="nil"/>
                <w:bottom w:val="nil"/>
                <w:right w:val="nil"/>
                <w:between w:val="nil"/>
              </w:pBdr>
              <w:ind w:hanging="2"/>
              <w:rPr>
                <w:rFonts w:ascii="Arial" w:eastAsia="Arial Narrow" w:hAnsi="Arial" w:cs="Arial"/>
                <w:sz w:val="22"/>
                <w:szCs w:val="22"/>
              </w:rPr>
            </w:pPr>
            <w:r w:rsidRPr="00794EB9">
              <w:rPr>
                <w:rFonts w:ascii="Arial" w:eastAsia="Arial Narrow" w:hAnsi="Arial" w:cs="Arial"/>
                <w:sz w:val="22"/>
                <w:szCs w:val="22"/>
              </w:rPr>
              <w:t>Reforzar acciones que coadyuven en la conservación, preservación, protección, regeneración y regulación de los</w:t>
            </w:r>
          </w:p>
          <w:p w14:paraId="54E15F7E" w14:textId="77777777" w:rsidR="00794EB9" w:rsidRPr="00794EB9" w:rsidRDefault="00794EB9" w:rsidP="00C307FB">
            <w:pPr>
              <w:widowControl w:val="0"/>
              <w:pBdr>
                <w:top w:val="nil"/>
                <w:left w:val="nil"/>
                <w:bottom w:val="nil"/>
                <w:right w:val="nil"/>
                <w:between w:val="nil"/>
              </w:pBdr>
              <w:ind w:hanging="2"/>
              <w:rPr>
                <w:rFonts w:ascii="Arial" w:eastAsia="Arial Narrow" w:hAnsi="Arial" w:cs="Arial"/>
                <w:sz w:val="22"/>
                <w:szCs w:val="22"/>
              </w:rPr>
            </w:pPr>
            <w:r w:rsidRPr="00794EB9">
              <w:rPr>
                <w:rFonts w:ascii="Arial" w:eastAsia="Arial Narrow" w:hAnsi="Arial" w:cs="Arial"/>
                <w:sz w:val="22"/>
                <w:szCs w:val="22"/>
              </w:rPr>
              <w:t>recursos naturales del municipio a través de la valoración de los servicios ecosistémicos en las áreas naturales</w:t>
            </w:r>
          </w:p>
          <w:p w14:paraId="65194666" w14:textId="77777777" w:rsidR="00794EB9" w:rsidRPr="00794EB9" w:rsidRDefault="00794EB9" w:rsidP="00C307FB">
            <w:pPr>
              <w:rPr>
                <w:rFonts w:ascii="Arial" w:hAnsi="Arial" w:cs="Arial"/>
                <w:sz w:val="22"/>
                <w:szCs w:val="22"/>
                <w:lang w:eastAsia="es-MX"/>
              </w:rPr>
            </w:pPr>
            <w:r w:rsidRPr="00794EB9">
              <w:rPr>
                <w:rFonts w:ascii="Arial" w:eastAsia="Arial Narrow" w:hAnsi="Arial" w:cs="Arial"/>
                <w:sz w:val="22"/>
                <w:szCs w:val="22"/>
              </w:rPr>
              <w:t>protegidas estatales y municipales</w:t>
            </w:r>
          </w:p>
        </w:tc>
        <w:tc>
          <w:tcPr>
            <w:tcW w:w="686" w:type="pct"/>
            <w:vMerge/>
            <w:tcBorders>
              <w:top w:val="nil"/>
              <w:left w:val="single" w:sz="8" w:space="0" w:color="434343"/>
              <w:bottom w:val="single" w:sz="8" w:space="0" w:color="434343"/>
              <w:right w:val="single" w:sz="8" w:space="0" w:color="434343"/>
            </w:tcBorders>
            <w:vAlign w:val="center"/>
            <w:hideMark/>
          </w:tcPr>
          <w:p w14:paraId="15AEA341"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7B9B32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1.2.3 Crear el Centro de Rescate de Fauna Silvestre en colaboración con el Parque Zoológico de León.</w:t>
            </w:r>
          </w:p>
        </w:tc>
      </w:tr>
      <w:tr w:rsidR="00794EB9" w:rsidRPr="00794EB9" w14:paraId="3A85FD82"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490B9BF" w14:textId="77777777" w:rsidR="00794EB9" w:rsidRPr="00794EB9" w:rsidRDefault="00794EB9" w:rsidP="00C307FB">
            <w:pPr>
              <w:rPr>
                <w:rFonts w:ascii="Arial" w:hAnsi="Arial" w:cs="Arial"/>
                <w:sz w:val="22"/>
                <w:szCs w:val="22"/>
                <w:lang w:eastAsia="es-MX"/>
              </w:rPr>
            </w:pPr>
            <w:r w:rsidRPr="00794EB9">
              <w:rPr>
                <w:rFonts w:ascii="Arial" w:eastAsia="Arial Narrow" w:hAnsi="Arial" w:cs="Arial"/>
                <w:sz w:val="22"/>
                <w:szCs w:val="22"/>
              </w:rPr>
              <w:t xml:space="preserve">Estilos de vida </w:t>
            </w:r>
            <w:r w:rsidRPr="00794EB9">
              <w:rPr>
                <w:rFonts w:ascii="Arial" w:eastAsia="Arial Narrow" w:hAnsi="Arial" w:cs="Arial"/>
                <w:sz w:val="22"/>
                <w:szCs w:val="22"/>
              </w:rPr>
              <w:lastRenderedPageBreak/>
              <w:t>saludable</w:t>
            </w:r>
          </w:p>
        </w:tc>
        <w:tc>
          <w:tcPr>
            <w:tcW w:w="610" w:type="pct"/>
            <w:tcBorders>
              <w:top w:val="nil"/>
              <w:left w:val="single" w:sz="8" w:space="0" w:color="434343"/>
              <w:bottom w:val="single" w:sz="8" w:space="0" w:color="434343"/>
              <w:right w:val="single" w:sz="8" w:space="0" w:color="434343"/>
            </w:tcBorders>
            <w:shd w:val="clear" w:color="auto" w:fill="auto"/>
            <w:hideMark/>
          </w:tcPr>
          <w:p w14:paraId="6F32DA0E" w14:textId="77777777" w:rsidR="00794EB9" w:rsidRPr="00794EB9" w:rsidRDefault="00794EB9" w:rsidP="00C307FB">
            <w:pPr>
              <w:rPr>
                <w:rFonts w:ascii="Arial" w:hAnsi="Arial" w:cs="Arial"/>
                <w:sz w:val="22"/>
                <w:szCs w:val="22"/>
                <w:lang w:eastAsia="es-MX"/>
              </w:rPr>
            </w:pPr>
            <w:r w:rsidRPr="00794EB9">
              <w:rPr>
                <w:rFonts w:ascii="Arial" w:eastAsia="Arial Narrow" w:hAnsi="Arial" w:cs="Arial"/>
                <w:sz w:val="22"/>
                <w:szCs w:val="22"/>
              </w:rPr>
              <w:lastRenderedPageBreak/>
              <w:t xml:space="preserve">Consolidar una cultura de </w:t>
            </w:r>
            <w:r w:rsidRPr="00794EB9">
              <w:rPr>
                <w:rFonts w:ascii="Arial" w:eastAsia="Arial Narrow" w:hAnsi="Arial" w:cs="Arial"/>
                <w:sz w:val="22"/>
                <w:szCs w:val="22"/>
              </w:rPr>
              <w:lastRenderedPageBreak/>
              <w:t>prevención, auto cuidado y hábitos saludables para la reducción de enfermedades crónico-degenerativas y psicosociales</w:t>
            </w:r>
          </w:p>
        </w:tc>
        <w:tc>
          <w:tcPr>
            <w:tcW w:w="687" w:type="pct"/>
            <w:tcBorders>
              <w:top w:val="nil"/>
              <w:left w:val="single" w:sz="8" w:space="0" w:color="434343"/>
              <w:bottom w:val="single" w:sz="8" w:space="0" w:color="434343"/>
              <w:right w:val="single" w:sz="8" w:space="0" w:color="434343"/>
            </w:tcBorders>
            <w:shd w:val="clear" w:color="auto" w:fill="auto"/>
            <w:hideMark/>
          </w:tcPr>
          <w:p w14:paraId="0CE44D17" w14:textId="77777777" w:rsidR="00794EB9" w:rsidRPr="00794EB9" w:rsidRDefault="00794EB9" w:rsidP="00C307FB">
            <w:pPr>
              <w:rPr>
                <w:rFonts w:ascii="Arial" w:hAnsi="Arial" w:cs="Arial"/>
                <w:sz w:val="22"/>
                <w:szCs w:val="22"/>
                <w:lang w:eastAsia="es-MX"/>
              </w:rPr>
            </w:pPr>
            <w:r w:rsidRPr="00794EB9">
              <w:rPr>
                <w:rFonts w:ascii="Arial" w:eastAsia="Arial Narrow" w:hAnsi="Arial" w:cs="Arial"/>
                <w:sz w:val="22"/>
                <w:szCs w:val="22"/>
              </w:rPr>
              <w:lastRenderedPageBreak/>
              <w:t xml:space="preserve">I 54. Porcentaje de población </w:t>
            </w:r>
            <w:r w:rsidRPr="00794EB9">
              <w:rPr>
                <w:rFonts w:ascii="Arial" w:eastAsia="Arial Narrow" w:hAnsi="Arial" w:cs="Arial"/>
                <w:sz w:val="22"/>
                <w:szCs w:val="22"/>
              </w:rPr>
              <w:lastRenderedPageBreak/>
              <w:t>afiliada a servicios de salud</w:t>
            </w:r>
          </w:p>
        </w:tc>
        <w:tc>
          <w:tcPr>
            <w:tcW w:w="426" w:type="pct"/>
            <w:tcBorders>
              <w:top w:val="nil"/>
              <w:left w:val="single" w:sz="8" w:space="0" w:color="434343"/>
              <w:bottom w:val="single" w:sz="8" w:space="0" w:color="434343"/>
              <w:right w:val="single" w:sz="8" w:space="0" w:color="434343"/>
            </w:tcBorders>
            <w:shd w:val="clear" w:color="auto" w:fill="auto"/>
            <w:hideMark/>
          </w:tcPr>
          <w:p w14:paraId="2D6E2487" w14:textId="77777777" w:rsidR="00794EB9" w:rsidRPr="00794EB9" w:rsidRDefault="00794EB9" w:rsidP="00C307FB">
            <w:pPr>
              <w:rPr>
                <w:rFonts w:ascii="Arial" w:hAnsi="Arial" w:cs="Arial"/>
                <w:sz w:val="22"/>
                <w:szCs w:val="22"/>
                <w:lang w:eastAsia="es-MX"/>
              </w:rPr>
            </w:pPr>
            <w:r w:rsidRPr="00794EB9">
              <w:rPr>
                <w:rFonts w:ascii="Arial" w:eastAsia="Arial Narrow" w:hAnsi="Arial" w:cs="Arial"/>
                <w:sz w:val="22"/>
                <w:szCs w:val="22"/>
              </w:rPr>
              <w:lastRenderedPageBreak/>
              <w:t xml:space="preserve">Cultura de prevención, </w:t>
            </w:r>
            <w:r w:rsidRPr="00794EB9">
              <w:rPr>
                <w:rFonts w:ascii="Arial" w:eastAsia="Arial Narrow" w:hAnsi="Arial" w:cs="Arial"/>
                <w:sz w:val="22"/>
                <w:szCs w:val="22"/>
              </w:rPr>
              <w:lastRenderedPageBreak/>
              <w:t>autocuidado y atención de la salud</w:t>
            </w:r>
          </w:p>
        </w:tc>
        <w:tc>
          <w:tcPr>
            <w:tcW w:w="1024" w:type="pct"/>
            <w:tcBorders>
              <w:top w:val="nil"/>
              <w:left w:val="single" w:sz="8" w:space="0" w:color="434343"/>
              <w:bottom w:val="single" w:sz="8" w:space="0" w:color="434343"/>
              <w:right w:val="single" w:sz="8" w:space="0" w:color="434343"/>
            </w:tcBorders>
            <w:shd w:val="clear" w:color="auto" w:fill="auto"/>
            <w:hideMark/>
          </w:tcPr>
          <w:p w14:paraId="757C1938" w14:textId="77777777" w:rsidR="00794EB9" w:rsidRPr="00794EB9" w:rsidRDefault="00794EB9" w:rsidP="00C307FB">
            <w:pPr>
              <w:rPr>
                <w:rFonts w:ascii="Arial" w:hAnsi="Arial" w:cs="Arial"/>
                <w:sz w:val="22"/>
                <w:szCs w:val="22"/>
                <w:lang w:eastAsia="es-MX"/>
              </w:rPr>
            </w:pPr>
            <w:r w:rsidRPr="00794EB9">
              <w:rPr>
                <w:rFonts w:ascii="Arial" w:eastAsia="Arial Narrow" w:hAnsi="Arial" w:cs="Arial"/>
                <w:sz w:val="22"/>
                <w:szCs w:val="22"/>
              </w:rPr>
              <w:lastRenderedPageBreak/>
              <w:t xml:space="preserve">Implementar un modelo municipal de salud preventiva </w:t>
            </w:r>
            <w:r w:rsidRPr="00794EB9">
              <w:rPr>
                <w:rFonts w:ascii="Arial" w:eastAsia="Arial Narrow" w:hAnsi="Arial" w:cs="Arial"/>
                <w:sz w:val="22"/>
                <w:szCs w:val="22"/>
              </w:rPr>
              <w:lastRenderedPageBreak/>
              <w:t>que promueva estilos de vida saludable y la activación física, con énfasis en zonas de mayor vulnerabilidad</w:t>
            </w:r>
          </w:p>
        </w:tc>
        <w:tc>
          <w:tcPr>
            <w:tcW w:w="686" w:type="pct"/>
            <w:vMerge/>
            <w:tcBorders>
              <w:top w:val="nil"/>
              <w:left w:val="single" w:sz="8" w:space="0" w:color="434343"/>
              <w:bottom w:val="single" w:sz="8" w:space="0" w:color="434343"/>
              <w:right w:val="single" w:sz="8" w:space="0" w:color="434343"/>
            </w:tcBorders>
            <w:vAlign w:val="center"/>
            <w:hideMark/>
          </w:tcPr>
          <w:p w14:paraId="34E072CE"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1A10D3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1.2.4 Construir y poner en operación el </w:t>
            </w:r>
            <w:r w:rsidRPr="00794EB9">
              <w:rPr>
                <w:rFonts w:ascii="Arial" w:hAnsi="Arial" w:cs="Arial"/>
                <w:sz w:val="22"/>
                <w:szCs w:val="22"/>
                <w:lang w:eastAsia="es-MX"/>
              </w:rPr>
              <w:lastRenderedPageBreak/>
              <w:t>Hospital Público Veterinario.</w:t>
            </w:r>
          </w:p>
        </w:tc>
      </w:tr>
      <w:tr w:rsidR="00794EB9" w:rsidRPr="00794EB9" w14:paraId="2949F513"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415B32F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Recreación accesible y de calidad</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62BF76F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esparcimiento, con altos estándares de calidad, que sean accesibles para las y los leoneses y visitantes</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66449D6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I 44. Superficie de espacios públicos </w:t>
            </w:r>
            <w:r w:rsidRPr="00794EB9">
              <w:rPr>
                <w:rFonts w:ascii="Arial" w:hAnsi="Arial" w:cs="Arial"/>
                <w:sz w:val="22"/>
                <w:szCs w:val="22"/>
                <w:lang w:eastAsia="es-MX"/>
              </w:rPr>
              <w:br/>
              <w:t>I 45. Porcentaje de cobertura geográfica de los espacios públicos</w:t>
            </w:r>
            <w:r w:rsidRPr="00794EB9">
              <w:rPr>
                <w:rFonts w:ascii="Arial" w:hAnsi="Arial" w:cs="Arial"/>
                <w:sz w:val="22"/>
                <w:szCs w:val="22"/>
                <w:lang w:eastAsia="es-MX"/>
              </w:rPr>
              <w:br/>
              <w:t>I 46. Porcentaje de espacios públicos en buen estado</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71575BE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Espacios públicos para la convivencia social</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3F6E4EF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el sistema de parques urbanos para el disfrute, la educación y recreación</w:t>
            </w:r>
          </w:p>
        </w:tc>
        <w:tc>
          <w:tcPr>
            <w:tcW w:w="686" w:type="pct"/>
            <w:vMerge w:val="restart"/>
            <w:tcBorders>
              <w:top w:val="nil"/>
              <w:left w:val="single" w:sz="8" w:space="0" w:color="434343"/>
              <w:right w:val="single" w:sz="8" w:space="0" w:color="434343"/>
            </w:tcBorders>
            <w:shd w:val="clear" w:color="auto" w:fill="auto"/>
            <w:hideMark/>
          </w:tcPr>
          <w:p w14:paraId="05D838A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VS. 1.3 Red de Parques Urbanos y Áreas Naturales </w:t>
            </w:r>
          </w:p>
        </w:tc>
        <w:tc>
          <w:tcPr>
            <w:tcW w:w="1191" w:type="pct"/>
            <w:tcBorders>
              <w:top w:val="nil"/>
              <w:left w:val="nil"/>
              <w:bottom w:val="single" w:sz="8" w:space="0" w:color="434343"/>
              <w:right w:val="single" w:sz="8" w:space="0" w:color="434343"/>
            </w:tcBorders>
            <w:shd w:val="clear" w:color="auto" w:fill="auto"/>
            <w:hideMark/>
          </w:tcPr>
          <w:p w14:paraId="5302B0E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1.3.1 Desarrollar el prototipo del Parque Seguro y Educador estableciendo los lineamientos para el sistema de mantenimiento, operación y gestión social.</w:t>
            </w:r>
          </w:p>
        </w:tc>
      </w:tr>
      <w:tr w:rsidR="00794EB9" w:rsidRPr="00794EB9" w14:paraId="6197AC23"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154B9B3E"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08F5BFD"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6C8B0CE"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C33BC02"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7C06528" w14:textId="77777777" w:rsidR="00794EB9" w:rsidRPr="00794EB9" w:rsidRDefault="00794EB9" w:rsidP="00C307FB">
            <w:pPr>
              <w:rPr>
                <w:rFonts w:ascii="Arial" w:hAnsi="Arial" w:cs="Arial"/>
                <w:sz w:val="22"/>
                <w:szCs w:val="22"/>
                <w:lang w:eastAsia="es-MX"/>
              </w:rPr>
            </w:pPr>
          </w:p>
        </w:tc>
        <w:tc>
          <w:tcPr>
            <w:tcW w:w="686" w:type="pct"/>
            <w:vMerge/>
            <w:tcBorders>
              <w:left w:val="single" w:sz="8" w:space="0" w:color="434343"/>
              <w:right w:val="single" w:sz="8" w:space="0" w:color="434343"/>
            </w:tcBorders>
            <w:vAlign w:val="center"/>
            <w:hideMark/>
          </w:tcPr>
          <w:p w14:paraId="1AF56D80"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476834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1.3.2 Construir, dar mantenimiento y poner en operación el nuevo modelo de Parques Urbanos, Espacios Públicos y Áreas Naturales aplicando los criterios del Índice de Biodiversidad Urbana</w:t>
            </w:r>
          </w:p>
        </w:tc>
      </w:tr>
      <w:tr w:rsidR="00794EB9" w:rsidRPr="00794EB9" w14:paraId="02D4C9B9"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12B39708"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EB5B8FE"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C86ACC1"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059E6912"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9317BE2" w14:textId="77777777" w:rsidR="00794EB9" w:rsidRPr="00794EB9" w:rsidRDefault="00794EB9" w:rsidP="00C307FB">
            <w:pPr>
              <w:rPr>
                <w:rFonts w:ascii="Arial" w:hAnsi="Arial" w:cs="Arial"/>
                <w:sz w:val="22"/>
                <w:szCs w:val="22"/>
                <w:lang w:eastAsia="es-MX"/>
              </w:rPr>
            </w:pPr>
          </w:p>
        </w:tc>
        <w:tc>
          <w:tcPr>
            <w:tcW w:w="686" w:type="pct"/>
            <w:vMerge/>
            <w:tcBorders>
              <w:left w:val="single" w:sz="8" w:space="0" w:color="434343"/>
              <w:right w:val="single" w:sz="8" w:space="0" w:color="434343"/>
            </w:tcBorders>
            <w:vAlign w:val="center"/>
            <w:hideMark/>
          </w:tcPr>
          <w:p w14:paraId="6A6A443F"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9C9191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1.3.3 Rehabilitar mini deportivas en zonas prioritarias de la ciudad con </w:t>
            </w:r>
            <w:r w:rsidRPr="00794EB9">
              <w:rPr>
                <w:rFonts w:ascii="Arial" w:hAnsi="Arial" w:cs="Arial"/>
                <w:sz w:val="22"/>
                <w:szCs w:val="22"/>
                <w:lang w:eastAsia="es-MX"/>
              </w:rPr>
              <w:lastRenderedPageBreak/>
              <w:t>criterios de arborización urbana.</w:t>
            </w:r>
          </w:p>
        </w:tc>
      </w:tr>
      <w:tr w:rsidR="00794EB9" w:rsidRPr="00794EB9" w14:paraId="54DD6910"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84B786D"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257CC9C"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D515370"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73FAD690"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79063B35" w14:textId="77777777" w:rsidR="00794EB9" w:rsidRPr="00794EB9" w:rsidRDefault="00794EB9" w:rsidP="00C307FB">
            <w:pPr>
              <w:rPr>
                <w:rFonts w:ascii="Arial" w:hAnsi="Arial" w:cs="Arial"/>
                <w:sz w:val="22"/>
                <w:szCs w:val="22"/>
                <w:lang w:eastAsia="es-MX"/>
              </w:rPr>
            </w:pPr>
          </w:p>
        </w:tc>
        <w:tc>
          <w:tcPr>
            <w:tcW w:w="686" w:type="pct"/>
            <w:vMerge/>
            <w:tcBorders>
              <w:left w:val="single" w:sz="8" w:space="0" w:color="434343"/>
              <w:right w:val="single" w:sz="8" w:space="0" w:color="434343"/>
            </w:tcBorders>
            <w:vAlign w:val="center"/>
            <w:hideMark/>
          </w:tcPr>
          <w:p w14:paraId="7F1A6BD7"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3A8269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1.3.4 Construir, ampliar, rehabilitar, equipar y realizar acciones en espacios públicos para la convivencia que fortalezca el tejido social</w:t>
            </w:r>
          </w:p>
        </w:tc>
      </w:tr>
      <w:tr w:rsidR="00794EB9" w:rsidRPr="00794EB9" w14:paraId="73317507"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D146E77"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23DEBB66"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2C80EAC"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FE7B56D"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3727E161" w14:textId="77777777" w:rsidR="00794EB9" w:rsidRPr="00794EB9" w:rsidRDefault="00794EB9" w:rsidP="00C307FB">
            <w:pPr>
              <w:rPr>
                <w:rFonts w:ascii="Arial" w:hAnsi="Arial" w:cs="Arial"/>
                <w:sz w:val="22"/>
                <w:szCs w:val="22"/>
                <w:lang w:eastAsia="es-MX"/>
              </w:rPr>
            </w:pPr>
          </w:p>
        </w:tc>
        <w:tc>
          <w:tcPr>
            <w:tcW w:w="686" w:type="pct"/>
            <w:vMerge/>
            <w:tcBorders>
              <w:left w:val="single" w:sz="8" w:space="0" w:color="434343"/>
              <w:right w:val="single" w:sz="8" w:space="0" w:color="434343"/>
            </w:tcBorders>
            <w:vAlign w:val="center"/>
            <w:hideMark/>
          </w:tcPr>
          <w:p w14:paraId="0FFE045B"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EF9E0C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1.3.5 Construir y rehabilitar el parque Bosque de la Olla.</w:t>
            </w:r>
          </w:p>
        </w:tc>
      </w:tr>
      <w:tr w:rsidR="00794EB9" w:rsidRPr="00794EB9" w14:paraId="4A244B13"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B6390F8"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5BD44A6"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08FF63E2"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48A784D5"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5D9FADE7" w14:textId="77777777" w:rsidR="00794EB9" w:rsidRPr="00794EB9" w:rsidRDefault="00794EB9" w:rsidP="00C307FB">
            <w:pPr>
              <w:rPr>
                <w:rFonts w:ascii="Arial" w:hAnsi="Arial" w:cs="Arial"/>
                <w:sz w:val="22"/>
                <w:szCs w:val="22"/>
                <w:lang w:eastAsia="es-MX"/>
              </w:rPr>
            </w:pPr>
          </w:p>
        </w:tc>
        <w:tc>
          <w:tcPr>
            <w:tcW w:w="686" w:type="pct"/>
            <w:vMerge/>
            <w:tcBorders>
              <w:left w:val="single" w:sz="8" w:space="0" w:color="434343"/>
              <w:right w:val="single" w:sz="8" w:space="0" w:color="434343"/>
            </w:tcBorders>
            <w:vAlign w:val="center"/>
            <w:hideMark/>
          </w:tcPr>
          <w:p w14:paraId="51DF5E8B"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13ADC5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1.3.6 Realizar obras de rehabilitación en Unidades Deportivas prioritarias con criterios de arborización urbana.</w:t>
            </w:r>
          </w:p>
        </w:tc>
      </w:tr>
      <w:tr w:rsidR="00794EB9" w:rsidRPr="00794EB9" w14:paraId="4862612B" w14:textId="77777777" w:rsidTr="00C307FB">
        <w:trPr>
          <w:trHeight w:val="1219"/>
        </w:trPr>
        <w:tc>
          <w:tcPr>
            <w:tcW w:w="376" w:type="pct"/>
            <w:vMerge w:val="restart"/>
            <w:tcBorders>
              <w:top w:val="nil"/>
              <w:left w:val="single" w:sz="8" w:space="0" w:color="434343"/>
              <w:bottom w:val="nil"/>
              <w:right w:val="single" w:sz="8" w:space="0" w:color="434343"/>
            </w:tcBorders>
            <w:shd w:val="clear" w:color="auto" w:fill="auto"/>
            <w:hideMark/>
          </w:tcPr>
          <w:p w14:paraId="6D6104B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610" w:type="pct"/>
            <w:vMerge w:val="restart"/>
            <w:tcBorders>
              <w:top w:val="nil"/>
              <w:left w:val="single" w:sz="8" w:space="0" w:color="434343"/>
              <w:right w:val="single" w:sz="8" w:space="0" w:color="434343"/>
            </w:tcBorders>
            <w:shd w:val="clear" w:color="auto" w:fill="auto"/>
            <w:hideMark/>
          </w:tcPr>
          <w:p w14:paraId="3DFE227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Ampliar la oferta de sitios y opciones de recreación y esparcimiento, con altos estándares de calidad, que sean accesibles para las y los leoneses </w:t>
            </w:r>
            <w:r w:rsidRPr="00794EB9">
              <w:rPr>
                <w:rFonts w:ascii="Arial" w:hAnsi="Arial" w:cs="Arial"/>
                <w:sz w:val="22"/>
                <w:szCs w:val="22"/>
                <w:lang w:eastAsia="es-MX"/>
              </w:rPr>
              <w:lastRenderedPageBreak/>
              <w:t>y visitantes</w:t>
            </w:r>
          </w:p>
        </w:tc>
        <w:tc>
          <w:tcPr>
            <w:tcW w:w="687" w:type="pct"/>
            <w:vMerge w:val="restart"/>
            <w:tcBorders>
              <w:top w:val="nil"/>
              <w:left w:val="single" w:sz="8" w:space="0" w:color="434343"/>
              <w:right w:val="single" w:sz="8" w:space="0" w:color="434343"/>
            </w:tcBorders>
            <w:shd w:val="clear" w:color="auto" w:fill="auto"/>
            <w:hideMark/>
          </w:tcPr>
          <w:p w14:paraId="597C139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 44. Superficie de espacios públicos </w:t>
            </w:r>
            <w:r w:rsidRPr="00794EB9">
              <w:rPr>
                <w:rFonts w:ascii="Arial" w:hAnsi="Arial" w:cs="Arial"/>
                <w:sz w:val="22"/>
                <w:szCs w:val="22"/>
                <w:lang w:eastAsia="es-MX"/>
              </w:rPr>
              <w:br/>
              <w:t>I 45. Porcentaje de cobertura geográfica de los espacios públicos</w:t>
            </w:r>
            <w:r w:rsidRPr="00794EB9">
              <w:rPr>
                <w:rFonts w:ascii="Arial" w:hAnsi="Arial" w:cs="Arial"/>
                <w:sz w:val="22"/>
                <w:szCs w:val="22"/>
                <w:lang w:eastAsia="es-MX"/>
              </w:rPr>
              <w:br/>
              <w:t>I 46. Porcentaje de espacios públicos en buen estado</w:t>
            </w:r>
          </w:p>
        </w:tc>
        <w:tc>
          <w:tcPr>
            <w:tcW w:w="426" w:type="pct"/>
            <w:vMerge w:val="restart"/>
            <w:tcBorders>
              <w:top w:val="nil"/>
              <w:left w:val="single" w:sz="8" w:space="0" w:color="434343"/>
              <w:right w:val="single" w:sz="8" w:space="0" w:color="434343"/>
            </w:tcBorders>
            <w:shd w:val="clear" w:color="auto" w:fill="auto"/>
            <w:hideMark/>
          </w:tcPr>
          <w:p w14:paraId="0808F0E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Espacios públicos para la convivencia social</w:t>
            </w:r>
          </w:p>
        </w:tc>
        <w:tc>
          <w:tcPr>
            <w:tcW w:w="1024" w:type="pct"/>
            <w:vMerge w:val="restart"/>
            <w:tcBorders>
              <w:top w:val="nil"/>
              <w:left w:val="single" w:sz="8" w:space="0" w:color="434343"/>
              <w:right w:val="single" w:sz="8" w:space="0" w:color="434343"/>
            </w:tcBorders>
            <w:shd w:val="clear" w:color="auto" w:fill="auto"/>
            <w:hideMark/>
          </w:tcPr>
          <w:p w14:paraId="5A0DE43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alianzas y esquemas alternativos de gestión con el sector social y privado para la creación, rescate, regeneración y mantenimiento sostenible de espacios públicos</w:t>
            </w:r>
          </w:p>
        </w:tc>
        <w:tc>
          <w:tcPr>
            <w:tcW w:w="686" w:type="pct"/>
            <w:vMerge/>
            <w:tcBorders>
              <w:left w:val="single" w:sz="8" w:space="0" w:color="434343"/>
              <w:right w:val="single" w:sz="8" w:space="0" w:color="434343"/>
            </w:tcBorders>
            <w:vAlign w:val="center"/>
            <w:hideMark/>
          </w:tcPr>
          <w:p w14:paraId="61F820B0" w14:textId="77777777" w:rsidR="00794EB9" w:rsidRPr="00794EB9" w:rsidRDefault="00794EB9" w:rsidP="00C307FB">
            <w:pPr>
              <w:rPr>
                <w:rFonts w:ascii="Arial" w:hAnsi="Arial" w:cs="Arial"/>
                <w:b/>
                <w:bCs/>
                <w:sz w:val="22"/>
                <w:szCs w:val="22"/>
                <w:lang w:eastAsia="es-MX"/>
              </w:rPr>
            </w:pPr>
          </w:p>
        </w:tc>
        <w:tc>
          <w:tcPr>
            <w:tcW w:w="1191" w:type="pct"/>
            <w:tcBorders>
              <w:top w:val="nil"/>
              <w:left w:val="single" w:sz="8" w:space="0" w:color="434343"/>
              <w:bottom w:val="single" w:sz="8" w:space="0" w:color="434343"/>
              <w:right w:val="single" w:sz="8" w:space="0" w:color="434343"/>
            </w:tcBorders>
            <w:shd w:val="clear" w:color="auto" w:fill="auto"/>
            <w:hideMark/>
          </w:tcPr>
          <w:p w14:paraId="070AE79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1.3.7 Implementar el pase verde en espacios públicos para el acceso gratuito a la ciudadanía.</w:t>
            </w:r>
          </w:p>
        </w:tc>
      </w:tr>
      <w:tr w:rsidR="00794EB9" w:rsidRPr="00794EB9" w14:paraId="0D4BC55D" w14:textId="77777777" w:rsidTr="00C307FB">
        <w:trPr>
          <w:trHeight w:val="57"/>
        </w:trPr>
        <w:tc>
          <w:tcPr>
            <w:tcW w:w="376" w:type="pct"/>
            <w:vMerge/>
            <w:tcBorders>
              <w:left w:val="single" w:sz="8" w:space="0" w:color="434343"/>
              <w:bottom w:val="single" w:sz="8" w:space="0" w:color="434343"/>
              <w:right w:val="single" w:sz="8" w:space="0" w:color="434343"/>
            </w:tcBorders>
            <w:shd w:val="clear" w:color="auto" w:fill="auto"/>
          </w:tcPr>
          <w:p w14:paraId="01369102"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shd w:val="clear" w:color="auto" w:fill="auto"/>
          </w:tcPr>
          <w:p w14:paraId="256599CC" w14:textId="77777777" w:rsidR="00794EB9" w:rsidRPr="00794EB9" w:rsidRDefault="00794EB9" w:rsidP="00C307FB">
            <w:pPr>
              <w:rPr>
                <w:rFonts w:ascii="Arial" w:hAnsi="Arial" w:cs="Arial"/>
                <w:sz w:val="22"/>
                <w:szCs w:val="22"/>
                <w:lang w:eastAsia="es-MX"/>
              </w:rPr>
            </w:pPr>
          </w:p>
        </w:tc>
        <w:tc>
          <w:tcPr>
            <w:tcW w:w="687" w:type="pct"/>
            <w:vMerge/>
            <w:tcBorders>
              <w:left w:val="single" w:sz="8" w:space="0" w:color="434343"/>
              <w:bottom w:val="single" w:sz="8" w:space="0" w:color="434343"/>
              <w:right w:val="single" w:sz="8" w:space="0" w:color="434343"/>
            </w:tcBorders>
            <w:shd w:val="clear" w:color="auto" w:fill="auto"/>
          </w:tcPr>
          <w:p w14:paraId="45C9F70F" w14:textId="77777777" w:rsidR="00794EB9" w:rsidRPr="00794EB9" w:rsidRDefault="00794EB9" w:rsidP="00C307FB">
            <w:pPr>
              <w:rPr>
                <w:rFonts w:ascii="Arial" w:hAnsi="Arial" w:cs="Arial"/>
                <w:sz w:val="22"/>
                <w:szCs w:val="22"/>
                <w:lang w:eastAsia="es-MX"/>
              </w:rPr>
            </w:pPr>
          </w:p>
        </w:tc>
        <w:tc>
          <w:tcPr>
            <w:tcW w:w="426" w:type="pct"/>
            <w:vMerge/>
            <w:tcBorders>
              <w:left w:val="single" w:sz="8" w:space="0" w:color="434343"/>
              <w:bottom w:val="single" w:sz="8" w:space="0" w:color="434343"/>
              <w:right w:val="single" w:sz="8" w:space="0" w:color="434343"/>
            </w:tcBorders>
            <w:shd w:val="clear" w:color="auto" w:fill="auto"/>
          </w:tcPr>
          <w:p w14:paraId="7017D885" w14:textId="77777777" w:rsidR="00794EB9" w:rsidRPr="00794EB9" w:rsidRDefault="00794EB9" w:rsidP="00C307FB">
            <w:pPr>
              <w:rPr>
                <w:rFonts w:ascii="Arial" w:hAnsi="Arial" w:cs="Arial"/>
                <w:sz w:val="22"/>
                <w:szCs w:val="22"/>
                <w:lang w:eastAsia="es-MX"/>
              </w:rPr>
            </w:pPr>
          </w:p>
        </w:tc>
        <w:tc>
          <w:tcPr>
            <w:tcW w:w="1024" w:type="pct"/>
            <w:vMerge/>
            <w:tcBorders>
              <w:left w:val="single" w:sz="8" w:space="0" w:color="434343"/>
              <w:bottom w:val="single" w:sz="8" w:space="0" w:color="434343"/>
              <w:right w:val="single" w:sz="8" w:space="0" w:color="434343"/>
            </w:tcBorders>
            <w:shd w:val="clear" w:color="auto" w:fill="auto"/>
          </w:tcPr>
          <w:p w14:paraId="5DDA5535" w14:textId="77777777" w:rsidR="00794EB9" w:rsidRPr="00794EB9" w:rsidRDefault="00794EB9" w:rsidP="00C307FB">
            <w:pPr>
              <w:rPr>
                <w:rFonts w:ascii="Arial" w:hAnsi="Arial" w:cs="Arial"/>
                <w:sz w:val="22"/>
                <w:szCs w:val="22"/>
                <w:lang w:eastAsia="es-MX"/>
              </w:rPr>
            </w:pPr>
          </w:p>
        </w:tc>
        <w:tc>
          <w:tcPr>
            <w:tcW w:w="686" w:type="pct"/>
            <w:vMerge/>
            <w:tcBorders>
              <w:left w:val="single" w:sz="8" w:space="0" w:color="434343"/>
              <w:bottom w:val="single" w:sz="8" w:space="0" w:color="434343"/>
              <w:right w:val="single" w:sz="8" w:space="0" w:color="434343"/>
            </w:tcBorders>
            <w:shd w:val="clear" w:color="auto" w:fill="auto"/>
          </w:tcPr>
          <w:p w14:paraId="1C03CBDD"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tcPr>
          <w:p w14:paraId="58B0AF8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1.3.8 Impartir cursos de verano y celebración de festividades conmemorativas para Centros Comunitarios, Plazas de la Ciudadanía, y Espacios Públicos en las 7 delegaciones de la ciudad</w:t>
            </w:r>
          </w:p>
        </w:tc>
      </w:tr>
      <w:tr w:rsidR="00794EB9" w:rsidRPr="00794EB9" w14:paraId="1D17637D"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2EDF2E0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Modelo urbano integrador </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42F62AB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infraestructura verde</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78D2B78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28. Porcentaje de acciones implementadas para la infraestructura verde</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46D8981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Infraestructura verde</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7E4F1AD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e integrar una red de infraestructura verde urbana con un enfoque de la gestión del suelo, a través de la conectividad de las áreas naturales protegidas, cinturones verdes o amortiguamiento, parques metropolitanos, urbanos, lineales, andadores, ríos, arroyos y ciclovías para generar una ciudad más resiliente y sostenible</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3BC5B9A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 1.4 Nuevo Parque Metropolitano</w:t>
            </w:r>
          </w:p>
        </w:tc>
        <w:tc>
          <w:tcPr>
            <w:tcW w:w="1191" w:type="pct"/>
            <w:tcBorders>
              <w:top w:val="nil"/>
              <w:left w:val="nil"/>
              <w:bottom w:val="single" w:sz="8" w:space="0" w:color="434343"/>
              <w:right w:val="single" w:sz="8" w:space="0" w:color="434343"/>
            </w:tcBorders>
            <w:shd w:val="clear" w:color="auto" w:fill="auto"/>
            <w:hideMark/>
          </w:tcPr>
          <w:p w14:paraId="2B70AFD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1.4.1 Desarrollar los Planes Maestros de los Nuevos Parques Metropolitanos, que integren la definición del marco legal y administrativo.</w:t>
            </w:r>
          </w:p>
        </w:tc>
      </w:tr>
      <w:tr w:rsidR="00794EB9" w:rsidRPr="00794EB9" w14:paraId="7D65687F"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55080B6"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C6698D7"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270237F7"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1B29B9A0"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AC30020"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5E88CAA"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56922B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1.4.2 Desarrollar el proyecto ejecutivo para la 1a Etapa del Parque Metropolitano Las Joyas.</w:t>
            </w:r>
          </w:p>
        </w:tc>
      </w:tr>
      <w:tr w:rsidR="00794EB9" w:rsidRPr="00794EB9" w14:paraId="26049CB3"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666BBCF"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E3FCECA"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10ECE604"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B40D7A1"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319D33D3"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6D9F4B3"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28D691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1.4.3 Iniciar las obras para la creación del Parque de la Vida y habilitar el proyecto de la Casa del Agua.</w:t>
            </w:r>
          </w:p>
        </w:tc>
      </w:tr>
      <w:tr w:rsidR="00794EB9" w:rsidRPr="00794EB9" w14:paraId="7585BA81"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19FC4B9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 Acceso y sostenibilidad del agua, con una sociedad sensible para su </w:t>
            </w:r>
            <w:r w:rsidRPr="00794EB9">
              <w:rPr>
                <w:rFonts w:ascii="Arial" w:hAnsi="Arial" w:cs="Arial"/>
                <w:sz w:val="22"/>
                <w:szCs w:val="22"/>
                <w:lang w:eastAsia="es-MX"/>
              </w:rPr>
              <w:lastRenderedPageBreak/>
              <w:t>uso y cuidado</w:t>
            </w:r>
          </w:p>
        </w:tc>
        <w:tc>
          <w:tcPr>
            <w:tcW w:w="610" w:type="pct"/>
            <w:tcBorders>
              <w:top w:val="nil"/>
              <w:left w:val="nil"/>
              <w:bottom w:val="single" w:sz="8" w:space="0" w:color="434343"/>
              <w:right w:val="single" w:sz="8" w:space="0" w:color="434343"/>
            </w:tcBorders>
            <w:shd w:val="clear" w:color="auto" w:fill="auto"/>
            <w:hideMark/>
          </w:tcPr>
          <w:p w14:paraId="7EED453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Garantizar el acceso eficiente al agua, asequible en cantidad y calidad, requerida para los sectores doméstico, industrial, </w:t>
            </w:r>
            <w:r w:rsidRPr="00794EB9">
              <w:rPr>
                <w:rFonts w:ascii="Arial" w:hAnsi="Arial" w:cs="Arial"/>
                <w:sz w:val="22"/>
                <w:szCs w:val="22"/>
                <w:lang w:eastAsia="es-MX"/>
              </w:rPr>
              <w:lastRenderedPageBreak/>
              <w:t>comercial, servicios y agrícola</w:t>
            </w:r>
          </w:p>
        </w:tc>
        <w:tc>
          <w:tcPr>
            <w:tcW w:w="687" w:type="pct"/>
            <w:tcBorders>
              <w:top w:val="nil"/>
              <w:left w:val="nil"/>
              <w:bottom w:val="single" w:sz="8" w:space="0" w:color="434343"/>
              <w:right w:val="single" w:sz="8" w:space="0" w:color="434343"/>
            </w:tcBorders>
            <w:shd w:val="clear" w:color="auto" w:fill="auto"/>
            <w:hideMark/>
          </w:tcPr>
          <w:p w14:paraId="6F85028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2. Porcentaje de cobertura de la red de agua potable</w:t>
            </w:r>
          </w:p>
        </w:tc>
        <w:tc>
          <w:tcPr>
            <w:tcW w:w="426" w:type="pct"/>
            <w:tcBorders>
              <w:top w:val="nil"/>
              <w:left w:val="nil"/>
              <w:bottom w:val="single" w:sz="8" w:space="0" w:color="434343"/>
              <w:right w:val="single" w:sz="8" w:space="0" w:color="434343"/>
            </w:tcBorders>
            <w:shd w:val="clear" w:color="auto" w:fill="auto"/>
            <w:hideMark/>
          </w:tcPr>
          <w:p w14:paraId="5CBEF40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Accesibilidad al agua para todos</w:t>
            </w:r>
          </w:p>
        </w:tc>
        <w:tc>
          <w:tcPr>
            <w:tcW w:w="1024" w:type="pct"/>
            <w:tcBorders>
              <w:top w:val="nil"/>
              <w:left w:val="nil"/>
              <w:bottom w:val="single" w:sz="8" w:space="0" w:color="434343"/>
              <w:right w:val="single" w:sz="8" w:space="0" w:color="434343"/>
            </w:tcBorders>
            <w:shd w:val="clear" w:color="auto" w:fill="auto"/>
            <w:hideMark/>
          </w:tcPr>
          <w:p w14:paraId="24A545B4" w14:textId="77777777" w:rsidR="00794EB9" w:rsidRPr="00794EB9" w:rsidRDefault="00794EB9" w:rsidP="00C307FB">
            <w:pPr>
              <w:spacing w:after="240"/>
              <w:rPr>
                <w:rFonts w:ascii="Arial" w:hAnsi="Arial" w:cs="Arial"/>
                <w:sz w:val="22"/>
                <w:szCs w:val="22"/>
                <w:lang w:eastAsia="es-MX"/>
              </w:rPr>
            </w:pPr>
            <w:r w:rsidRPr="00794EB9">
              <w:rPr>
                <w:rFonts w:ascii="Arial" w:hAnsi="Arial" w:cs="Arial"/>
                <w:sz w:val="22"/>
                <w:szCs w:val="22"/>
                <w:lang w:eastAsia="es-MX"/>
              </w:rPr>
              <w:t>Impulsar e implementar el Plan Maestro de Desarrollo Hidráulico Municipal a través de los ejes estratégicos de agua potable y alcantarillado, tratamiento, reúso pluvial e hidrometeorológica</w:t>
            </w:r>
            <w:r w:rsidRPr="00794EB9">
              <w:rPr>
                <w:rFonts w:ascii="Arial" w:hAnsi="Arial" w:cs="Arial"/>
                <w:sz w:val="22"/>
                <w:szCs w:val="22"/>
                <w:lang w:eastAsia="es-MX"/>
              </w:rPr>
              <w:br/>
            </w:r>
            <w:r w:rsidRPr="00794EB9">
              <w:rPr>
                <w:rFonts w:ascii="Arial" w:hAnsi="Arial" w:cs="Arial"/>
                <w:sz w:val="22"/>
                <w:szCs w:val="22"/>
                <w:lang w:eastAsia="es-MX"/>
              </w:rPr>
              <w:lastRenderedPageBreak/>
              <w:br/>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736FDFF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VS. 1.5 Agua para todos</w:t>
            </w:r>
          </w:p>
        </w:tc>
        <w:tc>
          <w:tcPr>
            <w:tcW w:w="1191" w:type="pct"/>
            <w:tcBorders>
              <w:top w:val="nil"/>
              <w:left w:val="nil"/>
              <w:bottom w:val="single" w:sz="8" w:space="0" w:color="434343"/>
              <w:right w:val="single" w:sz="8" w:space="0" w:color="434343"/>
            </w:tcBorders>
            <w:shd w:val="clear" w:color="auto" w:fill="auto"/>
            <w:hideMark/>
          </w:tcPr>
          <w:p w14:paraId="25EFA47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1.5.1 Rehabilitar la red de agua potable en zonas prioritarias.</w:t>
            </w:r>
          </w:p>
        </w:tc>
      </w:tr>
      <w:tr w:rsidR="00794EB9" w:rsidRPr="00794EB9" w14:paraId="7924DC6D"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650CD1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Equidad social</w:t>
            </w:r>
          </w:p>
        </w:tc>
        <w:tc>
          <w:tcPr>
            <w:tcW w:w="610" w:type="pct"/>
            <w:tcBorders>
              <w:top w:val="nil"/>
              <w:left w:val="nil"/>
              <w:bottom w:val="single" w:sz="8" w:space="0" w:color="434343"/>
              <w:right w:val="single" w:sz="8" w:space="0" w:color="434343"/>
            </w:tcBorders>
            <w:shd w:val="clear" w:color="auto" w:fill="auto"/>
            <w:hideMark/>
          </w:tcPr>
          <w:p w14:paraId="04D7D5B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687" w:type="pct"/>
            <w:tcBorders>
              <w:top w:val="nil"/>
              <w:left w:val="nil"/>
              <w:bottom w:val="single" w:sz="8" w:space="0" w:color="434343"/>
              <w:right w:val="single" w:sz="8" w:space="0" w:color="434343"/>
            </w:tcBorders>
            <w:shd w:val="clear" w:color="auto" w:fill="auto"/>
            <w:hideMark/>
          </w:tcPr>
          <w:p w14:paraId="672EFE2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50. Número de localidades rurales con Índice de Rezago Social alto  y  muy alto</w:t>
            </w:r>
          </w:p>
        </w:tc>
        <w:tc>
          <w:tcPr>
            <w:tcW w:w="426" w:type="pct"/>
            <w:tcBorders>
              <w:top w:val="nil"/>
              <w:left w:val="nil"/>
              <w:bottom w:val="single" w:sz="8" w:space="0" w:color="434343"/>
              <w:right w:val="single" w:sz="8" w:space="0" w:color="434343"/>
            </w:tcBorders>
            <w:shd w:val="clear" w:color="auto" w:fill="auto"/>
            <w:hideMark/>
          </w:tcPr>
          <w:p w14:paraId="10D9509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Atención a la población urbana en alguna situación de pobreza</w:t>
            </w:r>
          </w:p>
        </w:tc>
        <w:tc>
          <w:tcPr>
            <w:tcW w:w="1024" w:type="pct"/>
            <w:tcBorders>
              <w:top w:val="nil"/>
              <w:left w:val="nil"/>
              <w:bottom w:val="single" w:sz="8" w:space="0" w:color="434343"/>
              <w:right w:val="single" w:sz="8" w:space="0" w:color="434343"/>
            </w:tcBorders>
            <w:shd w:val="clear" w:color="auto" w:fill="auto"/>
            <w:hideMark/>
          </w:tcPr>
          <w:p w14:paraId="7BF4DD8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Dotar de servicios básicos de agua potable, drenaje sanitario y electrificación para las familias en los polígonos de desarrollo</w:t>
            </w:r>
          </w:p>
        </w:tc>
        <w:tc>
          <w:tcPr>
            <w:tcW w:w="686" w:type="pct"/>
            <w:vMerge/>
            <w:tcBorders>
              <w:top w:val="nil"/>
              <w:left w:val="single" w:sz="8" w:space="0" w:color="434343"/>
              <w:bottom w:val="single" w:sz="8" w:space="0" w:color="434343"/>
              <w:right w:val="single" w:sz="8" w:space="0" w:color="434343"/>
            </w:tcBorders>
            <w:vAlign w:val="center"/>
            <w:hideMark/>
          </w:tcPr>
          <w:p w14:paraId="7BE3AB34"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82BF36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1.5.2 Mejorar la calidad del agua en las comunidades rurales en condiciones críticas con la colaboración de los comités de agua locales y realizando acciones de mantenimiento preventivo y correctivo, así como equipamiento de pozos de agua para consumo humano en zona rural.</w:t>
            </w:r>
          </w:p>
        </w:tc>
      </w:tr>
      <w:tr w:rsidR="00794EB9" w:rsidRPr="00794EB9" w14:paraId="04935375" w14:textId="77777777" w:rsidTr="00C307FB">
        <w:trPr>
          <w:trHeight w:val="57"/>
        </w:trPr>
        <w:tc>
          <w:tcPr>
            <w:tcW w:w="376" w:type="pct"/>
            <w:vMerge w:val="restart"/>
            <w:tcBorders>
              <w:top w:val="nil"/>
              <w:left w:val="single" w:sz="8" w:space="0" w:color="434343"/>
              <w:right w:val="single" w:sz="8" w:space="0" w:color="434343"/>
            </w:tcBorders>
            <w:shd w:val="clear" w:color="auto" w:fill="auto"/>
            <w:hideMark/>
          </w:tcPr>
          <w:p w14:paraId="16293C0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Acceso y sostenibilidad del agua, con una sociedad sensible para su uso y cuidado</w:t>
            </w:r>
          </w:p>
        </w:tc>
        <w:tc>
          <w:tcPr>
            <w:tcW w:w="610" w:type="pct"/>
            <w:vMerge w:val="restart"/>
            <w:tcBorders>
              <w:top w:val="nil"/>
              <w:left w:val="single" w:sz="8" w:space="0" w:color="434343"/>
              <w:right w:val="single" w:sz="8" w:space="0" w:color="434343"/>
            </w:tcBorders>
            <w:shd w:val="clear" w:color="auto" w:fill="auto"/>
            <w:hideMark/>
          </w:tcPr>
          <w:p w14:paraId="46F0D14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Garantizar el acceso eficiente al agua, asequible en cantidad y calidad, requerida para los sectores doméstico, industrial, comercial, servicios y agrícola</w:t>
            </w:r>
          </w:p>
        </w:tc>
        <w:tc>
          <w:tcPr>
            <w:tcW w:w="687" w:type="pct"/>
            <w:tcBorders>
              <w:top w:val="nil"/>
              <w:left w:val="nil"/>
              <w:bottom w:val="single" w:sz="8" w:space="0" w:color="434343"/>
              <w:right w:val="single" w:sz="8" w:space="0" w:color="434343"/>
            </w:tcBorders>
            <w:shd w:val="clear" w:color="auto" w:fill="auto"/>
            <w:hideMark/>
          </w:tcPr>
          <w:p w14:paraId="1F9875F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4. Volumen de aguas residuales tratadas anualmente</w:t>
            </w:r>
            <w:r w:rsidRPr="00794EB9">
              <w:rPr>
                <w:rFonts w:ascii="Arial" w:hAnsi="Arial" w:cs="Arial"/>
                <w:sz w:val="22"/>
                <w:szCs w:val="22"/>
                <w:lang w:eastAsia="es-MX"/>
              </w:rPr>
              <w:br/>
              <w:t>I 5. Volumen de aguas tratadas reutilizadas</w:t>
            </w:r>
          </w:p>
        </w:tc>
        <w:tc>
          <w:tcPr>
            <w:tcW w:w="426" w:type="pct"/>
            <w:tcBorders>
              <w:top w:val="nil"/>
              <w:left w:val="nil"/>
              <w:bottom w:val="single" w:sz="8" w:space="0" w:color="434343"/>
              <w:right w:val="single" w:sz="8" w:space="0" w:color="434343"/>
            </w:tcBorders>
            <w:shd w:val="clear" w:color="auto" w:fill="auto"/>
            <w:hideMark/>
          </w:tcPr>
          <w:p w14:paraId="36F360C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Corresponsabilidad en el aseguramiento del recurso</w:t>
            </w:r>
          </w:p>
        </w:tc>
        <w:tc>
          <w:tcPr>
            <w:tcW w:w="1024" w:type="pct"/>
            <w:tcBorders>
              <w:top w:val="nil"/>
              <w:left w:val="nil"/>
              <w:bottom w:val="single" w:sz="8" w:space="0" w:color="434343"/>
              <w:right w:val="single" w:sz="8" w:space="0" w:color="434343"/>
            </w:tcBorders>
            <w:shd w:val="clear" w:color="auto" w:fill="auto"/>
            <w:hideMark/>
          </w:tcPr>
          <w:p w14:paraId="31D45B0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Fomentar y promover el tratamiento y reutilización de agua en los actuales y futuros fraccionamientos de la ciudad</w:t>
            </w:r>
          </w:p>
        </w:tc>
        <w:tc>
          <w:tcPr>
            <w:tcW w:w="686" w:type="pct"/>
            <w:vMerge/>
            <w:tcBorders>
              <w:top w:val="nil"/>
              <w:left w:val="single" w:sz="8" w:space="0" w:color="434343"/>
              <w:bottom w:val="single" w:sz="8" w:space="0" w:color="434343"/>
              <w:right w:val="single" w:sz="8" w:space="0" w:color="434343"/>
            </w:tcBorders>
            <w:vAlign w:val="center"/>
            <w:hideMark/>
          </w:tcPr>
          <w:p w14:paraId="3AB5FABC"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260BF2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1.5.3 Ampliar la red de Línea Morada para dar servicio con agua de reúso a las zonas urbanas, industrial y agrícola.</w:t>
            </w:r>
          </w:p>
        </w:tc>
      </w:tr>
      <w:tr w:rsidR="00794EB9" w:rsidRPr="00794EB9" w14:paraId="5E5D94A3" w14:textId="77777777" w:rsidTr="00C307FB">
        <w:trPr>
          <w:trHeight w:val="57"/>
        </w:trPr>
        <w:tc>
          <w:tcPr>
            <w:tcW w:w="376" w:type="pct"/>
            <w:vMerge/>
            <w:tcBorders>
              <w:left w:val="single" w:sz="8" w:space="0" w:color="434343"/>
              <w:bottom w:val="single" w:sz="8" w:space="0" w:color="434343"/>
              <w:right w:val="single" w:sz="8" w:space="0" w:color="434343"/>
            </w:tcBorders>
            <w:shd w:val="clear" w:color="auto" w:fill="auto"/>
            <w:vAlign w:val="center"/>
            <w:hideMark/>
          </w:tcPr>
          <w:p w14:paraId="22F559D7"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shd w:val="clear" w:color="auto" w:fill="auto"/>
            <w:vAlign w:val="center"/>
            <w:hideMark/>
          </w:tcPr>
          <w:p w14:paraId="398458A2" w14:textId="77777777" w:rsidR="00794EB9" w:rsidRPr="00794EB9" w:rsidRDefault="00794EB9" w:rsidP="00C307FB">
            <w:pPr>
              <w:rPr>
                <w:rFonts w:ascii="Arial" w:hAnsi="Arial" w:cs="Arial"/>
                <w:sz w:val="22"/>
                <w:szCs w:val="22"/>
                <w:lang w:eastAsia="es-MX"/>
              </w:rPr>
            </w:pPr>
          </w:p>
        </w:tc>
        <w:tc>
          <w:tcPr>
            <w:tcW w:w="687" w:type="pct"/>
            <w:tcBorders>
              <w:top w:val="nil"/>
              <w:left w:val="single" w:sz="8" w:space="0" w:color="434343"/>
              <w:bottom w:val="single" w:sz="8" w:space="0" w:color="434343"/>
              <w:right w:val="single" w:sz="8" w:space="0" w:color="434343"/>
            </w:tcBorders>
            <w:shd w:val="clear" w:color="auto" w:fill="auto"/>
            <w:hideMark/>
          </w:tcPr>
          <w:p w14:paraId="25491C4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2. Porcentaje de cobertura de la red de agua potable</w:t>
            </w:r>
            <w:r w:rsidRPr="00794EB9">
              <w:rPr>
                <w:rFonts w:ascii="Arial" w:hAnsi="Arial" w:cs="Arial"/>
                <w:sz w:val="22"/>
                <w:szCs w:val="22"/>
                <w:lang w:eastAsia="es-MX"/>
              </w:rPr>
              <w:br/>
            </w:r>
            <w:r w:rsidRPr="00794EB9">
              <w:rPr>
                <w:rFonts w:ascii="Arial" w:hAnsi="Arial" w:cs="Arial"/>
                <w:sz w:val="22"/>
                <w:szCs w:val="22"/>
                <w:lang w:eastAsia="es-MX"/>
              </w:rPr>
              <w:lastRenderedPageBreak/>
              <w:t>I 3. Porcentaje de cobertura de la red de alcantarillado</w:t>
            </w:r>
          </w:p>
        </w:tc>
        <w:tc>
          <w:tcPr>
            <w:tcW w:w="426" w:type="pct"/>
            <w:tcBorders>
              <w:top w:val="nil"/>
              <w:left w:val="single" w:sz="8" w:space="0" w:color="434343"/>
              <w:bottom w:val="single" w:sz="8" w:space="0" w:color="434343"/>
              <w:right w:val="single" w:sz="8" w:space="0" w:color="434343"/>
            </w:tcBorders>
            <w:shd w:val="clear" w:color="auto" w:fill="auto"/>
            <w:hideMark/>
          </w:tcPr>
          <w:p w14:paraId="00CF09C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Accesibilidad al agua para todos</w:t>
            </w:r>
          </w:p>
        </w:tc>
        <w:tc>
          <w:tcPr>
            <w:tcW w:w="1024" w:type="pct"/>
            <w:tcBorders>
              <w:top w:val="nil"/>
              <w:left w:val="nil"/>
              <w:bottom w:val="single" w:sz="8" w:space="0" w:color="434343"/>
              <w:right w:val="single" w:sz="8" w:space="0" w:color="434343"/>
            </w:tcBorders>
            <w:shd w:val="clear" w:color="auto" w:fill="auto"/>
            <w:hideMark/>
          </w:tcPr>
          <w:p w14:paraId="21B6779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Explorar nuevas fuentes alternas como la infiltración, captación de agua de lluvia e intercambio de </w:t>
            </w:r>
            <w:r w:rsidRPr="00794EB9">
              <w:rPr>
                <w:rFonts w:ascii="Arial" w:hAnsi="Arial" w:cs="Arial"/>
                <w:sz w:val="22"/>
                <w:szCs w:val="22"/>
                <w:lang w:eastAsia="es-MX"/>
              </w:rPr>
              <w:lastRenderedPageBreak/>
              <w:t>agua tratada y agrícola, para asegurar el abastecimiento de agua potable y el aprovechamiento sostenible del recurso hídrico</w:t>
            </w:r>
          </w:p>
        </w:tc>
        <w:tc>
          <w:tcPr>
            <w:tcW w:w="686" w:type="pct"/>
            <w:vMerge/>
            <w:tcBorders>
              <w:top w:val="nil"/>
              <w:left w:val="single" w:sz="8" w:space="0" w:color="434343"/>
              <w:bottom w:val="single" w:sz="8" w:space="0" w:color="434343"/>
              <w:right w:val="single" w:sz="8" w:space="0" w:color="434343"/>
            </w:tcBorders>
            <w:vAlign w:val="center"/>
            <w:hideMark/>
          </w:tcPr>
          <w:p w14:paraId="701708CA"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EB91B6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1.5.4 Dar atención al Drenaje Pluvial en zonas críticas.</w:t>
            </w:r>
          </w:p>
        </w:tc>
      </w:tr>
      <w:tr w:rsidR="00794EB9" w:rsidRPr="00794EB9" w14:paraId="022AE27E" w14:textId="77777777" w:rsidTr="00C307FB">
        <w:trPr>
          <w:trHeight w:val="504"/>
        </w:trPr>
        <w:tc>
          <w:tcPr>
            <w:tcW w:w="376" w:type="pct"/>
            <w:tcBorders>
              <w:top w:val="nil"/>
              <w:left w:val="single" w:sz="8" w:space="0" w:color="434343"/>
              <w:bottom w:val="single" w:sz="8" w:space="0" w:color="434343"/>
              <w:right w:val="single" w:sz="8" w:space="0" w:color="434343"/>
            </w:tcBorders>
            <w:shd w:val="clear" w:color="auto" w:fill="auto"/>
            <w:hideMark/>
          </w:tcPr>
          <w:p w14:paraId="471C16F8" w14:textId="77777777" w:rsidR="00794EB9" w:rsidRPr="00794EB9" w:rsidRDefault="00794EB9" w:rsidP="00C307FB">
            <w:pPr>
              <w:rPr>
                <w:rFonts w:ascii="Arial" w:hAnsi="Arial" w:cs="Arial"/>
                <w:sz w:val="22"/>
                <w:szCs w:val="22"/>
                <w:lang w:eastAsia="es-MX"/>
              </w:rPr>
            </w:pPr>
            <w:r w:rsidRPr="00794EB9">
              <w:rPr>
                <w:rFonts w:ascii="Arial" w:eastAsia="Arial Narrow" w:hAnsi="Arial" w:cs="Arial"/>
                <w:sz w:val="22"/>
                <w:szCs w:val="22"/>
              </w:rPr>
              <w:t>Sustentabilidad ante el cambio climático</w:t>
            </w:r>
          </w:p>
        </w:tc>
        <w:tc>
          <w:tcPr>
            <w:tcW w:w="610" w:type="pct"/>
            <w:tcBorders>
              <w:top w:val="nil"/>
              <w:left w:val="single" w:sz="8" w:space="0" w:color="434343"/>
              <w:bottom w:val="single" w:sz="8" w:space="0" w:color="434343"/>
              <w:right w:val="single" w:sz="8" w:space="0" w:color="434343"/>
            </w:tcBorders>
            <w:shd w:val="clear" w:color="auto" w:fill="auto"/>
            <w:hideMark/>
          </w:tcPr>
          <w:p w14:paraId="1BA9F533" w14:textId="77777777" w:rsidR="00794EB9" w:rsidRPr="00794EB9" w:rsidRDefault="00794EB9" w:rsidP="00C307FB">
            <w:pPr>
              <w:widowControl w:val="0"/>
              <w:pBdr>
                <w:top w:val="nil"/>
                <w:left w:val="nil"/>
                <w:bottom w:val="nil"/>
                <w:right w:val="nil"/>
                <w:between w:val="nil"/>
              </w:pBdr>
              <w:ind w:hanging="2"/>
              <w:rPr>
                <w:rFonts w:ascii="Arial" w:eastAsia="Arial Narrow" w:hAnsi="Arial" w:cs="Arial"/>
                <w:sz w:val="22"/>
                <w:szCs w:val="22"/>
              </w:rPr>
            </w:pPr>
            <w:r w:rsidRPr="00794EB9">
              <w:rPr>
                <w:rFonts w:ascii="Arial" w:eastAsia="Arial Narrow" w:hAnsi="Arial" w:cs="Arial"/>
                <w:sz w:val="22"/>
                <w:szCs w:val="22"/>
              </w:rPr>
              <w:t>Aprovechar de manera racional y sustentable los recursos naturales a favor de la mitigación y</w:t>
            </w:r>
          </w:p>
          <w:p w14:paraId="6230557B" w14:textId="77777777" w:rsidR="00794EB9" w:rsidRPr="00794EB9" w:rsidRDefault="00794EB9" w:rsidP="00C307FB">
            <w:pPr>
              <w:rPr>
                <w:rFonts w:ascii="Arial" w:hAnsi="Arial" w:cs="Arial"/>
                <w:sz w:val="22"/>
                <w:szCs w:val="22"/>
                <w:lang w:eastAsia="es-MX"/>
              </w:rPr>
            </w:pPr>
            <w:r w:rsidRPr="00794EB9">
              <w:rPr>
                <w:rFonts w:ascii="Arial" w:eastAsia="Arial Narrow" w:hAnsi="Arial" w:cs="Arial"/>
                <w:sz w:val="22"/>
                <w:szCs w:val="22"/>
              </w:rPr>
              <w:t>adaptación ante el cambio climático</w:t>
            </w:r>
          </w:p>
        </w:tc>
        <w:tc>
          <w:tcPr>
            <w:tcW w:w="687" w:type="pct"/>
            <w:tcBorders>
              <w:top w:val="nil"/>
              <w:left w:val="single" w:sz="8" w:space="0" w:color="434343"/>
              <w:bottom w:val="single" w:sz="8" w:space="0" w:color="434343"/>
              <w:right w:val="single" w:sz="8" w:space="0" w:color="434343"/>
            </w:tcBorders>
            <w:shd w:val="clear" w:color="auto" w:fill="auto"/>
            <w:hideMark/>
          </w:tcPr>
          <w:p w14:paraId="734C331C" w14:textId="77777777" w:rsidR="00794EB9" w:rsidRPr="00794EB9" w:rsidRDefault="00794EB9" w:rsidP="00C307FB">
            <w:pPr>
              <w:rPr>
                <w:rFonts w:ascii="Arial" w:hAnsi="Arial" w:cs="Arial"/>
                <w:sz w:val="22"/>
                <w:szCs w:val="22"/>
                <w:lang w:eastAsia="es-MX"/>
              </w:rPr>
            </w:pPr>
            <w:r w:rsidRPr="00794EB9">
              <w:rPr>
                <w:rFonts w:ascii="Arial" w:eastAsia="Arial Narrow" w:hAnsi="Arial" w:cs="Arial"/>
                <w:sz w:val="22"/>
                <w:szCs w:val="22"/>
              </w:rPr>
              <w:t>I 11.</w:t>
            </w:r>
            <w:r w:rsidRPr="00794EB9">
              <w:rPr>
                <w:rFonts w:ascii="Arial" w:hAnsi="Arial" w:cs="Arial"/>
                <w:sz w:val="22"/>
                <w:szCs w:val="22"/>
              </w:rPr>
              <w:t xml:space="preserve"> </w:t>
            </w:r>
            <w:r w:rsidRPr="00794EB9">
              <w:rPr>
                <w:rFonts w:ascii="Arial" w:eastAsia="Arial Narrow" w:hAnsi="Arial" w:cs="Arial"/>
                <w:sz w:val="22"/>
                <w:szCs w:val="22"/>
              </w:rPr>
              <w:t>Número de hectáreas de recuperación y conservación de suelo en el municipio</w:t>
            </w:r>
          </w:p>
        </w:tc>
        <w:tc>
          <w:tcPr>
            <w:tcW w:w="426" w:type="pct"/>
            <w:tcBorders>
              <w:top w:val="nil"/>
              <w:left w:val="single" w:sz="8" w:space="0" w:color="434343"/>
              <w:bottom w:val="single" w:sz="8" w:space="0" w:color="434343"/>
              <w:right w:val="single" w:sz="8" w:space="0" w:color="434343"/>
            </w:tcBorders>
            <w:shd w:val="clear" w:color="auto" w:fill="auto"/>
            <w:hideMark/>
          </w:tcPr>
          <w:p w14:paraId="4D51BACC" w14:textId="77777777" w:rsidR="00794EB9" w:rsidRPr="00794EB9" w:rsidRDefault="00794EB9" w:rsidP="00C307FB">
            <w:pPr>
              <w:rPr>
                <w:rFonts w:ascii="Arial" w:hAnsi="Arial" w:cs="Arial"/>
                <w:sz w:val="22"/>
                <w:szCs w:val="22"/>
                <w:lang w:eastAsia="es-MX"/>
              </w:rPr>
            </w:pPr>
            <w:r w:rsidRPr="00794EB9">
              <w:rPr>
                <w:rFonts w:ascii="Arial" w:eastAsia="Arial Narrow" w:hAnsi="Arial" w:cs="Arial"/>
                <w:sz w:val="22"/>
                <w:szCs w:val="22"/>
              </w:rPr>
              <w:t>Prevención de riesgos por inundaciones</w:t>
            </w:r>
          </w:p>
        </w:tc>
        <w:tc>
          <w:tcPr>
            <w:tcW w:w="1024" w:type="pct"/>
            <w:tcBorders>
              <w:top w:val="nil"/>
              <w:left w:val="nil"/>
              <w:bottom w:val="single" w:sz="8" w:space="0" w:color="434343"/>
              <w:right w:val="single" w:sz="8" w:space="0" w:color="434343"/>
            </w:tcBorders>
            <w:shd w:val="clear" w:color="auto" w:fill="auto"/>
            <w:hideMark/>
          </w:tcPr>
          <w:p w14:paraId="5378073D" w14:textId="77777777" w:rsidR="00794EB9" w:rsidRPr="00794EB9" w:rsidRDefault="00794EB9" w:rsidP="00C307FB">
            <w:pPr>
              <w:spacing w:after="240"/>
              <w:rPr>
                <w:rFonts w:ascii="Arial" w:hAnsi="Arial" w:cs="Arial"/>
                <w:sz w:val="22"/>
                <w:szCs w:val="22"/>
                <w:lang w:eastAsia="es-MX"/>
              </w:rPr>
            </w:pPr>
            <w:r w:rsidRPr="00794EB9">
              <w:rPr>
                <w:rFonts w:ascii="Arial" w:eastAsia="Arial Narrow" w:hAnsi="Arial" w:cs="Arial"/>
                <w:sz w:val="22"/>
                <w:szCs w:val="22"/>
              </w:rPr>
              <w:t>Implementar acciones de prevención de contingencias hidráulicas con la construcción y mantenimiento de infraestructura hidráulica y pluvial de control en zonas federales y de amortiguamiento de arroyos</w:t>
            </w:r>
          </w:p>
        </w:tc>
        <w:tc>
          <w:tcPr>
            <w:tcW w:w="686" w:type="pct"/>
            <w:vMerge/>
            <w:tcBorders>
              <w:top w:val="nil"/>
              <w:left w:val="single" w:sz="8" w:space="0" w:color="434343"/>
              <w:bottom w:val="single" w:sz="8" w:space="0" w:color="434343"/>
              <w:right w:val="single" w:sz="8" w:space="0" w:color="434343"/>
            </w:tcBorders>
            <w:vAlign w:val="center"/>
            <w:hideMark/>
          </w:tcPr>
          <w:p w14:paraId="3EBA94EA"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6EFA21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1.5.5 Implementar un programa para la prevención de inundaciones.</w:t>
            </w:r>
          </w:p>
        </w:tc>
      </w:tr>
      <w:tr w:rsidR="00794EB9" w:rsidRPr="00794EB9" w14:paraId="5771465C" w14:textId="77777777" w:rsidTr="00C307FB">
        <w:trPr>
          <w:trHeight w:val="57"/>
        </w:trPr>
        <w:tc>
          <w:tcPr>
            <w:tcW w:w="376" w:type="pct"/>
            <w:vMerge w:val="restart"/>
            <w:tcBorders>
              <w:top w:val="nil"/>
              <w:left w:val="single" w:sz="8" w:space="0" w:color="434343"/>
              <w:right w:val="single" w:sz="8" w:space="0" w:color="434343"/>
            </w:tcBorders>
            <w:shd w:val="clear" w:color="auto" w:fill="auto"/>
          </w:tcPr>
          <w:p w14:paraId="423FB8D7" w14:textId="77777777" w:rsidR="00794EB9" w:rsidRPr="00794EB9" w:rsidRDefault="00794EB9" w:rsidP="00C307FB">
            <w:pPr>
              <w:rPr>
                <w:rFonts w:ascii="Arial" w:hAnsi="Arial" w:cs="Arial"/>
                <w:sz w:val="22"/>
                <w:szCs w:val="22"/>
                <w:lang w:eastAsia="es-MX"/>
              </w:rPr>
            </w:pPr>
            <w:r w:rsidRPr="00794EB9">
              <w:rPr>
                <w:rFonts w:ascii="Arial" w:eastAsia="Arial Narrow" w:hAnsi="Arial" w:cs="Arial"/>
                <w:sz w:val="22"/>
                <w:szCs w:val="22"/>
              </w:rPr>
              <w:t xml:space="preserve">Acceso y sostenibilidad del agua, con una sociedad sensible para su uso y </w:t>
            </w:r>
            <w:r w:rsidRPr="00794EB9">
              <w:rPr>
                <w:rFonts w:ascii="Arial" w:eastAsia="Arial Narrow" w:hAnsi="Arial" w:cs="Arial"/>
                <w:sz w:val="22"/>
                <w:szCs w:val="22"/>
              </w:rPr>
              <w:lastRenderedPageBreak/>
              <w:t>cuidado</w:t>
            </w:r>
          </w:p>
        </w:tc>
        <w:tc>
          <w:tcPr>
            <w:tcW w:w="610" w:type="pct"/>
            <w:vMerge w:val="restart"/>
            <w:tcBorders>
              <w:top w:val="nil"/>
              <w:left w:val="single" w:sz="8" w:space="0" w:color="434343"/>
              <w:right w:val="single" w:sz="8" w:space="0" w:color="434343"/>
            </w:tcBorders>
            <w:shd w:val="clear" w:color="auto" w:fill="auto"/>
            <w:hideMark/>
          </w:tcPr>
          <w:p w14:paraId="21A2EB5F" w14:textId="77777777" w:rsidR="00794EB9" w:rsidRPr="00794EB9" w:rsidRDefault="00794EB9" w:rsidP="00C307FB">
            <w:pPr>
              <w:rPr>
                <w:rFonts w:ascii="Arial" w:hAnsi="Arial" w:cs="Arial"/>
                <w:sz w:val="22"/>
                <w:szCs w:val="22"/>
                <w:lang w:eastAsia="es-MX"/>
              </w:rPr>
            </w:pPr>
            <w:r w:rsidRPr="00794EB9">
              <w:rPr>
                <w:rFonts w:ascii="Arial" w:eastAsia="Arial Narrow" w:hAnsi="Arial" w:cs="Arial"/>
                <w:sz w:val="22"/>
                <w:szCs w:val="22"/>
              </w:rPr>
              <w:lastRenderedPageBreak/>
              <w:t xml:space="preserve">Garantizar el acceso eficiente al agua, asequible en cantidad y calidad, requerida para los sectores doméstico, industrial, comercial, </w:t>
            </w:r>
            <w:r w:rsidRPr="00794EB9">
              <w:rPr>
                <w:rFonts w:ascii="Arial" w:eastAsia="Arial Narrow" w:hAnsi="Arial" w:cs="Arial"/>
                <w:sz w:val="22"/>
                <w:szCs w:val="22"/>
              </w:rPr>
              <w:lastRenderedPageBreak/>
              <w:t>servicios y agrícola</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022C6F23" w14:textId="77777777" w:rsidR="00794EB9" w:rsidRPr="00794EB9" w:rsidRDefault="00794EB9" w:rsidP="00C307FB">
            <w:pPr>
              <w:rPr>
                <w:rFonts w:ascii="Arial" w:hAnsi="Arial" w:cs="Arial"/>
                <w:sz w:val="22"/>
                <w:szCs w:val="22"/>
                <w:lang w:eastAsia="es-MX"/>
              </w:rPr>
            </w:pPr>
            <w:r w:rsidRPr="00794EB9">
              <w:rPr>
                <w:rFonts w:ascii="Arial" w:eastAsia="Arial Narrow" w:hAnsi="Arial" w:cs="Arial"/>
                <w:sz w:val="22"/>
                <w:szCs w:val="22"/>
              </w:rPr>
              <w:lastRenderedPageBreak/>
              <w:t>I 1. Volumen de extracción de agua subterránea y superficial</w:t>
            </w:r>
            <w:r w:rsidRPr="00794EB9">
              <w:rPr>
                <w:rFonts w:ascii="Arial" w:eastAsia="Arial Narrow" w:hAnsi="Arial" w:cs="Arial"/>
                <w:sz w:val="22"/>
                <w:szCs w:val="22"/>
              </w:rPr>
              <w:br/>
              <w:t>I 2. Porcentaje de cobertura de la red de agua potable</w:t>
            </w:r>
          </w:p>
        </w:tc>
        <w:tc>
          <w:tcPr>
            <w:tcW w:w="426" w:type="pct"/>
            <w:vMerge w:val="restart"/>
            <w:tcBorders>
              <w:top w:val="nil"/>
              <w:left w:val="single" w:sz="8" w:space="0" w:color="434343"/>
              <w:right w:val="single" w:sz="8" w:space="0" w:color="434343"/>
            </w:tcBorders>
            <w:shd w:val="clear" w:color="auto" w:fill="auto"/>
            <w:hideMark/>
          </w:tcPr>
          <w:p w14:paraId="7DB03A19" w14:textId="77777777" w:rsidR="00794EB9" w:rsidRPr="00794EB9" w:rsidRDefault="00794EB9" w:rsidP="00C307FB">
            <w:pPr>
              <w:rPr>
                <w:rFonts w:ascii="Arial" w:hAnsi="Arial" w:cs="Arial"/>
                <w:sz w:val="22"/>
                <w:szCs w:val="22"/>
                <w:lang w:eastAsia="es-MX"/>
              </w:rPr>
            </w:pPr>
            <w:r w:rsidRPr="00794EB9">
              <w:rPr>
                <w:rFonts w:ascii="Arial" w:eastAsia="Arial Narrow" w:hAnsi="Arial" w:cs="Arial"/>
                <w:sz w:val="22"/>
                <w:szCs w:val="22"/>
              </w:rPr>
              <w:t>Accesibilidad al agua para todos</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6CB1CD9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Explorar nuevas fuentes alternas como la infiltración, captación de agua de lluvia e intercambio de agua tratada y agrícola, para asegurar el abastecimiento de agua potable y el aprovechamiento sostenible del recurso hídrico</w:t>
            </w:r>
          </w:p>
        </w:tc>
        <w:tc>
          <w:tcPr>
            <w:tcW w:w="686" w:type="pct"/>
            <w:vMerge/>
            <w:tcBorders>
              <w:top w:val="nil"/>
              <w:left w:val="single" w:sz="8" w:space="0" w:color="434343"/>
              <w:bottom w:val="single" w:sz="8" w:space="0" w:color="434343"/>
              <w:right w:val="single" w:sz="8" w:space="0" w:color="434343"/>
            </w:tcBorders>
            <w:vAlign w:val="center"/>
            <w:hideMark/>
          </w:tcPr>
          <w:p w14:paraId="7C29EC9A"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F66D7C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1.5.6 Generar acciones para incrementar la disponibilidad de agua para todos aprovechando las fuentes disponibles y otras  alternativas.</w:t>
            </w:r>
          </w:p>
        </w:tc>
      </w:tr>
      <w:tr w:rsidR="00794EB9" w:rsidRPr="00794EB9" w14:paraId="5A1DE22F" w14:textId="77777777" w:rsidTr="00C307FB">
        <w:trPr>
          <w:trHeight w:val="57"/>
        </w:trPr>
        <w:tc>
          <w:tcPr>
            <w:tcW w:w="376" w:type="pct"/>
            <w:vMerge/>
            <w:tcBorders>
              <w:left w:val="single" w:sz="8" w:space="0" w:color="434343"/>
              <w:right w:val="single" w:sz="8" w:space="0" w:color="434343"/>
            </w:tcBorders>
            <w:shd w:val="clear" w:color="auto" w:fill="auto"/>
          </w:tcPr>
          <w:p w14:paraId="2FA51981"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shd w:val="clear" w:color="auto" w:fill="auto"/>
            <w:hideMark/>
          </w:tcPr>
          <w:p w14:paraId="6BD03AC9"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hideMark/>
          </w:tcPr>
          <w:p w14:paraId="2E6C1174" w14:textId="77777777" w:rsidR="00794EB9" w:rsidRPr="00794EB9" w:rsidRDefault="00794EB9" w:rsidP="00C307FB">
            <w:pPr>
              <w:rPr>
                <w:rFonts w:ascii="Arial" w:hAnsi="Arial" w:cs="Arial"/>
                <w:sz w:val="22"/>
                <w:szCs w:val="22"/>
                <w:lang w:eastAsia="es-MX"/>
              </w:rPr>
            </w:pPr>
          </w:p>
        </w:tc>
        <w:tc>
          <w:tcPr>
            <w:tcW w:w="426" w:type="pct"/>
            <w:vMerge/>
            <w:tcBorders>
              <w:left w:val="single" w:sz="8" w:space="0" w:color="434343"/>
              <w:right w:val="single" w:sz="8" w:space="0" w:color="434343"/>
            </w:tcBorders>
            <w:shd w:val="clear" w:color="auto" w:fill="auto"/>
            <w:hideMark/>
          </w:tcPr>
          <w:p w14:paraId="02E6604B"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5B08C5DB"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A9B4DA1"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2FE1FF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1.5.7 Otorgar subsidios para la adquisición de equipos para la eficiencia del riego agrícola</w:t>
            </w:r>
          </w:p>
        </w:tc>
      </w:tr>
      <w:tr w:rsidR="00794EB9" w:rsidRPr="00794EB9" w14:paraId="1848F5D6" w14:textId="77777777" w:rsidTr="00C307FB">
        <w:trPr>
          <w:trHeight w:val="57"/>
        </w:trPr>
        <w:tc>
          <w:tcPr>
            <w:tcW w:w="376" w:type="pct"/>
            <w:vMerge/>
            <w:tcBorders>
              <w:left w:val="single" w:sz="8" w:space="0" w:color="434343"/>
              <w:bottom w:val="single" w:sz="8" w:space="0" w:color="434343"/>
              <w:right w:val="single" w:sz="8" w:space="0" w:color="434343"/>
            </w:tcBorders>
            <w:shd w:val="clear" w:color="auto" w:fill="auto"/>
            <w:hideMark/>
          </w:tcPr>
          <w:p w14:paraId="477B0488"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shd w:val="clear" w:color="auto" w:fill="auto"/>
            <w:hideMark/>
          </w:tcPr>
          <w:p w14:paraId="5569BEFB"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hideMark/>
          </w:tcPr>
          <w:p w14:paraId="54D07A66" w14:textId="77777777" w:rsidR="00794EB9" w:rsidRPr="00794EB9" w:rsidRDefault="00794EB9" w:rsidP="00C307FB">
            <w:pPr>
              <w:rPr>
                <w:rFonts w:ascii="Arial" w:hAnsi="Arial" w:cs="Arial"/>
                <w:sz w:val="22"/>
                <w:szCs w:val="22"/>
                <w:lang w:eastAsia="es-MX"/>
              </w:rPr>
            </w:pPr>
          </w:p>
        </w:tc>
        <w:tc>
          <w:tcPr>
            <w:tcW w:w="426" w:type="pct"/>
            <w:vMerge/>
            <w:tcBorders>
              <w:left w:val="single" w:sz="8" w:space="0" w:color="434343"/>
              <w:bottom w:val="single" w:sz="8" w:space="0" w:color="434343"/>
              <w:right w:val="single" w:sz="8" w:space="0" w:color="434343"/>
            </w:tcBorders>
            <w:shd w:val="clear" w:color="auto" w:fill="auto"/>
            <w:hideMark/>
          </w:tcPr>
          <w:p w14:paraId="5CF48560"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BADAA6A"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06F659F"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C9A58A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1.5.8 Implementar </w:t>
            </w:r>
            <w:r w:rsidRPr="00794EB9">
              <w:rPr>
                <w:rFonts w:ascii="Arial" w:hAnsi="Arial" w:cs="Arial"/>
                <w:sz w:val="22"/>
                <w:szCs w:val="22"/>
                <w:lang w:eastAsia="es-MX"/>
              </w:rPr>
              <w:lastRenderedPageBreak/>
              <w:t>acciones y apoyos para la captación de agua de lluvia en comunidades rurales.</w:t>
            </w:r>
          </w:p>
        </w:tc>
      </w:tr>
      <w:tr w:rsidR="00794EB9" w:rsidRPr="00794EB9" w14:paraId="3EF06EEC"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20BD86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Equidad social</w:t>
            </w:r>
            <w:r w:rsidRPr="00794EB9" w:rsidDel="0036572A">
              <w:rPr>
                <w:rFonts w:ascii="Arial" w:hAnsi="Arial" w:cs="Arial"/>
                <w:sz w:val="22"/>
                <w:szCs w:val="22"/>
                <w:lang w:eastAsia="es-MX"/>
              </w:rPr>
              <w:t xml:space="preserve"> </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5B7AA49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687" w:type="pct"/>
            <w:vMerge w:val="restart"/>
            <w:tcBorders>
              <w:top w:val="nil"/>
              <w:left w:val="nil"/>
              <w:right w:val="single" w:sz="8" w:space="0" w:color="434343"/>
            </w:tcBorders>
            <w:shd w:val="clear" w:color="auto" w:fill="auto"/>
            <w:vAlign w:val="center"/>
            <w:hideMark/>
          </w:tcPr>
          <w:p w14:paraId="0B090A4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50. Número de localidades rurales con Índice de Rezago Social alto y muy alto</w:t>
            </w:r>
          </w:p>
          <w:p w14:paraId="74DBFBF7" w14:textId="77777777" w:rsidR="00794EB9" w:rsidRPr="00794EB9" w:rsidRDefault="00794EB9" w:rsidP="00C307FB">
            <w:pPr>
              <w:ind w:hanging="2"/>
              <w:rPr>
                <w:rFonts w:ascii="Arial" w:hAnsi="Arial" w:cs="Arial"/>
                <w:sz w:val="22"/>
                <w:szCs w:val="22"/>
                <w:lang w:eastAsia="es-MX"/>
              </w:rPr>
            </w:pPr>
            <w:r w:rsidRPr="00794EB9">
              <w:rPr>
                <w:rFonts w:ascii="Arial" w:hAnsi="Arial" w:cs="Arial"/>
                <w:sz w:val="22"/>
                <w:szCs w:val="22"/>
                <w:lang w:eastAsia="es-MX"/>
              </w:rPr>
              <w:t xml:space="preserve"> </w:t>
            </w:r>
          </w:p>
        </w:tc>
        <w:tc>
          <w:tcPr>
            <w:tcW w:w="426" w:type="pct"/>
            <w:tcBorders>
              <w:top w:val="nil"/>
              <w:left w:val="nil"/>
              <w:bottom w:val="single" w:sz="8" w:space="0" w:color="434343"/>
              <w:right w:val="single" w:sz="8" w:space="0" w:color="434343"/>
            </w:tcBorders>
            <w:shd w:val="clear" w:color="auto" w:fill="auto"/>
            <w:hideMark/>
          </w:tcPr>
          <w:p w14:paraId="365E191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Mejoramiento de las condiciones de vida de los habitantes de las comunidades rurales</w:t>
            </w:r>
          </w:p>
        </w:tc>
        <w:tc>
          <w:tcPr>
            <w:tcW w:w="1024" w:type="pct"/>
            <w:tcBorders>
              <w:top w:val="nil"/>
              <w:left w:val="nil"/>
              <w:bottom w:val="single" w:sz="8" w:space="0" w:color="434343"/>
              <w:right w:val="single" w:sz="8" w:space="0" w:color="434343"/>
            </w:tcBorders>
            <w:shd w:val="clear" w:color="auto" w:fill="auto"/>
            <w:hideMark/>
          </w:tcPr>
          <w:p w14:paraId="52F5194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Construir y ampliar las redes de agua potable, drenaje sanitario y saneamiento en comunidades rurales</w:t>
            </w:r>
          </w:p>
        </w:tc>
        <w:tc>
          <w:tcPr>
            <w:tcW w:w="686" w:type="pct"/>
            <w:vMerge/>
            <w:tcBorders>
              <w:top w:val="nil"/>
              <w:left w:val="single" w:sz="8" w:space="0" w:color="434343"/>
              <w:bottom w:val="single" w:sz="8" w:space="0" w:color="434343"/>
              <w:right w:val="single" w:sz="8" w:space="0" w:color="434343"/>
            </w:tcBorders>
            <w:vAlign w:val="center"/>
            <w:hideMark/>
          </w:tcPr>
          <w:p w14:paraId="1FD708FE"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780B01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1.5.9 Realizar obras de infraestructura hidráulica en zonas rurales.</w:t>
            </w:r>
          </w:p>
        </w:tc>
      </w:tr>
      <w:tr w:rsidR="00794EB9" w:rsidRPr="00794EB9" w14:paraId="20B1C126"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8DC2449"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2068C21D" w14:textId="77777777" w:rsidR="00794EB9" w:rsidRPr="00794EB9" w:rsidRDefault="00794EB9" w:rsidP="00C307FB">
            <w:pPr>
              <w:rPr>
                <w:rFonts w:ascii="Arial" w:hAnsi="Arial" w:cs="Arial"/>
                <w:sz w:val="22"/>
                <w:szCs w:val="22"/>
                <w:lang w:eastAsia="es-MX"/>
              </w:rPr>
            </w:pPr>
          </w:p>
        </w:tc>
        <w:tc>
          <w:tcPr>
            <w:tcW w:w="687" w:type="pct"/>
            <w:vMerge/>
            <w:tcBorders>
              <w:left w:val="nil"/>
              <w:bottom w:val="single" w:sz="8" w:space="0" w:color="434343"/>
              <w:right w:val="single" w:sz="8" w:space="0" w:color="434343"/>
            </w:tcBorders>
            <w:shd w:val="clear" w:color="auto" w:fill="auto"/>
            <w:hideMark/>
          </w:tcPr>
          <w:p w14:paraId="6DEB91D9" w14:textId="77777777" w:rsidR="00794EB9" w:rsidRPr="00794EB9" w:rsidRDefault="00794EB9" w:rsidP="00C307FB">
            <w:pPr>
              <w:rPr>
                <w:rFonts w:ascii="Arial" w:hAnsi="Arial" w:cs="Arial"/>
                <w:sz w:val="22"/>
                <w:szCs w:val="22"/>
                <w:lang w:eastAsia="es-MX"/>
              </w:rPr>
            </w:pPr>
          </w:p>
        </w:tc>
        <w:tc>
          <w:tcPr>
            <w:tcW w:w="426" w:type="pct"/>
            <w:tcBorders>
              <w:top w:val="nil"/>
              <w:left w:val="nil"/>
              <w:bottom w:val="single" w:sz="8" w:space="0" w:color="434343"/>
              <w:right w:val="single" w:sz="8" w:space="0" w:color="434343"/>
            </w:tcBorders>
            <w:shd w:val="clear" w:color="auto" w:fill="auto"/>
            <w:hideMark/>
          </w:tcPr>
          <w:p w14:paraId="01471E5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Atención a la población urbana en alguna situación de pobreza</w:t>
            </w:r>
          </w:p>
        </w:tc>
        <w:tc>
          <w:tcPr>
            <w:tcW w:w="1024" w:type="pct"/>
            <w:tcBorders>
              <w:top w:val="nil"/>
              <w:left w:val="nil"/>
              <w:bottom w:val="single" w:sz="8" w:space="0" w:color="434343"/>
              <w:right w:val="single" w:sz="8" w:space="0" w:color="434343"/>
            </w:tcBorders>
            <w:shd w:val="clear" w:color="auto" w:fill="auto"/>
            <w:hideMark/>
          </w:tcPr>
          <w:p w14:paraId="206356F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Dotar de servicios básicos de agua potable, drenaje sanitario y electrificación para las familias en los polígonos de desarrollo</w:t>
            </w:r>
          </w:p>
        </w:tc>
        <w:tc>
          <w:tcPr>
            <w:tcW w:w="686" w:type="pct"/>
            <w:vMerge/>
            <w:tcBorders>
              <w:top w:val="nil"/>
              <w:left w:val="single" w:sz="8" w:space="0" w:color="434343"/>
              <w:bottom w:val="single" w:sz="8" w:space="0" w:color="434343"/>
              <w:right w:val="single" w:sz="8" w:space="0" w:color="434343"/>
            </w:tcBorders>
            <w:vAlign w:val="center"/>
            <w:hideMark/>
          </w:tcPr>
          <w:p w14:paraId="1E0BB1B3"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1ACE3F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1.5.10. Incorporar a comunidades rurales prioritarias y con disponibilidad social al Sistema Operativo de SAPAL para la dotación del Servicio de Agua Potable y Drenaje Sanitario. </w:t>
            </w:r>
          </w:p>
        </w:tc>
      </w:tr>
      <w:tr w:rsidR="00794EB9" w:rsidRPr="00794EB9" w14:paraId="66CF2EB4"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E4BA51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Educación equitativa, pertinente y </w:t>
            </w:r>
            <w:r w:rsidRPr="00794EB9">
              <w:rPr>
                <w:rFonts w:ascii="Arial" w:hAnsi="Arial" w:cs="Arial"/>
                <w:sz w:val="22"/>
                <w:szCs w:val="22"/>
                <w:lang w:eastAsia="es-MX"/>
              </w:rPr>
              <w:lastRenderedPageBreak/>
              <w:t>de calidad</w:t>
            </w:r>
          </w:p>
        </w:tc>
        <w:tc>
          <w:tcPr>
            <w:tcW w:w="610" w:type="pct"/>
            <w:tcBorders>
              <w:top w:val="nil"/>
              <w:left w:val="nil"/>
              <w:bottom w:val="single" w:sz="8" w:space="0" w:color="434343"/>
              <w:right w:val="single" w:sz="8" w:space="0" w:color="434343"/>
            </w:tcBorders>
            <w:shd w:val="clear" w:color="auto" w:fill="auto"/>
            <w:hideMark/>
          </w:tcPr>
          <w:p w14:paraId="170A79B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Promover el aprendizaje equitativo, pertinente y de calidad a </w:t>
            </w:r>
            <w:r w:rsidRPr="00794EB9">
              <w:rPr>
                <w:rFonts w:ascii="Arial" w:hAnsi="Arial" w:cs="Arial"/>
                <w:sz w:val="22"/>
                <w:szCs w:val="22"/>
                <w:lang w:eastAsia="es-MX"/>
              </w:rPr>
              <w:lastRenderedPageBreak/>
              <w:t>lo largo de la vida</w:t>
            </w:r>
          </w:p>
        </w:tc>
        <w:tc>
          <w:tcPr>
            <w:tcW w:w="687" w:type="pct"/>
            <w:tcBorders>
              <w:top w:val="nil"/>
              <w:left w:val="nil"/>
              <w:bottom w:val="single" w:sz="8" w:space="0" w:color="434343"/>
              <w:right w:val="single" w:sz="8" w:space="0" w:color="434343"/>
            </w:tcBorders>
            <w:shd w:val="clear" w:color="auto" w:fill="auto"/>
            <w:hideMark/>
          </w:tcPr>
          <w:p w14:paraId="07EB569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57.  Porcentaje de niñas, niños y adolescentes que no asisten a la escuela</w:t>
            </w:r>
            <w:r w:rsidRPr="00794EB9">
              <w:rPr>
                <w:rFonts w:ascii="Arial" w:hAnsi="Arial" w:cs="Arial"/>
                <w:sz w:val="22"/>
                <w:szCs w:val="22"/>
                <w:lang w:eastAsia="es-MX"/>
              </w:rPr>
              <w:br/>
              <w:t xml:space="preserve">I 58.  Años </w:t>
            </w:r>
            <w:r w:rsidRPr="00794EB9">
              <w:rPr>
                <w:rFonts w:ascii="Arial" w:hAnsi="Arial" w:cs="Arial"/>
                <w:sz w:val="22"/>
                <w:szCs w:val="22"/>
                <w:lang w:eastAsia="es-MX"/>
              </w:rPr>
              <w:lastRenderedPageBreak/>
              <w:t>promedio de escolaridad de la población económicamente activa</w:t>
            </w:r>
            <w:r w:rsidRPr="00794EB9">
              <w:rPr>
                <w:rFonts w:ascii="Arial" w:hAnsi="Arial" w:cs="Arial"/>
                <w:sz w:val="22"/>
                <w:szCs w:val="22"/>
                <w:lang w:eastAsia="es-MX"/>
              </w:rPr>
              <w:br/>
              <w:t>I 59. Tasa de abandono escolar de niñas, niños y adolescentes</w:t>
            </w:r>
            <w:r w:rsidRPr="00794EB9">
              <w:rPr>
                <w:rFonts w:ascii="Arial" w:hAnsi="Arial" w:cs="Arial"/>
                <w:sz w:val="22"/>
                <w:szCs w:val="22"/>
                <w:lang w:eastAsia="es-MX"/>
              </w:rPr>
              <w:br/>
              <w:t>I 60. Tasa de abandono escolar en el nivel medio superior</w:t>
            </w:r>
          </w:p>
        </w:tc>
        <w:tc>
          <w:tcPr>
            <w:tcW w:w="426" w:type="pct"/>
            <w:tcBorders>
              <w:top w:val="nil"/>
              <w:left w:val="nil"/>
              <w:bottom w:val="single" w:sz="8" w:space="0" w:color="434343"/>
              <w:right w:val="single" w:sz="8" w:space="0" w:color="434343"/>
            </w:tcBorders>
            <w:shd w:val="clear" w:color="auto" w:fill="auto"/>
            <w:hideMark/>
          </w:tcPr>
          <w:p w14:paraId="6A64B54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Educación ciudadana con enfoque de derechos </w:t>
            </w:r>
          </w:p>
        </w:tc>
        <w:tc>
          <w:tcPr>
            <w:tcW w:w="1024" w:type="pct"/>
            <w:tcBorders>
              <w:top w:val="nil"/>
              <w:left w:val="nil"/>
              <w:bottom w:val="single" w:sz="8" w:space="0" w:color="434343"/>
              <w:right w:val="single" w:sz="8" w:space="0" w:color="434343"/>
            </w:tcBorders>
            <w:shd w:val="clear" w:color="auto" w:fill="auto"/>
            <w:hideMark/>
          </w:tcPr>
          <w:p w14:paraId="348BD61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Implementar un esquema integral de educación ambiental para la ciudadanía,  con énfasis en la participación de </w:t>
            </w:r>
            <w:r w:rsidRPr="00794EB9">
              <w:rPr>
                <w:rFonts w:ascii="Arial" w:hAnsi="Arial" w:cs="Arial"/>
                <w:sz w:val="22"/>
                <w:szCs w:val="22"/>
                <w:lang w:eastAsia="es-MX"/>
              </w:rPr>
              <w:lastRenderedPageBreak/>
              <w:t>niñas, niños y adolescentes</w:t>
            </w:r>
          </w:p>
        </w:tc>
        <w:tc>
          <w:tcPr>
            <w:tcW w:w="686" w:type="pct"/>
            <w:vMerge/>
            <w:tcBorders>
              <w:top w:val="nil"/>
              <w:left w:val="single" w:sz="8" w:space="0" w:color="434343"/>
              <w:bottom w:val="single" w:sz="8" w:space="0" w:color="434343"/>
              <w:right w:val="single" w:sz="8" w:space="0" w:color="434343"/>
            </w:tcBorders>
            <w:vAlign w:val="center"/>
            <w:hideMark/>
          </w:tcPr>
          <w:p w14:paraId="739FF927"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B26491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1.5.11  Implementar un programa para fomentar la cultura del cuidado y reutilización del agua dirigida a la población de mayor consumo.</w:t>
            </w:r>
          </w:p>
        </w:tc>
      </w:tr>
      <w:tr w:rsidR="00794EB9" w:rsidRPr="00794EB9" w14:paraId="23E0C890"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353F9B7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Gestión integral de residuos sólidos urbanos</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643AEEA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el modelo para la gestión y manejo integral de los residuos sólidos, desde su recolección hasta su disposición final</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43E35EA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12. Toneladas de residuos sólidos domiciliarios recolectados y confinados en el relleno sanitario</w:t>
            </w:r>
            <w:r w:rsidRPr="00794EB9">
              <w:rPr>
                <w:rFonts w:ascii="Arial" w:hAnsi="Arial" w:cs="Arial"/>
                <w:sz w:val="22"/>
                <w:szCs w:val="22"/>
                <w:lang w:eastAsia="es-MX"/>
              </w:rPr>
              <w:br/>
              <w:t xml:space="preserve">I 13. Toneladas de residuos sólidos valorizables recuperados para el </w:t>
            </w:r>
            <w:r w:rsidRPr="00794EB9">
              <w:rPr>
                <w:rFonts w:ascii="Arial" w:hAnsi="Arial" w:cs="Arial"/>
                <w:sz w:val="22"/>
                <w:szCs w:val="22"/>
                <w:lang w:eastAsia="es-MX"/>
              </w:rPr>
              <w:lastRenderedPageBreak/>
              <w:t>reciclaje</w:t>
            </w:r>
            <w:r w:rsidRPr="00794EB9">
              <w:rPr>
                <w:rFonts w:ascii="Arial" w:hAnsi="Arial" w:cs="Arial"/>
                <w:sz w:val="22"/>
                <w:szCs w:val="22"/>
                <w:lang w:eastAsia="es-MX"/>
              </w:rPr>
              <w:br/>
              <w:t>I 14. Toneladas de residuos electrónicos valorizables recuperados.</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04B2230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Reducción y reciclaje de residuos</w:t>
            </w:r>
          </w:p>
        </w:tc>
        <w:tc>
          <w:tcPr>
            <w:tcW w:w="1024" w:type="pct"/>
            <w:tcBorders>
              <w:top w:val="nil"/>
              <w:left w:val="nil"/>
              <w:bottom w:val="single" w:sz="8" w:space="0" w:color="434343"/>
              <w:right w:val="single" w:sz="8" w:space="0" w:color="434343"/>
            </w:tcBorders>
            <w:shd w:val="clear" w:color="auto" w:fill="auto"/>
            <w:hideMark/>
          </w:tcPr>
          <w:p w14:paraId="40F6838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Crear un esquema integral de incentivos, que incluyan a la ciudadanía, para generar y fortalecer programas para la recuperación y tratamiento de residuos sólidos valorizables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4C20D6E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 1.6 León siempre limpio</w:t>
            </w:r>
          </w:p>
        </w:tc>
        <w:tc>
          <w:tcPr>
            <w:tcW w:w="1191" w:type="pct"/>
            <w:tcBorders>
              <w:top w:val="nil"/>
              <w:left w:val="nil"/>
              <w:bottom w:val="single" w:sz="8" w:space="0" w:color="434343"/>
              <w:right w:val="single" w:sz="8" w:space="0" w:color="434343"/>
            </w:tcBorders>
            <w:shd w:val="clear" w:color="auto" w:fill="auto"/>
            <w:hideMark/>
          </w:tcPr>
          <w:p w14:paraId="22E0C48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1.6.1 Promover la cultura ambiental para la separación de residuos sólidos urbanos a través de la campaña Basura que no es basura.</w:t>
            </w:r>
          </w:p>
        </w:tc>
      </w:tr>
      <w:tr w:rsidR="00794EB9" w:rsidRPr="00794EB9" w14:paraId="10A39984"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17AFB68"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60B7602"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0BB1187"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039C5571" w14:textId="77777777" w:rsidR="00794EB9" w:rsidRPr="00794EB9" w:rsidRDefault="00794EB9" w:rsidP="00C307FB">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1F868B0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Fortalecer y fomentar la reducción, recolección, manejo, transporte y tratamiento de los residuos sólidos urbanos </w:t>
            </w:r>
            <w:r w:rsidRPr="00794EB9">
              <w:rPr>
                <w:rFonts w:ascii="Arial" w:hAnsi="Arial" w:cs="Arial"/>
                <w:sz w:val="22"/>
                <w:szCs w:val="22"/>
                <w:lang w:eastAsia="es-MX"/>
              </w:rPr>
              <w:lastRenderedPageBreak/>
              <w:t>en viviendas, industria, comercio y servicios e implementar un sistema de recuperación de residuos valorizables</w:t>
            </w:r>
          </w:p>
        </w:tc>
        <w:tc>
          <w:tcPr>
            <w:tcW w:w="686" w:type="pct"/>
            <w:vMerge/>
            <w:tcBorders>
              <w:top w:val="nil"/>
              <w:left w:val="single" w:sz="8" w:space="0" w:color="434343"/>
              <w:bottom w:val="single" w:sz="8" w:space="0" w:color="434343"/>
              <w:right w:val="single" w:sz="8" w:space="0" w:color="434343"/>
            </w:tcBorders>
            <w:vAlign w:val="center"/>
            <w:hideMark/>
          </w:tcPr>
          <w:p w14:paraId="079016C9"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DC6D9F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VS.1.6.2 Realizar acciones en materia de limpieza integral de la ciudad. </w:t>
            </w:r>
          </w:p>
        </w:tc>
      </w:tr>
      <w:tr w:rsidR="00794EB9" w:rsidRPr="00794EB9" w14:paraId="36ADB467"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F4521CF"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A2EFFA1"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0811A007"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2734EC89" w14:textId="77777777" w:rsidR="00794EB9" w:rsidRPr="00794EB9" w:rsidRDefault="00794EB9" w:rsidP="00C307FB">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3462FBE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y fomentar la reducción, recolección, manejo, transporte y tratamiento de los residuos sólidos urbanos en viviendas, industria, comercio y servicios e implementar un sistema de recuperación de residuos valorizables</w:t>
            </w:r>
          </w:p>
        </w:tc>
        <w:tc>
          <w:tcPr>
            <w:tcW w:w="686" w:type="pct"/>
            <w:vMerge/>
            <w:tcBorders>
              <w:top w:val="nil"/>
              <w:left w:val="single" w:sz="8" w:space="0" w:color="434343"/>
              <w:bottom w:val="single" w:sz="8" w:space="0" w:color="434343"/>
              <w:right w:val="single" w:sz="8" w:space="0" w:color="434343"/>
            </w:tcBorders>
            <w:vAlign w:val="center"/>
            <w:hideMark/>
          </w:tcPr>
          <w:p w14:paraId="5466358A"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020D58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1.6.3 Diseñar y poner en marcha el proyecto de SIAP Al 100 que integre acciones especiales de recolección, separación, transporte, confinamiento y aprovechamiento de residuos valorizables.</w:t>
            </w:r>
          </w:p>
        </w:tc>
      </w:tr>
      <w:tr w:rsidR="00794EB9" w:rsidRPr="00794EB9" w14:paraId="5244D7F9"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40EEAB2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D9D9D9" w:themeFill="background1" w:themeFillShade="D9"/>
            <w:noWrap/>
            <w:hideMark/>
          </w:tcPr>
          <w:p w14:paraId="1F29124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D9D9D9" w:themeFill="background1" w:themeFillShade="D9"/>
            <w:noWrap/>
            <w:hideMark/>
          </w:tcPr>
          <w:p w14:paraId="05AEBAC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D9D9D9" w:themeFill="background1" w:themeFillShade="D9"/>
            <w:noWrap/>
            <w:hideMark/>
          </w:tcPr>
          <w:p w14:paraId="1B3F683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6A8DC13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5B3B81B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VS2. León sin hambre</w:t>
            </w: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14EC8F5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5A800941"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361E489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Equidad social</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42D3C09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w:t>
            </w:r>
            <w:r w:rsidRPr="00794EB9">
              <w:rPr>
                <w:rFonts w:ascii="Arial" w:hAnsi="Arial" w:cs="Arial"/>
                <w:sz w:val="22"/>
                <w:szCs w:val="22"/>
                <w:lang w:eastAsia="es-MX"/>
              </w:rPr>
              <w:lastRenderedPageBreak/>
              <w:t>endo a la reducción de las desigualdades</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509044B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 47. Porcentaje de población en pobreza </w:t>
            </w:r>
            <w:r w:rsidRPr="00794EB9">
              <w:rPr>
                <w:rFonts w:ascii="Arial" w:hAnsi="Arial" w:cs="Arial"/>
                <w:sz w:val="22"/>
                <w:szCs w:val="22"/>
                <w:lang w:eastAsia="es-MX"/>
              </w:rPr>
              <w:br/>
              <w:t xml:space="preserve">I 48. Porcentaje de población que habita en polígonos de </w:t>
            </w:r>
            <w:r w:rsidRPr="00794EB9">
              <w:rPr>
                <w:rFonts w:ascii="Arial" w:hAnsi="Arial" w:cs="Arial"/>
                <w:sz w:val="22"/>
                <w:szCs w:val="22"/>
                <w:lang w:eastAsia="es-MX"/>
              </w:rPr>
              <w:lastRenderedPageBreak/>
              <w:t>desarrollo</w:t>
            </w:r>
            <w:r w:rsidRPr="00794EB9">
              <w:rPr>
                <w:rFonts w:ascii="Arial" w:hAnsi="Arial" w:cs="Arial"/>
                <w:sz w:val="22"/>
                <w:szCs w:val="22"/>
                <w:lang w:eastAsia="es-MX"/>
              </w:rPr>
              <w:br/>
              <w:t>I 50. Número de localidades rurales con Índice de Rezago Social alto  y  muy alto</w:t>
            </w:r>
          </w:p>
        </w:tc>
        <w:tc>
          <w:tcPr>
            <w:tcW w:w="426" w:type="pct"/>
            <w:tcBorders>
              <w:top w:val="nil"/>
              <w:left w:val="nil"/>
              <w:bottom w:val="single" w:sz="8" w:space="0" w:color="434343"/>
              <w:right w:val="single" w:sz="8" w:space="0" w:color="434343"/>
            </w:tcBorders>
            <w:shd w:val="clear" w:color="auto" w:fill="auto"/>
            <w:hideMark/>
          </w:tcPr>
          <w:p w14:paraId="49A9BF02" w14:textId="77777777" w:rsidR="00794EB9" w:rsidRPr="00794EB9" w:rsidRDefault="00794EB9" w:rsidP="00C307FB">
            <w:pPr>
              <w:spacing w:after="240"/>
              <w:rPr>
                <w:rFonts w:ascii="Arial" w:hAnsi="Arial" w:cs="Arial"/>
                <w:sz w:val="22"/>
                <w:szCs w:val="22"/>
                <w:lang w:eastAsia="es-MX"/>
              </w:rPr>
            </w:pPr>
            <w:r w:rsidRPr="00794EB9">
              <w:rPr>
                <w:rFonts w:ascii="Arial" w:hAnsi="Arial" w:cs="Arial"/>
                <w:sz w:val="22"/>
                <w:szCs w:val="22"/>
                <w:lang w:eastAsia="es-MX"/>
              </w:rPr>
              <w:lastRenderedPageBreak/>
              <w:t>Atención a la población urbana en alguna situación de pobreza</w:t>
            </w:r>
          </w:p>
        </w:tc>
        <w:tc>
          <w:tcPr>
            <w:tcW w:w="1024" w:type="pct"/>
            <w:tcBorders>
              <w:top w:val="nil"/>
              <w:left w:val="nil"/>
              <w:bottom w:val="single" w:sz="8" w:space="0" w:color="434343"/>
              <w:right w:val="single" w:sz="8" w:space="0" w:color="434343"/>
            </w:tcBorders>
            <w:shd w:val="clear" w:color="auto" w:fill="auto"/>
            <w:hideMark/>
          </w:tcPr>
          <w:p w14:paraId="101179F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Ampliar, construir y mantener los servicios públicos de proximidad y los equipamientos urbanos, principalmente de salud y educación, en coordinación con gobierno del estado y en </w:t>
            </w:r>
            <w:r w:rsidRPr="00794EB9">
              <w:rPr>
                <w:rFonts w:ascii="Arial" w:hAnsi="Arial" w:cs="Arial"/>
                <w:sz w:val="22"/>
                <w:szCs w:val="22"/>
                <w:lang w:eastAsia="es-MX"/>
              </w:rPr>
              <w:lastRenderedPageBreak/>
              <w:t>función de las necesidades de los habitantes</w:t>
            </w:r>
          </w:p>
        </w:tc>
        <w:tc>
          <w:tcPr>
            <w:tcW w:w="686" w:type="pct"/>
            <w:tcBorders>
              <w:top w:val="nil"/>
              <w:left w:val="nil"/>
              <w:bottom w:val="single" w:sz="8" w:space="0" w:color="434343"/>
              <w:right w:val="single" w:sz="8" w:space="0" w:color="434343"/>
            </w:tcBorders>
            <w:shd w:val="clear" w:color="auto" w:fill="auto"/>
            <w:hideMark/>
          </w:tcPr>
          <w:p w14:paraId="09816C4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VS2.1 Comedores comunitarios</w:t>
            </w:r>
          </w:p>
        </w:tc>
        <w:tc>
          <w:tcPr>
            <w:tcW w:w="1191" w:type="pct"/>
            <w:tcBorders>
              <w:top w:val="nil"/>
              <w:left w:val="nil"/>
              <w:bottom w:val="single" w:sz="8" w:space="0" w:color="434343"/>
              <w:right w:val="single" w:sz="8" w:space="0" w:color="434343"/>
            </w:tcBorders>
            <w:shd w:val="clear" w:color="auto" w:fill="auto"/>
            <w:hideMark/>
          </w:tcPr>
          <w:p w14:paraId="4522937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2.1.1 Implementar espacios fijos y móviles para el fomento de la sana alimentación, así como el mantenimiento preventivo y correctivo a los diferentes comedores, para prestar un mejor </w:t>
            </w:r>
            <w:r w:rsidRPr="00794EB9">
              <w:rPr>
                <w:rFonts w:ascii="Arial" w:hAnsi="Arial" w:cs="Arial"/>
                <w:sz w:val="22"/>
                <w:szCs w:val="22"/>
                <w:lang w:eastAsia="es-MX"/>
              </w:rPr>
              <w:lastRenderedPageBreak/>
              <w:t xml:space="preserve">servicio a la población.  </w:t>
            </w:r>
          </w:p>
        </w:tc>
      </w:tr>
      <w:tr w:rsidR="00794EB9" w:rsidRPr="00794EB9" w14:paraId="2F6FEA69"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CEFF852"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D166FB5"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00C8276F" w14:textId="77777777" w:rsidR="00794EB9" w:rsidRPr="00794EB9" w:rsidRDefault="00794EB9" w:rsidP="00C307FB">
            <w:pPr>
              <w:rPr>
                <w:rFonts w:ascii="Arial" w:hAnsi="Arial" w:cs="Arial"/>
                <w:sz w:val="22"/>
                <w:szCs w:val="22"/>
                <w:lang w:eastAsia="es-MX"/>
              </w:rPr>
            </w:pP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199D750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Mejoramiento de las condiciones de vida de los habitantes de las comunidades rurales </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489FBE7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Ampliar la cobertura de servicios públicos municipales y coadyuvar con gobierno del estado en el desarrollo de equipamiento social con énfasis en salud, educación básica y media superior </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335A218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VS2.2 Alianzas por un León sin hambre</w:t>
            </w:r>
          </w:p>
        </w:tc>
        <w:tc>
          <w:tcPr>
            <w:tcW w:w="1191" w:type="pct"/>
            <w:tcBorders>
              <w:top w:val="nil"/>
              <w:left w:val="nil"/>
              <w:bottom w:val="single" w:sz="8" w:space="0" w:color="434343"/>
              <w:right w:val="single" w:sz="8" w:space="0" w:color="434343"/>
            </w:tcBorders>
            <w:shd w:val="clear" w:color="auto" w:fill="auto"/>
            <w:hideMark/>
          </w:tcPr>
          <w:p w14:paraId="23C3F3E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2.2.1 Fortalecer la red de asociaciones dedicadas a la asistencia social a través de comedores y distribución de alimentos.</w:t>
            </w:r>
          </w:p>
        </w:tc>
      </w:tr>
      <w:tr w:rsidR="00794EB9" w:rsidRPr="00794EB9" w14:paraId="4856C04B"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38098A8"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276D4F0E"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277EA6D3"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40D2C538"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70E4C3A4"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33263AA"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F26389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2.2.2 Promover acciones de vinculación del Banco de Alimentos con empresas. </w:t>
            </w:r>
          </w:p>
        </w:tc>
      </w:tr>
      <w:tr w:rsidR="00794EB9" w:rsidRPr="00794EB9" w14:paraId="6A5EE748"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31BCE3E"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CC407ED"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2770DC0D"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2FB6A71B"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0D357C1F"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hideMark/>
          </w:tcPr>
          <w:p w14:paraId="57E7656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VS2.3 Proyecto integral de asistencia social</w:t>
            </w:r>
          </w:p>
        </w:tc>
        <w:tc>
          <w:tcPr>
            <w:tcW w:w="1191" w:type="pct"/>
            <w:tcBorders>
              <w:top w:val="nil"/>
              <w:left w:val="nil"/>
              <w:bottom w:val="single" w:sz="8" w:space="0" w:color="434343"/>
              <w:right w:val="single" w:sz="8" w:space="0" w:color="434343"/>
            </w:tcBorders>
            <w:shd w:val="clear" w:color="auto" w:fill="auto"/>
            <w:hideMark/>
          </w:tcPr>
          <w:p w14:paraId="632A572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2.3.1  Otorgar apoyos alimentarios a las personas y realizar diagnósticos de la situación de vida de los involucrados para favorecer a los sectores que más lo necesitan.</w:t>
            </w:r>
          </w:p>
        </w:tc>
      </w:tr>
      <w:tr w:rsidR="00794EB9" w:rsidRPr="00794EB9" w14:paraId="5B312469"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55DBAD1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D9D9D9" w:themeFill="background1" w:themeFillShade="D9"/>
            <w:noWrap/>
            <w:hideMark/>
          </w:tcPr>
          <w:p w14:paraId="678D2A5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D9D9D9" w:themeFill="background1" w:themeFillShade="D9"/>
            <w:noWrap/>
            <w:hideMark/>
          </w:tcPr>
          <w:p w14:paraId="2D9D5E2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D9D9D9" w:themeFill="background1" w:themeFillShade="D9"/>
            <w:noWrap/>
            <w:hideMark/>
          </w:tcPr>
          <w:p w14:paraId="0931301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3F0ED83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3789AB7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VS3. León Saludable</w:t>
            </w: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3783ED3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41E7C09B"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074EB58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Estilos de vida saludable</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7196A64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w:t>
            </w:r>
            <w:r w:rsidRPr="00794EB9">
              <w:rPr>
                <w:rFonts w:ascii="Arial" w:hAnsi="Arial" w:cs="Arial"/>
                <w:sz w:val="22"/>
                <w:szCs w:val="22"/>
                <w:lang w:eastAsia="es-MX"/>
              </w:rPr>
              <w:lastRenderedPageBreak/>
              <w:t>ades crónico-degenerativas y psicosociales</w:t>
            </w:r>
          </w:p>
        </w:tc>
        <w:tc>
          <w:tcPr>
            <w:tcW w:w="687" w:type="pct"/>
            <w:vMerge w:val="restart"/>
            <w:tcBorders>
              <w:top w:val="nil"/>
              <w:left w:val="single" w:sz="8" w:space="0" w:color="434343"/>
              <w:right w:val="single" w:sz="8" w:space="0" w:color="434343"/>
            </w:tcBorders>
            <w:shd w:val="clear" w:color="auto" w:fill="auto"/>
            <w:vAlign w:val="center"/>
            <w:hideMark/>
          </w:tcPr>
          <w:p w14:paraId="3B76C2E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53. Porcentaje de muertes por enfermedades crónico degenerativas</w:t>
            </w:r>
            <w:r w:rsidRPr="00794EB9">
              <w:rPr>
                <w:rFonts w:ascii="Arial" w:hAnsi="Arial" w:cs="Arial"/>
                <w:sz w:val="22"/>
                <w:szCs w:val="22"/>
                <w:lang w:eastAsia="es-MX"/>
              </w:rPr>
              <w:br/>
              <w:t xml:space="preserve">I 54. Porcentaje de población </w:t>
            </w:r>
            <w:r w:rsidRPr="00794EB9">
              <w:rPr>
                <w:rFonts w:ascii="Arial" w:hAnsi="Arial" w:cs="Arial"/>
                <w:sz w:val="22"/>
                <w:szCs w:val="22"/>
                <w:lang w:eastAsia="es-MX"/>
              </w:rPr>
              <w:lastRenderedPageBreak/>
              <w:t>afiliada a servicios de salud</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561FACD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Cultura de prevención, autocuidado y atención de la salud</w:t>
            </w:r>
          </w:p>
        </w:tc>
        <w:tc>
          <w:tcPr>
            <w:tcW w:w="1024" w:type="pct"/>
            <w:tcBorders>
              <w:top w:val="nil"/>
              <w:left w:val="nil"/>
              <w:bottom w:val="single" w:sz="8" w:space="0" w:color="434343"/>
              <w:right w:val="single" w:sz="8" w:space="0" w:color="434343"/>
            </w:tcBorders>
            <w:shd w:val="clear" w:color="auto" w:fill="auto"/>
            <w:hideMark/>
          </w:tcPr>
          <w:p w14:paraId="1835E822" w14:textId="77777777" w:rsidR="00794EB9" w:rsidRPr="00794EB9" w:rsidRDefault="00794EB9" w:rsidP="00C307FB">
            <w:pPr>
              <w:spacing w:after="240"/>
              <w:rPr>
                <w:rFonts w:ascii="Arial" w:hAnsi="Arial" w:cs="Arial"/>
                <w:sz w:val="22"/>
                <w:szCs w:val="22"/>
                <w:lang w:eastAsia="es-MX"/>
              </w:rPr>
            </w:pPr>
            <w:r w:rsidRPr="00794EB9">
              <w:rPr>
                <w:rFonts w:ascii="Arial" w:hAnsi="Arial" w:cs="Arial"/>
                <w:sz w:val="22"/>
                <w:szCs w:val="22"/>
                <w:lang w:eastAsia="es-MX"/>
              </w:rPr>
              <w:t xml:space="preserve">Implementar esquemas de prevención y atención médica orientados al cuidado de las personas adultas mayores </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67170CC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VS3.1 Médico en tu casa</w:t>
            </w: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7A5249D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3.1.1 Establecer un esquema de atención con un primer enfoque a adultos mayores, personas con discapacidad o personas con movilidad comprometida a través de unidades móviles.</w:t>
            </w:r>
          </w:p>
        </w:tc>
      </w:tr>
      <w:tr w:rsidR="00794EB9" w:rsidRPr="00794EB9" w14:paraId="55CE2CF3"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2D4CBC1"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89995F5" w14:textId="77777777" w:rsidR="00794EB9" w:rsidRPr="00794EB9" w:rsidRDefault="00794EB9" w:rsidP="00C307FB">
            <w:pPr>
              <w:rPr>
                <w:rFonts w:ascii="Arial" w:hAnsi="Arial" w:cs="Arial"/>
                <w:sz w:val="22"/>
                <w:szCs w:val="22"/>
                <w:lang w:eastAsia="es-MX"/>
              </w:rPr>
            </w:pPr>
          </w:p>
        </w:tc>
        <w:tc>
          <w:tcPr>
            <w:tcW w:w="687" w:type="pct"/>
            <w:vMerge/>
            <w:tcBorders>
              <w:left w:val="single" w:sz="8" w:space="0" w:color="434343"/>
              <w:right w:val="single" w:sz="8" w:space="0" w:color="434343"/>
            </w:tcBorders>
            <w:vAlign w:val="center"/>
            <w:hideMark/>
          </w:tcPr>
          <w:p w14:paraId="671AD91A"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0C07B961" w14:textId="77777777" w:rsidR="00794EB9" w:rsidRPr="00794EB9" w:rsidRDefault="00794EB9" w:rsidP="00C307FB">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1F5F662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Desarrollar programas de atención médica para la población con </w:t>
            </w:r>
            <w:r w:rsidRPr="00794EB9">
              <w:rPr>
                <w:rFonts w:ascii="Arial" w:hAnsi="Arial" w:cs="Arial"/>
                <w:sz w:val="22"/>
                <w:szCs w:val="22"/>
                <w:lang w:eastAsia="es-MX"/>
              </w:rPr>
              <w:lastRenderedPageBreak/>
              <w:t>alguna discapacidad</w:t>
            </w:r>
          </w:p>
        </w:tc>
        <w:tc>
          <w:tcPr>
            <w:tcW w:w="686" w:type="pct"/>
            <w:vMerge/>
            <w:tcBorders>
              <w:top w:val="nil"/>
              <w:left w:val="single" w:sz="8" w:space="0" w:color="434343"/>
              <w:bottom w:val="single" w:sz="8" w:space="0" w:color="434343"/>
              <w:right w:val="single" w:sz="8" w:space="0" w:color="434343"/>
            </w:tcBorders>
            <w:vAlign w:val="center"/>
            <w:hideMark/>
          </w:tcPr>
          <w:p w14:paraId="29DF9F12" w14:textId="77777777" w:rsidR="00794EB9" w:rsidRPr="00794EB9" w:rsidRDefault="00794EB9" w:rsidP="00C307FB">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02E63D66" w14:textId="77777777" w:rsidR="00794EB9" w:rsidRPr="00794EB9" w:rsidRDefault="00794EB9" w:rsidP="00C307FB">
            <w:pPr>
              <w:rPr>
                <w:rFonts w:ascii="Arial" w:hAnsi="Arial" w:cs="Arial"/>
                <w:sz w:val="22"/>
                <w:szCs w:val="22"/>
                <w:lang w:eastAsia="es-MX"/>
              </w:rPr>
            </w:pPr>
          </w:p>
        </w:tc>
      </w:tr>
      <w:tr w:rsidR="00794EB9" w:rsidRPr="00794EB9" w14:paraId="5E726C82"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19F3747"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41876D6" w14:textId="77777777" w:rsidR="00794EB9" w:rsidRPr="00794EB9" w:rsidRDefault="00794EB9" w:rsidP="00C307FB">
            <w:pPr>
              <w:rPr>
                <w:rFonts w:ascii="Arial" w:hAnsi="Arial" w:cs="Arial"/>
                <w:sz w:val="22"/>
                <w:szCs w:val="22"/>
                <w:lang w:eastAsia="es-MX"/>
              </w:rPr>
            </w:pPr>
          </w:p>
        </w:tc>
        <w:tc>
          <w:tcPr>
            <w:tcW w:w="687" w:type="pct"/>
            <w:vMerge/>
            <w:tcBorders>
              <w:left w:val="single" w:sz="8" w:space="0" w:color="434343"/>
              <w:right w:val="single" w:sz="8" w:space="0" w:color="434343"/>
            </w:tcBorders>
            <w:vAlign w:val="center"/>
            <w:hideMark/>
          </w:tcPr>
          <w:p w14:paraId="2993B3A1"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225EF0B2" w14:textId="77777777" w:rsidR="00794EB9" w:rsidRPr="00794EB9" w:rsidRDefault="00794EB9" w:rsidP="00C307FB">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2F44A1E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esquemas complementarios de atención a la salud desde el municipio, que brinden consultas de primer contacto y disminuyan la demanda en centros especializados de salud</w:t>
            </w:r>
          </w:p>
        </w:tc>
        <w:tc>
          <w:tcPr>
            <w:tcW w:w="686" w:type="pct"/>
            <w:vMerge/>
            <w:tcBorders>
              <w:top w:val="nil"/>
              <w:left w:val="single" w:sz="8" w:space="0" w:color="434343"/>
              <w:bottom w:val="single" w:sz="8" w:space="0" w:color="434343"/>
              <w:right w:val="single" w:sz="8" w:space="0" w:color="434343"/>
            </w:tcBorders>
            <w:vAlign w:val="center"/>
            <w:hideMark/>
          </w:tcPr>
          <w:p w14:paraId="7703C819" w14:textId="77777777" w:rsidR="00794EB9" w:rsidRPr="00794EB9" w:rsidRDefault="00794EB9" w:rsidP="00C307FB">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67205539" w14:textId="77777777" w:rsidR="00794EB9" w:rsidRPr="00794EB9" w:rsidRDefault="00794EB9" w:rsidP="00C307FB">
            <w:pPr>
              <w:rPr>
                <w:rFonts w:ascii="Arial" w:hAnsi="Arial" w:cs="Arial"/>
                <w:sz w:val="22"/>
                <w:szCs w:val="22"/>
                <w:lang w:eastAsia="es-MX"/>
              </w:rPr>
            </w:pPr>
          </w:p>
        </w:tc>
      </w:tr>
      <w:tr w:rsidR="00794EB9" w:rsidRPr="00794EB9" w14:paraId="5CF56857"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6B99A48"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9609AF0" w14:textId="77777777" w:rsidR="00794EB9" w:rsidRPr="00794EB9" w:rsidRDefault="00794EB9" w:rsidP="00C307FB">
            <w:pPr>
              <w:rPr>
                <w:rFonts w:ascii="Arial" w:hAnsi="Arial" w:cs="Arial"/>
                <w:sz w:val="22"/>
                <w:szCs w:val="22"/>
                <w:lang w:eastAsia="es-MX"/>
              </w:rPr>
            </w:pPr>
          </w:p>
        </w:tc>
        <w:tc>
          <w:tcPr>
            <w:tcW w:w="687" w:type="pct"/>
            <w:vMerge/>
            <w:tcBorders>
              <w:left w:val="single" w:sz="8" w:space="0" w:color="434343"/>
              <w:bottom w:val="single" w:sz="8" w:space="0" w:color="434343"/>
              <w:right w:val="single" w:sz="8" w:space="0" w:color="434343"/>
            </w:tcBorders>
            <w:shd w:val="clear" w:color="auto" w:fill="auto"/>
            <w:hideMark/>
          </w:tcPr>
          <w:p w14:paraId="0A24E0C7"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43CFE1DF" w14:textId="77777777" w:rsidR="00794EB9" w:rsidRPr="00794EB9" w:rsidRDefault="00794EB9" w:rsidP="00C307FB">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19190EF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un modelo municipal de salud preventiva que promueva estilos de vida saludable y la activación física, con énfasis en zonas de mayor vulnerabilidad</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715FE33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VS3.2 Prevención de enfermedades, Adicciones y Educación Nutricional</w:t>
            </w:r>
          </w:p>
        </w:tc>
        <w:tc>
          <w:tcPr>
            <w:tcW w:w="1191" w:type="pct"/>
            <w:tcBorders>
              <w:top w:val="nil"/>
              <w:left w:val="nil"/>
              <w:bottom w:val="single" w:sz="8" w:space="0" w:color="434343"/>
              <w:right w:val="single" w:sz="8" w:space="0" w:color="434343"/>
            </w:tcBorders>
            <w:shd w:val="clear" w:color="auto" w:fill="auto"/>
            <w:hideMark/>
          </w:tcPr>
          <w:p w14:paraId="069D55E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3.2.1 Implementar campañas para la prevención de enfermedades mediante un esquema de tamizajes preventivos, así como intervención correctiva inicial.</w:t>
            </w:r>
          </w:p>
        </w:tc>
      </w:tr>
      <w:tr w:rsidR="00794EB9" w:rsidRPr="00794EB9" w14:paraId="0C281363"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DB0C140"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0F28075" w14:textId="77777777" w:rsidR="00794EB9" w:rsidRPr="00794EB9" w:rsidRDefault="00794EB9" w:rsidP="00C307FB">
            <w:pPr>
              <w:rPr>
                <w:rFonts w:ascii="Arial" w:hAnsi="Arial" w:cs="Arial"/>
                <w:sz w:val="22"/>
                <w:szCs w:val="22"/>
                <w:lang w:eastAsia="es-MX"/>
              </w:rPr>
            </w:pP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4236B19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55. Tasa de mortalidad por suicidio</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4746CFD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Atención a la salud mental y las adicciones</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029FF52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programas de atención a la salud mental, emocional y de prevención del suicidio, con énfasis en adolescentes, y con apoyo del entorno familiar y comunitario</w:t>
            </w:r>
          </w:p>
        </w:tc>
        <w:tc>
          <w:tcPr>
            <w:tcW w:w="686" w:type="pct"/>
            <w:vMerge/>
            <w:tcBorders>
              <w:top w:val="nil"/>
              <w:left w:val="single" w:sz="8" w:space="0" w:color="434343"/>
              <w:bottom w:val="single" w:sz="8" w:space="0" w:color="434343"/>
              <w:right w:val="single" w:sz="8" w:space="0" w:color="434343"/>
            </w:tcBorders>
            <w:vAlign w:val="center"/>
            <w:hideMark/>
          </w:tcPr>
          <w:p w14:paraId="4D8C7351"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030D35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3.2.2 Coadyuvar con los centros de rehabilitación existentes para ampliar la cobertura de los programas de atención.</w:t>
            </w:r>
          </w:p>
        </w:tc>
      </w:tr>
      <w:tr w:rsidR="00794EB9" w:rsidRPr="00794EB9" w14:paraId="6DA41342"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87C7695"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9DE261E"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A692DA2"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7008666E"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0D4E8E36"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9B27806"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EB33FD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3.2.3 Implementar un programa basado en el modelo islandés "Planet Youth" para la prevención de adicciones en todo </w:t>
            </w:r>
            <w:r w:rsidRPr="00794EB9">
              <w:rPr>
                <w:rFonts w:ascii="Arial" w:hAnsi="Arial" w:cs="Arial"/>
                <w:sz w:val="22"/>
                <w:szCs w:val="22"/>
                <w:lang w:eastAsia="es-MX"/>
              </w:rPr>
              <w:lastRenderedPageBreak/>
              <w:t>el municipio de León.</w:t>
            </w:r>
          </w:p>
        </w:tc>
      </w:tr>
      <w:tr w:rsidR="00794EB9" w:rsidRPr="00794EB9" w14:paraId="28BBB6A4" w14:textId="77777777" w:rsidTr="00C307FB">
        <w:trPr>
          <w:trHeight w:val="322"/>
        </w:trPr>
        <w:tc>
          <w:tcPr>
            <w:tcW w:w="376" w:type="pct"/>
            <w:vMerge/>
            <w:tcBorders>
              <w:top w:val="nil"/>
              <w:left w:val="single" w:sz="8" w:space="0" w:color="434343"/>
              <w:bottom w:val="single" w:sz="8" w:space="0" w:color="434343"/>
              <w:right w:val="single" w:sz="8" w:space="0" w:color="434343"/>
            </w:tcBorders>
            <w:vAlign w:val="center"/>
            <w:hideMark/>
          </w:tcPr>
          <w:p w14:paraId="4A83BF31"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B4A8A27"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5A2BB5B"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EFA6CF2"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832666B"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308FDCEE"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A1B69E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3.2.4 Implementar el Programa "Parque Kinder Joy of Moving" con base en el modelo de prevención de adicciones enfocada a la activación física.</w:t>
            </w:r>
          </w:p>
        </w:tc>
      </w:tr>
      <w:tr w:rsidR="00794EB9" w:rsidRPr="00794EB9" w14:paraId="0245FDDE"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45A69A0"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B92F3DE" w14:textId="77777777" w:rsidR="00794EB9" w:rsidRPr="00794EB9" w:rsidRDefault="00794EB9" w:rsidP="00C307FB">
            <w:pPr>
              <w:rPr>
                <w:rFonts w:ascii="Arial" w:hAnsi="Arial" w:cs="Arial"/>
                <w:sz w:val="22"/>
                <w:szCs w:val="22"/>
                <w:lang w:eastAsia="es-MX"/>
              </w:rPr>
            </w:pPr>
          </w:p>
        </w:tc>
        <w:tc>
          <w:tcPr>
            <w:tcW w:w="687" w:type="pct"/>
            <w:tcBorders>
              <w:top w:val="nil"/>
              <w:left w:val="nil"/>
              <w:bottom w:val="single" w:sz="8" w:space="0" w:color="434343"/>
              <w:right w:val="single" w:sz="8" w:space="0" w:color="434343"/>
            </w:tcBorders>
            <w:shd w:val="clear" w:color="auto" w:fill="auto"/>
            <w:hideMark/>
          </w:tcPr>
          <w:p w14:paraId="2FA2763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53. Porcentaje de muertes por enfermedades crónico degenerativas</w:t>
            </w:r>
          </w:p>
        </w:tc>
        <w:tc>
          <w:tcPr>
            <w:tcW w:w="426" w:type="pct"/>
            <w:tcBorders>
              <w:top w:val="nil"/>
              <w:left w:val="nil"/>
              <w:bottom w:val="single" w:sz="8" w:space="0" w:color="434343"/>
              <w:right w:val="single" w:sz="8" w:space="0" w:color="434343"/>
            </w:tcBorders>
            <w:shd w:val="clear" w:color="auto" w:fill="auto"/>
            <w:hideMark/>
          </w:tcPr>
          <w:p w14:paraId="069D413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1024" w:type="pct"/>
            <w:tcBorders>
              <w:top w:val="nil"/>
              <w:left w:val="nil"/>
              <w:bottom w:val="single" w:sz="8" w:space="0" w:color="434343"/>
              <w:right w:val="single" w:sz="8" w:space="0" w:color="434343"/>
            </w:tcBorders>
            <w:shd w:val="clear" w:color="auto" w:fill="auto"/>
            <w:hideMark/>
          </w:tcPr>
          <w:p w14:paraId="59DCC2A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un modelo municipal de salud preventiva que promueva estilos de vida saludable y la activación física, con énfasis en zonas de mayor vulnerabilidad</w:t>
            </w:r>
          </w:p>
        </w:tc>
        <w:tc>
          <w:tcPr>
            <w:tcW w:w="686" w:type="pct"/>
            <w:vMerge/>
            <w:tcBorders>
              <w:top w:val="nil"/>
              <w:left w:val="single" w:sz="8" w:space="0" w:color="434343"/>
              <w:bottom w:val="single" w:sz="8" w:space="0" w:color="434343"/>
              <w:right w:val="single" w:sz="8" w:space="0" w:color="434343"/>
            </w:tcBorders>
            <w:vAlign w:val="center"/>
            <w:hideMark/>
          </w:tcPr>
          <w:p w14:paraId="0523BC43" w14:textId="77777777" w:rsidR="00794EB9" w:rsidRPr="00794EB9" w:rsidRDefault="00794EB9" w:rsidP="00C307FB">
            <w:pPr>
              <w:rPr>
                <w:rFonts w:ascii="Arial" w:hAnsi="Arial" w:cs="Arial"/>
                <w:b/>
                <w:bCs/>
                <w:sz w:val="22"/>
                <w:szCs w:val="22"/>
                <w:lang w:eastAsia="es-MX"/>
              </w:rPr>
            </w:pP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46FA100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3.2.5 Impartir talleres entre los jóvenes para fomentar hábitos saludables</w:t>
            </w:r>
          </w:p>
        </w:tc>
      </w:tr>
      <w:tr w:rsidR="00794EB9" w:rsidRPr="00794EB9" w14:paraId="7EF0295A"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228E3E5"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5BBB585" w14:textId="77777777" w:rsidR="00794EB9" w:rsidRPr="00794EB9" w:rsidRDefault="00794EB9" w:rsidP="00C307FB">
            <w:pPr>
              <w:rPr>
                <w:rFonts w:ascii="Arial" w:hAnsi="Arial" w:cs="Arial"/>
                <w:sz w:val="22"/>
                <w:szCs w:val="22"/>
                <w:lang w:eastAsia="es-MX"/>
              </w:rPr>
            </w:pPr>
          </w:p>
        </w:tc>
        <w:tc>
          <w:tcPr>
            <w:tcW w:w="687" w:type="pct"/>
            <w:tcBorders>
              <w:top w:val="nil"/>
              <w:left w:val="nil"/>
              <w:bottom w:val="single" w:sz="8" w:space="0" w:color="434343"/>
              <w:right w:val="single" w:sz="8" w:space="0" w:color="434343"/>
            </w:tcBorders>
            <w:shd w:val="clear" w:color="auto" w:fill="auto"/>
            <w:hideMark/>
          </w:tcPr>
          <w:p w14:paraId="0D2F53F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55. Tasa de mortalidad por suicidio</w:t>
            </w:r>
            <w:r w:rsidRPr="00794EB9">
              <w:rPr>
                <w:rFonts w:ascii="Arial" w:hAnsi="Arial" w:cs="Arial"/>
                <w:sz w:val="22"/>
                <w:szCs w:val="22"/>
                <w:lang w:eastAsia="es-MX"/>
              </w:rPr>
              <w:br/>
              <w:t>I 56. Tasa de fecundidad de adolescentes entre 15 y 19 años</w:t>
            </w:r>
          </w:p>
        </w:tc>
        <w:tc>
          <w:tcPr>
            <w:tcW w:w="426" w:type="pct"/>
            <w:tcBorders>
              <w:top w:val="nil"/>
              <w:left w:val="nil"/>
              <w:bottom w:val="single" w:sz="8" w:space="0" w:color="434343"/>
              <w:right w:val="single" w:sz="8" w:space="0" w:color="434343"/>
            </w:tcBorders>
            <w:shd w:val="clear" w:color="auto" w:fill="auto"/>
            <w:hideMark/>
          </w:tcPr>
          <w:p w14:paraId="6BB4B10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Atención a la salud mental y las adicciones</w:t>
            </w:r>
          </w:p>
        </w:tc>
        <w:tc>
          <w:tcPr>
            <w:tcW w:w="1024" w:type="pct"/>
            <w:tcBorders>
              <w:top w:val="nil"/>
              <w:left w:val="nil"/>
              <w:bottom w:val="single" w:sz="8" w:space="0" w:color="434343"/>
              <w:right w:val="single" w:sz="8" w:space="0" w:color="434343"/>
            </w:tcBorders>
            <w:shd w:val="clear" w:color="auto" w:fill="auto"/>
            <w:hideMark/>
          </w:tcPr>
          <w:p w14:paraId="0DF816E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programas de prevención y atención a las adicciones, con énfasis en niñas, niños y adolescentes, con la colaboración de sus entornos familiares y comunitarios</w:t>
            </w:r>
          </w:p>
        </w:tc>
        <w:tc>
          <w:tcPr>
            <w:tcW w:w="686" w:type="pct"/>
            <w:vMerge/>
            <w:tcBorders>
              <w:top w:val="nil"/>
              <w:left w:val="single" w:sz="8" w:space="0" w:color="434343"/>
              <w:bottom w:val="single" w:sz="8" w:space="0" w:color="434343"/>
              <w:right w:val="single" w:sz="8" w:space="0" w:color="434343"/>
            </w:tcBorders>
            <w:vAlign w:val="center"/>
            <w:hideMark/>
          </w:tcPr>
          <w:p w14:paraId="0193B97F" w14:textId="77777777" w:rsidR="00794EB9" w:rsidRPr="00794EB9" w:rsidRDefault="00794EB9" w:rsidP="00C307FB">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1B3FF03E" w14:textId="77777777" w:rsidR="00794EB9" w:rsidRPr="00794EB9" w:rsidRDefault="00794EB9" w:rsidP="00C307FB">
            <w:pPr>
              <w:rPr>
                <w:rFonts w:ascii="Arial" w:hAnsi="Arial" w:cs="Arial"/>
                <w:sz w:val="22"/>
                <w:szCs w:val="22"/>
                <w:lang w:eastAsia="es-MX"/>
              </w:rPr>
            </w:pPr>
          </w:p>
        </w:tc>
      </w:tr>
      <w:tr w:rsidR="00794EB9" w:rsidRPr="00794EB9" w14:paraId="6AA71D40"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E6F5B31"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10A41D6" w14:textId="77777777" w:rsidR="00794EB9" w:rsidRPr="00794EB9" w:rsidRDefault="00794EB9" w:rsidP="00C307FB">
            <w:pPr>
              <w:rPr>
                <w:rFonts w:ascii="Arial" w:hAnsi="Arial" w:cs="Arial"/>
                <w:sz w:val="22"/>
                <w:szCs w:val="22"/>
                <w:lang w:eastAsia="es-MX"/>
              </w:rPr>
            </w:pPr>
          </w:p>
        </w:tc>
        <w:tc>
          <w:tcPr>
            <w:tcW w:w="687" w:type="pct"/>
            <w:tcBorders>
              <w:top w:val="nil"/>
              <w:left w:val="nil"/>
              <w:bottom w:val="single" w:sz="8" w:space="0" w:color="434343"/>
              <w:right w:val="single" w:sz="8" w:space="0" w:color="434343"/>
            </w:tcBorders>
            <w:shd w:val="clear" w:color="auto" w:fill="auto"/>
            <w:hideMark/>
          </w:tcPr>
          <w:p w14:paraId="318CA32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I 53. Porcentaje de muertes por enfermedades crónico </w:t>
            </w:r>
            <w:r w:rsidRPr="00794EB9">
              <w:rPr>
                <w:rFonts w:ascii="Arial" w:hAnsi="Arial" w:cs="Arial"/>
                <w:sz w:val="22"/>
                <w:szCs w:val="22"/>
                <w:lang w:eastAsia="es-MX"/>
              </w:rPr>
              <w:lastRenderedPageBreak/>
              <w:t>degenerativas</w:t>
            </w:r>
            <w:r w:rsidRPr="00794EB9">
              <w:rPr>
                <w:rFonts w:ascii="Arial" w:hAnsi="Arial" w:cs="Arial"/>
                <w:sz w:val="22"/>
                <w:szCs w:val="22"/>
                <w:lang w:eastAsia="es-MX"/>
              </w:rPr>
              <w:br/>
              <w:t>I 54. Porcentaje de población afiliada a servicios de salud</w:t>
            </w:r>
            <w:r w:rsidRPr="00794EB9">
              <w:rPr>
                <w:rFonts w:ascii="Arial" w:hAnsi="Arial" w:cs="Arial"/>
                <w:sz w:val="22"/>
                <w:szCs w:val="22"/>
                <w:lang w:eastAsia="es-MX"/>
              </w:rPr>
              <w:br/>
              <w:t>I  56. Tasa de fecundidad de adolescentes entre 15 y 19 años</w:t>
            </w:r>
          </w:p>
        </w:tc>
        <w:tc>
          <w:tcPr>
            <w:tcW w:w="426" w:type="pct"/>
            <w:tcBorders>
              <w:top w:val="nil"/>
              <w:left w:val="nil"/>
              <w:bottom w:val="single" w:sz="8" w:space="0" w:color="434343"/>
              <w:right w:val="single" w:sz="8" w:space="0" w:color="434343"/>
            </w:tcBorders>
            <w:shd w:val="clear" w:color="auto" w:fill="auto"/>
            <w:hideMark/>
          </w:tcPr>
          <w:p w14:paraId="7B5D000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Cultura de prevención, autocuidado y atenci</w:t>
            </w:r>
            <w:r w:rsidRPr="00794EB9">
              <w:rPr>
                <w:rFonts w:ascii="Arial" w:hAnsi="Arial" w:cs="Arial"/>
                <w:sz w:val="22"/>
                <w:szCs w:val="22"/>
                <w:lang w:eastAsia="es-MX"/>
              </w:rPr>
              <w:lastRenderedPageBreak/>
              <w:t>ón de la salud</w:t>
            </w:r>
          </w:p>
        </w:tc>
        <w:tc>
          <w:tcPr>
            <w:tcW w:w="1024" w:type="pct"/>
            <w:tcBorders>
              <w:top w:val="nil"/>
              <w:left w:val="nil"/>
              <w:bottom w:val="single" w:sz="8" w:space="0" w:color="434343"/>
              <w:right w:val="single" w:sz="8" w:space="0" w:color="434343"/>
            </w:tcBorders>
            <w:shd w:val="clear" w:color="auto" w:fill="auto"/>
            <w:hideMark/>
          </w:tcPr>
          <w:p w14:paraId="39D761C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Generar esquemas complementarios de atención a la salud desde el municipio, que brinden consultas de </w:t>
            </w:r>
            <w:r w:rsidRPr="00794EB9">
              <w:rPr>
                <w:rFonts w:ascii="Arial" w:hAnsi="Arial" w:cs="Arial"/>
                <w:sz w:val="22"/>
                <w:szCs w:val="22"/>
                <w:lang w:eastAsia="es-MX"/>
              </w:rPr>
              <w:lastRenderedPageBreak/>
              <w:t>primer contacto y disminuyan la demanda en centros especializados de salud</w:t>
            </w:r>
          </w:p>
        </w:tc>
        <w:tc>
          <w:tcPr>
            <w:tcW w:w="686" w:type="pct"/>
            <w:tcBorders>
              <w:top w:val="nil"/>
              <w:left w:val="nil"/>
              <w:bottom w:val="single" w:sz="8" w:space="0" w:color="434343"/>
              <w:right w:val="single" w:sz="8" w:space="0" w:color="434343"/>
            </w:tcBorders>
            <w:shd w:val="clear" w:color="auto" w:fill="auto"/>
            <w:hideMark/>
          </w:tcPr>
          <w:p w14:paraId="16CF5A6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VS3.3 Apoyos para la salud familiar</w:t>
            </w:r>
          </w:p>
        </w:tc>
        <w:tc>
          <w:tcPr>
            <w:tcW w:w="1191" w:type="pct"/>
            <w:tcBorders>
              <w:top w:val="nil"/>
              <w:left w:val="nil"/>
              <w:bottom w:val="single" w:sz="8" w:space="0" w:color="434343"/>
              <w:right w:val="single" w:sz="8" w:space="0" w:color="434343"/>
            </w:tcBorders>
            <w:shd w:val="clear" w:color="auto" w:fill="auto"/>
            <w:hideMark/>
          </w:tcPr>
          <w:p w14:paraId="2BCCCB7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3.3.1 Implementar una plataforma de asistencia médica y dotación de cuadro básico de medicamentos </w:t>
            </w:r>
          </w:p>
        </w:tc>
      </w:tr>
      <w:tr w:rsidR="00794EB9" w:rsidRPr="00794EB9" w14:paraId="6041E111"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281A0BD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4" w:space="0" w:color="auto"/>
              <w:right w:val="single" w:sz="8" w:space="0" w:color="434343"/>
            </w:tcBorders>
            <w:shd w:val="clear" w:color="auto" w:fill="D9D9D9" w:themeFill="background1" w:themeFillShade="D9"/>
            <w:noWrap/>
            <w:hideMark/>
          </w:tcPr>
          <w:p w14:paraId="0A45576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4" w:space="0" w:color="auto"/>
              <w:right w:val="single" w:sz="8" w:space="0" w:color="434343"/>
            </w:tcBorders>
            <w:shd w:val="clear" w:color="auto" w:fill="D9D9D9" w:themeFill="background1" w:themeFillShade="D9"/>
            <w:noWrap/>
            <w:hideMark/>
          </w:tcPr>
          <w:p w14:paraId="2135EC0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4" w:space="0" w:color="auto"/>
              <w:right w:val="single" w:sz="8" w:space="0" w:color="434343"/>
            </w:tcBorders>
            <w:shd w:val="clear" w:color="auto" w:fill="D9D9D9" w:themeFill="background1" w:themeFillShade="D9"/>
            <w:noWrap/>
            <w:hideMark/>
          </w:tcPr>
          <w:p w14:paraId="2CAC561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6A701EE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6A5F511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VS4. León para todos</w:t>
            </w: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65B8091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4503093A" w14:textId="77777777" w:rsidTr="00C307FB">
        <w:trPr>
          <w:trHeight w:val="57"/>
        </w:trPr>
        <w:tc>
          <w:tcPr>
            <w:tcW w:w="376" w:type="pct"/>
            <w:vMerge w:val="restart"/>
            <w:tcBorders>
              <w:top w:val="nil"/>
              <w:left w:val="single" w:sz="8" w:space="0" w:color="434343"/>
              <w:bottom w:val="single" w:sz="8" w:space="0" w:color="434343"/>
              <w:right w:val="single" w:sz="4" w:space="0" w:color="auto"/>
            </w:tcBorders>
            <w:shd w:val="clear" w:color="auto" w:fill="auto"/>
            <w:hideMark/>
          </w:tcPr>
          <w:p w14:paraId="5A6432F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 Igualdad e inclusión</w:t>
            </w:r>
          </w:p>
        </w:tc>
        <w:tc>
          <w:tcPr>
            <w:tcW w:w="610" w:type="pct"/>
            <w:vMerge w:val="restart"/>
            <w:tcBorders>
              <w:top w:val="single" w:sz="4" w:space="0" w:color="auto"/>
              <w:left w:val="single" w:sz="4" w:space="0" w:color="auto"/>
              <w:bottom w:val="single" w:sz="4" w:space="0" w:color="auto"/>
              <w:right w:val="single" w:sz="8" w:space="0" w:color="434343"/>
            </w:tcBorders>
            <w:shd w:val="clear" w:color="auto" w:fill="auto"/>
            <w:hideMark/>
          </w:tcPr>
          <w:p w14:paraId="5104669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personas, respetando la diversidad sociocultural y los Derechos Humanos</w:t>
            </w:r>
          </w:p>
        </w:tc>
        <w:tc>
          <w:tcPr>
            <w:tcW w:w="687" w:type="pct"/>
            <w:vMerge w:val="restart"/>
            <w:tcBorders>
              <w:top w:val="single" w:sz="4" w:space="0" w:color="auto"/>
              <w:left w:val="single" w:sz="8" w:space="0" w:color="434343"/>
              <w:bottom w:val="single" w:sz="4" w:space="0" w:color="auto"/>
              <w:right w:val="single" w:sz="8" w:space="0" w:color="434343"/>
            </w:tcBorders>
            <w:shd w:val="clear" w:color="auto" w:fill="auto"/>
            <w:vAlign w:val="center"/>
            <w:hideMark/>
          </w:tcPr>
          <w:p w14:paraId="30E019B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51. Brecha salarial por género</w:t>
            </w:r>
          </w:p>
        </w:tc>
        <w:tc>
          <w:tcPr>
            <w:tcW w:w="426" w:type="pct"/>
            <w:vMerge w:val="restart"/>
            <w:tcBorders>
              <w:top w:val="single" w:sz="4" w:space="0" w:color="auto"/>
              <w:left w:val="single" w:sz="8" w:space="0" w:color="434343"/>
              <w:bottom w:val="single" w:sz="4" w:space="0" w:color="auto"/>
              <w:right w:val="single" w:sz="4" w:space="0" w:color="auto"/>
            </w:tcBorders>
            <w:shd w:val="clear" w:color="auto" w:fill="auto"/>
            <w:hideMark/>
          </w:tcPr>
          <w:p w14:paraId="2047C5D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Fortalecimiento de la igualdad de género</w:t>
            </w:r>
          </w:p>
        </w:tc>
        <w:tc>
          <w:tcPr>
            <w:tcW w:w="1024" w:type="pct"/>
            <w:vMerge w:val="restart"/>
            <w:tcBorders>
              <w:top w:val="nil"/>
              <w:left w:val="single" w:sz="4" w:space="0" w:color="auto"/>
              <w:bottom w:val="single" w:sz="8" w:space="0" w:color="434343"/>
              <w:right w:val="single" w:sz="8" w:space="0" w:color="434343"/>
            </w:tcBorders>
            <w:shd w:val="clear" w:color="auto" w:fill="auto"/>
            <w:hideMark/>
          </w:tcPr>
          <w:p w14:paraId="7C7EB28E" w14:textId="77777777" w:rsidR="00794EB9" w:rsidRPr="00794EB9" w:rsidRDefault="00794EB9" w:rsidP="00C307FB">
            <w:pPr>
              <w:spacing w:after="240"/>
              <w:rPr>
                <w:rFonts w:ascii="Arial" w:hAnsi="Arial" w:cs="Arial"/>
                <w:sz w:val="22"/>
                <w:szCs w:val="22"/>
                <w:lang w:eastAsia="es-MX"/>
              </w:rPr>
            </w:pPr>
            <w:r w:rsidRPr="00794EB9">
              <w:rPr>
                <w:rFonts w:ascii="Arial" w:hAnsi="Arial" w:cs="Arial"/>
                <w:sz w:val="22"/>
                <w:szCs w:val="22"/>
                <w:lang w:eastAsia="es-MX"/>
              </w:rPr>
              <w:t>Establecer mecanismos interinstitucionales de prevención y atención organizada de la violencia de género, en todas sus modalidades y condiciones en los ámbitos público y privado</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2394FAC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VS4.1 Red de espacios seguros para mujeres en situación de riesgo</w:t>
            </w:r>
          </w:p>
        </w:tc>
        <w:tc>
          <w:tcPr>
            <w:tcW w:w="1191" w:type="pct"/>
            <w:tcBorders>
              <w:top w:val="nil"/>
              <w:left w:val="nil"/>
              <w:bottom w:val="single" w:sz="8" w:space="0" w:color="434343"/>
              <w:right w:val="single" w:sz="8" w:space="0" w:color="434343"/>
            </w:tcBorders>
            <w:shd w:val="clear" w:color="auto" w:fill="auto"/>
            <w:hideMark/>
          </w:tcPr>
          <w:p w14:paraId="2565949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4.1.1 Instalar una unidad fija de atención en la Presidencia Municipal y una unidad móvil de atención en las delegaciones, como parte del proyecto de Mujer a Salvo</w:t>
            </w:r>
          </w:p>
        </w:tc>
      </w:tr>
      <w:tr w:rsidR="00794EB9" w:rsidRPr="00794EB9" w14:paraId="501AB9E6"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085C6C5" w14:textId="77777777" w:rsidR="00794EB9" w:rsidRPr="00794EB9" w:rsidRDefault="00794EB9" w:rsidP="00C307FB">
            <w:pPr>
              <w:rPr>
                <w:rFonts w:ascii="Arial" w:hAnsi="Arial" w:cs="Arial"/>
                <w:sz w:val="22"/>
                <w:szCs w:val="22"/>
                <w:lang w:eastAsia="es-MX"/>
              </w:rPr>
            </w:pPr>
          </w:p>
        </w:tc>
        <w:tc>
          <w:tcPr>
            <w:tcW w:w="610" w:type="pct"/>
            <w:vMerge/>
            <w:tcBorders>
              <w:top w:val="single" w:sz="4" w:space="0" w:color="auto"/>
              <w:left w:val="single" w:sz="8" w:space="0" w:color="434343"/>
              <w:bottom w:val="single" w:sz="8" w:space="0" w:color="434343"/>
              <w:right w:val="single" w:sz="8" w:space="0" w:color="434343"/>
            </w:tcBorders>
            <w:vAlign w:val="center"/>
            <w:hideMark/>
          </w:tcPr>
          <w:p w14:paraId="47273F18" w14:textId="77777777" w:rsidR="00794EB9" w:rsidRPr="00794EB9" w:rsidRDefault="00794EB9" w:rsidP="00C307FB">
            <w:pPr>
              <w:rPr>
                <w:rFonts w:ascii="Arial" w:hAnsi="Arial" w:cs="Arial"/>
                <w:sz w:val="22"/>
                <w:szCs w:val="22"/>
                <w:lang w:eastAsia="es-MX"/>
              </w:rPr>
            </w:pPr>
          </w:p>
        </w:tc>
        <w:tc>
          <w:tcPr>
            <w:tcW w:w="687" w:type="pct"/>
            <w:vMerge/>
            <w:tcBorders>
              <w:top w:val="single" w:sz="4" w:space="0" w:color="auto"/>
              <w:left w:val="single" w:sz="8" w:space="0" w:color="434343"/>
              <w:bottom w:val="single" w:sz="4" w:space="0" w:color="auto"/>
              <w:right w:val="single" w:sz="8" w:space="0" w:color="434343"/>
            </w:tcBorders>
            <w:vAlign w:val="center"/>
            <w:hideMark/>
          </w:tcPr>
          <w:p w14:paraId="47AC5927" w14:textId="77777777" w:rsidR="00794EB9" w:rsidRPr="00794EB9" w:rsidRDefault="00794EB9" w:rsidP="00C307FB">
            <w:pPr>
              <w:rPr>
                <w:rFonts w:ascii="Arial" w:hAnsi="Arial" w:cs="Arial"/>
                <w:sz w:val="22"/>
                <w:szCs w:val="22"/>
                <w:lang w:eastAsia="es-MX"/>
              </w:rPr>
            </w:pPr>
          </w:p>
        </w:tc>
        <w:tc>
          <w:tcPr>
            <w:tcW w:w="426" w:type="pct"/>
            <w:vMerge/>
            <w:tcBorders>
              <w:top w:val="single" w:sz="4" w:space="0" w:color="auto"/>
              <w:left w:val="single" w:sz="8" w:space="0" w:color="434343"/>
              <w:bottom w:val="single" w:sz="8" w:space="0" w:color="434343"/>
              <w:right w:val="single" w:sz="8" w:space="0" w:color="434343"/>
            </w:tcBorders>
            <w:vAlign w:val="center"/>
            <w:hideMark/>
          </w:tcPr>
          <w:p w14:paraId="39E51A6A"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53327E8"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368EA920"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9FB132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4.1.2 Promover la vinculación con sociedad civil organizada para la creación de una red de espacios seguros para mujeres en situación de violencia.</w:t>
            </w:r>
          </w:p>
        </w:tc>
      </w:tr>
      <w:tr w:rsidR="00794EB9" w:rsidRPr="00794EB9" w14:paraId="76DEBFED"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C5A9AA0"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2AEABF72" w14:textId="77777777" w:rsidR="00794EB9" w:rsidRPr="00794EB9" w:rsidRDefault="00794EB9" w:rsidP="00C307FB">
            <w:pPr>
              <w:rPr>
                <w:rFonts w:ascii="Arial" w:hAnsi="Arial" w:cs="Arial"/>
                <w:sz w:val="22"/>
                <w:szCs w:val="22"/>
                <w:lang w:eastAsia="es-MX"/>
              </w:rPr>
            </w:pPr>
          </w:p>
        </w:tc>
        <w:tc>
          <w:tcPr>
            <w:tcW w:w="687" w:type="pct"/>
            <w:vMerge/>
            <w:tcBorders>
              <w:left w:val="single" w:sz="8" w:space="0" w:color="434343"/>
              <w:bottom w:val="single" w:sz="4" w:space="0" w:color="auto"/>
              <w:right w:val="single" w:sz="8" w:space="0" w:color="434343"/>
            </w:tcBorders>
            <w:shd w:val="clear" w:color="auto" w:fill="auto"/>
            <w:hideMark/>
          </w:tcPr>
          <w:p w14:paraId="0ABF51A8"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8AC5A51"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3711CFC9" w14:textId="77777777" w:rsidR="00794EB9" w:rsidRPr="00794EB9" w:rsidRDefault="00794EB9" w:rsidP="00C307FB">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415D1D3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VS4.2 Modelo de casas de </w:t>
            </w:r>
            <w:r w:rsidRPr="00794EB9">
              <w:rPr>
                <w:rFonts w:ascii="Arial" w:hAnsi="Arial" w:cs="Arial"/>
                <w:b/>
                <w:bCs/>
                <w:sz w:val="22"/>
                <w:szCs w:val="22"/>
                <w:lang w:eastAsia="es-MX"/>
              </w:rPr>
              <w:lastRenderedPageBreak/>
              <w:t>transición para mujeres víctimas de la violencia</w:t>
            </w:r>
          </w:p>
        </w:tc>
        <w:tc>
          <w:tcPr>
            <w:tcW w:w="1191" w:type="pct"/>
            <w:tcBorders>
              <w:top w:val="nil"/>
              <w:left w:val="nil"/>
              <w:bottom w:val="single" w:sz="8" w:space="0" w:color="434343"/>
              <w:right w:val="single" w:sz="8" w:space="0" w:color="434343"/>
            </w:tcBorders>
            <w:shd w:val="clear" w:color="auto" w:fill="auto"/>
            <w:hideMark/>
          </w:tcPr>
          <w:p w14:paraId="2C37E1D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VS. 4.2.1 Adecuar espacios para la instalación de casas de transición.</w:t>
            </w:r>
          </w:p>
        </w:tc>
      </w:tr>
      <w:tr w:rsidR="00794EB9" w:rsidRPr="00794EB9" w14:paraId="0A16EFE8"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A75DF5B"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706946D" w14:textId="77777777" w:rsidR="00794EB9" w:rsidRPr="00794EB9" w:rsidRDefault="00794EB9" w:rsidP="00C307FB">
            <w:pPr>
              <w:rPr>
                <w:rFonts w:ascii="Arial" w:hAnsi="Arial" w:cs="Arial"/>
                <w:sz w:val="22"/>
                <w:szCs w:val="22"/>
                <w:lang w:eastAsia="es-MX"/>
              </w:rPr>
            </w:pPr>
          </w:p>
        </w:tc>
        <w:tc>
          <w:tcPr>
            <w:tcW w:w="687" w:type="pct"/>
            <w:vMerge/>
            <w:tcBorders>
              <w:left w:val="single" w:sz="8" w:space="0" w:color="434343"/>
              <w:bottom w:val="single" w:sz="4" w:space="0" w:color="auto"/>
              <w:right w:val="single" w:sz="8" w:space="0" w:color="434343"/>
            </w:tcBorders>
            <w:vAlign w:val="center"/>
            <w:hideMark/>
          </w:tcPr>
          <w:p w14:paraId="527908CA"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08531C81"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777942A6"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1FEC695"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614E16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4.2.2 Poner en operación el modelo de atención integral a víctimas, para mujeres en situación de violencia.</w:t>
            </w:r>
          </w:p>
        </w:tc>
      </w:tr>
      <w:tr w:rsidR="00794EB9" w:rsidRPr="00794EB9" w14:paraId="6746B40E"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CFE3B19"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02E012E" w14:textId="77777777" w:rsidR="00794EB9" w:rsidRPr="00794EB9" w:rsidRDefault="00794EB9" w:rsidP="00C307FB">
            <w:pPr>
              <w:rPr>
                <w:rFonts w:ascii="Arial" w:hAnsi="Arial" w:cs="Arial"/>
                <w:sz w:val="22"/>
                <w:szCs w:val="22"/>
                <w:lang w:eastAsia="es-MX"/>
              </w:rPr>
            </w:pPr>
          </w:p>
        </w:tc>
        <w:tc>
          <w:tcPr>
            <w:tcW w:w="687" w:type="pct"/>
            <w:vMerge w:val="restart"/>
            <w:tcBorders>
              <w:top w:val="single" w:sz="4" w:space="0" w:color="auto"/>
              <w:left w:val="single" w:sz="8" w:space="0" w:color="434343"/>
              <w:bottom w:val="single" w:sz="8" w:space="0" w:color="434343"/>
              <w:right w:val="single" w:sz="8" w:space="0" w:color="434343"/>
            </w:tcBorders>
            <w:shd w:val="clear" w:color="auto" w:fill="auto"/>
            <w:hideMark/>
          </w:tcPr>
          <w:p w14:paraId="6FF0060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52. Coeficiente de Gini</w:t>
            </w:r>
          </w:p>
          <w:p w14:paraId="6624C70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(Método utilizado para medir la desigualdad salarial)</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2BF3910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Inclusión y protección de grupos sociales en situación de vulnerabilidad</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3A0FE30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el enfoque de protección integral de niñas, niños y adolescentes, orientado al interés superior de la niñez con la coordinación institucional necesaria para el restablecimiento de sus derechos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0E857EC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VS4.3 Proyecto integral para el Desarrollo Humano y la Inclusión Social</w:t>
            </w:r>
          </w:p>
        </w:tc>
        <w:tc>
          <w:tcPr>
            <w:tcW w:w="1191" w:type="pct"/>
            <w:tcBorders>
              <w:top w:val="nil"/>
              <w:left w:val="nil"/>
              <w:bottom w:val="single" w:sz="8" w:space="0" w:color="434343"/>
              <w:right w:val="single" w:sz="8" w:space="0" w:color="434343"/>
            </w:tcBorders>
            <w:shd w:val="clear" w:color="auto" w:fill="auto"/>
            <w:hideMark/>
          </w:tcPr>
          <w:p w14:paraId="325E509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 Herramientas para el fortalecimiento de la inclusión social en el Municipio de León.</w:t>
            </w:r>
          </w:p>
        </w:tc>
      </w:tr>
      <w:tr w:rsidR="00794EB9" w:rsidRPr="00794EB9" w14:paraId="112C828E"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1E7658F3"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D3F3047"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C2BF101"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7CC98BB3"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5B015826"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D9F8909"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C59194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4.3.2 Fortalecer el derecho a la participación de los estudiantes en la construcción de la ciudad "Red Internacional de las niñas y los niños".</w:t>
            </w:r>
          </w:p>
        </w:tc>
      </w:tr>
      <w:tr w:rsidR="00794EB9" w:rsidRPr="00794EB9" w14:paraId="18D533DE"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7399446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59E2BDF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w:t>
            </w:r>
            <w:r w:rsidRPr="00794EB9">
              <w:rPr>
                <w:rFonts w:ascii="Arial" w:hAnsi="Arial" w:cs="Arial"/>
                <w:sz w:val="22"/>
                <w:szCs w:val="22"/>
                <w:lang w:eastAsia="es-MX"/>
              </w:rPr>
              <w:lastRenderedPageBreak/>
              <w:t>s de interés colectivo</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6A9ED21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66. Porcentaje de consejos ciudadanos con consejeras y consejeros jóvenes</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69EEDE5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Juventudes agentes del cambio</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0BD4F14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programas de diseño y formación de proyectos de vida para niñas, niños y adolescentes, de acuerdo con su entorno sociocultural y su contexto urbano o rural</w:t>
            </w:r>
          </w:p>
        </w:tc>
        <w:tc>
          <w:tcPr>
            <w:tcW w:w="686" w:type="pct"/>
            <w:vMerge/>
            <w:tcBorders>
              <w:top w:val="nil"/>
              <w:left w:val="single" w:sz="8" w:space="0" w:color="434343"/>
              <w:bottom w:val="single" w:sz="8" w:space="0" w:color="434343"/>
              <w:right w:val="single" w:sz="8" w:space="0" w:color="434343"/>
            </w:tcBorders>
            <w:vAlign w:val="center"/>
            <w:hideMark/>
          </w:tcPr>
          <w:p w14:paraId="0339B8D8"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874EDD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4.3.3 Realizar la edición del libro digital de Embajadores de León.</w:t>
            </w:r>
          </w:p>
        </w:tc>
      </w:tr>
      <w:tr w:rsidR="00794EB9" w:rsidRPr="00794EB9" w14:paraId="7B74281A"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6337F33"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0A3A02B"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04466E3"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B2C076E"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325CF32"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C8A6888"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4D9328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4.3.4 Reconocer y fortalecer proyectos de jóvenes o comunidades juveniles.</w:t>
            </w:r>
          </w:p>
        </w:tc>
      </w:tr>
      <w:tr w:rsidR="00794EB9" w:rsidRPr="00794EB9" w14:paraId="76E14D10"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2335D17"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78707B4"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123F881E" w14:textId="77777777" w:rsidR="00794EB9" w:rsidRPr="00794EB9" w:rsidRDefault="00794EB9" w:rsidP="00C307FB">
            <w:pPr>
              <w:rPr>
                <w:rFonts w:ascii="Arial" w:hAnsi="Arial" w:cs="Arial"/>
                <w:sz w:val="22"/>
                <w:szCs w:val="22"/>
                <w:lang w:eastAsia="es-MX"/>
              </w:rPr>
            </w:pPr>
          </w:p>
        </w:tc>
        <w:tc>
          <w:tcPr>
            <w:tcW w:w="426" w:type="pct"/>
            <w:tcBorders>
              <w:top w:val="nil"/>
              <w:left w:val="nil"/>
              <w:bottom w:val="single" w:sz="8" w:space="0" w:color="434343"/>
              <w:right w:val="single" w:sz="8" w:space="0" w:color="434343"/>
            </w:tcBorders>
            <w:shd w:val="clear" w:color="auto" w:fill="auto"/>
            <w:hideMark/>
          </w:tcPr>
          <w:p w14:paraId="2A55A6F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Colaboración abierta para la resolución </w:t>
            </w:r>
            <w:r w:rsidRPr="00794EB9">
              <w:rPr>
                <w:rFonts w:ascii="Arial" w:hAnsi="Arial" w:cs="Arial"/>
                <w:sz w:val="22"/>
                <w:szCs w:val="22"/>
                <w:lang w:eastAsia="es-MX"/>
              </w:rPr>
              <w:lastRenderedPageBreak/>
              <w:t>de problemas locales</w:t>
            </w:r>
          </w:p>
        </w:tc>
        <w:tc>
          <w:tcPr>
            <w:tcW w:w="1024" w:type="pct"/>
            <w:tcBorders>
              <w:top w:val="nil"/>
              <w:left w:val="nil"/>
              <w:bottom w:val="single" w:sz="8" w:space="0" w:color="434343"/>
              <w:right w:val="single" w:sz="8" w:space="0" w:color="434343"/>
            </w:tcBorders>
            <w:shd w:val="clear" w:color="auto" w:fill="auto"/>
            <w:hideMark/>
          </w:tcPr>
          <w:p w14:paraId="32F310D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Fortalecer procesos de participación pública y social en los que las diversas identidades de León, formen parte del diseño </w:t>
            </w:r>
            <w:r w:rsidRPr="00794EB9">
              <w:rPr>
                <w:rFonts w:ascii="Arial" w:hAnsi="Arial" w:cs="Arial"/>
                <w:sz w:val="22"/>
                <w:szCs w:val="22"/>
                <w:lang w:eastAsia="es-MX"/>
              </w:rPr>
              <w:lastRenderedPageBreak/>
              <w:t>y ejecución de políticas públicas</w:t>
            </w:r>
          </w:p>
        </w:tc>
        <w:tc>
          <w:tcPr>
            <w:tcW w:w="686" w:type="pct"/>
            <w:vMerge/>
            <w:tcBorders>
              <w:top w:val="nil"/>
              <w:left w:val="single" w:sz="8" w:space="0" w:color="434343"/>
              <w:bottom w:val="single" w:sz="8" w:space="0" w:color="434343"/>
              <w:right w:val="single" w:sz="8" w:space="0" w:color="434343"/>
            </w:tcBorders>
            <w:vAlign w:val="center"/>
            <w:hideMark/>
          </w:tcPr>
          <w:p w14:paraId="31D91FE2"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1A8E18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4.3.5 Fomentar la cultura de la inclusión a personas en situación de vulnerabilidad y minorías mediante brigadas en </w:t>
            </w:r>
            <w:r w:rsidRPr="00794EB9">
              <w:rPr>
                <w:rFonts w:ascii="Arial" w:hAnsi="Arial" w:cs="Arial"/>
                <w:sz w:val="22"/>
                <w:szCs w:val="22"/>
                <w:lang w:eastAsia="es-MX"/>
              </w:rPr>
              <w:lastRenderedPageBreak/>
              <w:t>espacios públicos y educativos.</w:t>
            </w:r>
          </w:p>
        </w:tc>
      </w:tr>
      <w:tr w:rsidR="00794EB9" w:rsidRPr="00794EB9" w14:paraId="798E08C0"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3C56483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Educación equitativa, pertinente y de calidad</w:t>
            </w:r>
          </w:p>
        </w:tc>
        <w:tc>
          <w:tcPr>
            <w:tcW w:w="610" w:type="pct"/>
            <w:tcBorders>
              <w:top w:val="nil"/>
              <w:left w:val="nil"/>
              <w:bottom w:val="single" w:sz="8" w:space="0" w:color="434343"/>
              <w:right w:val="single" w:sz="8" w:space="0" w:color="434343"/>
            </w:tcBorders>
            <w:shd w:val="clear" w:color="auto" w:fill="auto"/>
            <w:hideMark/>
          </w:tcPr>
          <w:p w14:paraId="551E158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687" w:type="pct"/>
            <w:tcBorders>
              <w:top w:val="nil"/>
              <w:left w:val="nil"/>
              <w:bottom w:val="single" w:sz="8" w:space="0" w:color="434343"/>
              <w:right w:val="single" w:sz="8" w:space="0" w:color="434343"/>
            </w:tcBorders>
            <w:shd w:val="clear" w:color="auto" w:fill="auto"/>
            <w:hideMark/>
          </w:tcPr>
          <w:p w14:paraId="7E2C3C1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57. Porcentaje de niñas, niños y adolescentes que no asisten a la escuela</w:t>
            </w:r>
          </w:p>
        </w:tc>
        <w:tc>
          <w:tcPr>
            <w:tcW w:w="426" w:type="pct"/>
            <w:tcBorders>
              <w:top w:val="nil"/>
              <w:left w:val="nil"/>
              <w:bottom w:val="single" w:sz="8" w:space="0" w:color="434343"/>
              <w:right w:val="single" w:sz="8" w:space="0" w:color="434343"/>
            </w:tcBorders>
            <w:shd w:val="clear" w:color="auto" w:fill="auto"/>
            <w:hideMark/>
          </w:tcPr>
          <w:p w14:paraId="020B62E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Educación oportuna y aprendizaje constante </w:t>
            </w:r>
          </w:p>
        </w:tc>
        <w:tc>
          <w:tcPr>
            <w:tcW w:w="1024" w:type="pct"/>
            <w:tcBorders>
              <w:top w:val="nil"/>
              <w:left w:val="nil"/>
              <w:bottom w:val="single" w:sz="8" w:space="0" w:color="434343"/>
              <w:right w:val="single" w:sz="8" w:space="0" w:color="434343"/>
            </w:tcBorders>
            <w:shd w:val="clear" w:color="auto" w:fill="auto"/>
            <w:hideMark/>
          </w:tcPr>
          <w:p w14:paraId="09DF0D1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programas y apoyos a escuelas públicas rurales y urbanas para contribuir al acceso igualitario a la educación</w:t>
            </w:r>
          </w:p>
        </w:tc>
        <w:tc>
          <w:tcPr>
            <w:tcW w:w="686" w:type="pct"/>
            <w:vMerge/>
            <w:tcBorders>
              <w:top w:val="nil"/>
              <w:left w:val="single" w:sz="8" w:space="0" w:color="434343"/>
              <w:bottom w:val="single" w:sz="8" w:space="0" w:color="434343"/>
              <w:right w:val="single" w:sz="8" w:space="0" w:color="434343"/>
            </w:tcBorders>
            <w:vAlign w:val="center"/>
            <w:hideMark/>
          </w:tcPr>
          <w:p w14:paraId="4D051F64"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892247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4.3.6 Implementar el modelo de inclusión social y deportiva.</w:t>
            </w:r>
          </w:p>
        </w:tc>
      </w:tr>
      <w:tr w:rsidR="00794EB9" w:rsidRPr="00794EB9" w14:paraId="0AC82178"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8F2A2F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Estilos de vida saludable</w:t>
            </w:r>
          </w:p>
        </w:tc>
        <w:tc>
          <w:tcPr>
            <w:tcW w:w="610" w:type="pct"/>
            <w:tcBorders>
              <w:top w:val="nil"/>
              <w:left w:val="nil"/>
              <w:bottom w:val="single" w:sz="8" w:space="0" w:color="434343"/>
              <w:right w:val="single" w:sz="8" w:space="0" w:color="434343"/>
            </w:tcBorders>
            <w:shd w:val="clear" w:color="auto" w:fill="auto"/>
            <w:hideMark/>
          </w:tcPr>
          <w:p w14:paraId="6F61AE5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687" w:type="pct"/>
            <w:tcBorders>
              <w:top w:val="nil"/>
              <w:left w:val="nil"/>
              <w:bottom w:val="single" w:sz="8" w:space="0" w:color="434343"/>
              <w:right w:val="single" w:sz="8" w:space="0" w:color="434343"/>
            </w:tcBorders>
            <w:shd w:val="clear" w:color="auto" w:fill="auto"/>
            <w:hideMark/>
          </w:tcPr>
          <w:p w14:paraId="1169778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53. Porcentaje de muertes por enfermedades crónico degenerativas</w:t>
            </w:r>
            <w:r w:rsidRPr="00794EB9">
              <w:rPr>
                <w:rFonts w:ascii="Arial" w:hAnsi="Arial" w:cs="Arial"/>
                <w:sz w:val="22"/>
                <w:szCs w:val="22"/>
                <w:lang w:eastAsia="es-MX"/>
              </w:rPr>
              <w:br/>
              <w:t>I 55. Tasa de mortalidad por suicidio</w:t>
            </w:r>
          </w:p>
        </w:tc>
        <w:tc>
          <w:tcPr>
            <w:tcW w:w="426" w:type="pct"/>
            <w:tcBorders>
              <w:top w:val="nil"/>
              <w:left w:val="nil"/>
              <w:bottom w:val="single" w:sz="8" w:space="0" w:color="434343"/>
              <w:right w:val="single" w:sz="8" w:space="0" w:color="434343"/>
            </w:tcBorders>
            <w:shd w:val="clear" w:color="auto" w:fill="auto"/>
            <w:hideMark/>
          </w:tcPr>
          <w:p w14:paraId="161B33B6" w14:textId="77777777" w:rsidR="00794EB9" w:rsidRPr="00794EB9" w:rsidRDefault="00794EB9" w:rsidP="00C307FB">
            <w:pPr>
              <w:spacing w:after="240"/>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1024" w:type="pct"/>
            <w:tcBorders>
              <w:top w:val="nil"/>
              <w:left w:val="nil"/>
              <w:bottom w:val="single" w:sz="8" w:space="0" w:color="434343"/>
              <w:right w:val="single" w:sz="8" w:space="0" w:color="434343"/>
            </w:tcBorders>
            <w:shd w:val="clear" w:color="auto" w:fill="auto"/>
            <w:hideMark/>
          </w:tcPr>
          <w:p w14:paraId="2C9B936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programas de cultura física y deporte en escuelas, centros de capacitación y sitios laborales</w:t>
            </w:r>
          </w:p>
        </w:tc>
        <w:tc>
          <w:tcPr>
            <w:tcW w:w="686" w:type="pct"/>
            <w:vMerge/>
            <w:tcBorders>
              <w:top w:val="nil"/>
              <w:left w:val="single" w:sz="8" w:space="0" w:color="434343"/>
              <w:bottom w:val="single" w:sz="8" w:space="0" w:color="434343"/>
              <w:right w:val="single" w:sz="8" w:space="0" w:color="434343"/>
            </w:tcBorders>
            <w:vAlign w:val="center"/>
            <w:hideMark/>
          </w:tcPr>
          <w:p w14:paraId="6772986D"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24E8EC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4.3.7 Implementar un programa de acceso a la educación para todos.</w:t>
            </w:r>
          </w:p>
        </w:tc>
      </w:tr>
      <w:tr w:rsidR="00794EB9" w:rsidRPr="00794EB9" w14:paraId="4EAFFC28"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3AB89C6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Educación equitativa, perti</w:t>
            </w:r>
            <w:r w:rsidRPr="00794EB9">
              <w:rPr>
                <w:rFonts w:ascii="Arial" w:hAnsi="Arial" w:cs="Arial"/>
                <w:sz w:val="22"/>
                <w:szCs w:val="22"/>
                <w:lang w:eastAsia="es-MX"/>
              </w:rPr>
              <w:lastRenderedPageBreak/>
              <w:t>nente y de calidad</w:t>
            </w:r>
          </w:p>
        </w:tc>
        <w:tc>
          <w:tcPr>
            <w:tcW w:w="610" w:type="pct"/>
            <w:tcBorders>
              <w:top w:val="nil"/>
              <w:left w:val="nil"/>
              <w:bottom w:val="single" w:sz="8" w:space="0" w:color="434343"/>
              <w:right w:val="single" w:sz="8" w:space="0" w:color="434343"/>
            </w:tcBorders>
            <w:shd w:val="clear" w:color="auto" w:fill="auto"/>
            <w:hideMark/>
          </w:tcPr>
          <w:p w14:paraId="57553B3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Promover el aprendizaje equitativo, pertinent</w:t>
            </w:r>
            <w:r w:rsidRPr="00794EB9">
              <w:rPr>
                <w:rFonts w:ascii="Arial" w:hAnsi="Arial" w:cs="Arial"/>
                <w:sz w:val="22"/>
                <w:szCs w:val="22"/>
                <w:lang w:eastAsia="es-MX"/>
              </w:rPr>
              <w:lastRenderedPageBreak/>
              <w:t>e y de calidad a lo largo de la vida</w:t>
            </w:r>
          </w:p>
        </w:tc>
        <w:tc>
          <w:tcPr>
            <w:tcW w:w="687" w:type="pct"/>
            <w:tcBorders>
              <w:top w:val="nil"/>
              <w:left w:val="nil"/>
              <w:bottom w:val="single" w:sz="8" w:space="0" w:color="434343"/>
              <w:right w:val="single" w:sz="8" w:space="0" w:color="434343"/>
            </w:tcBorders>
            <w:shd w:val="clear" w:color="auto" w:fill="auto"/>
            <w:hideMark/>
          </w:tcPr>
          <w:p w14:paraId="7BCE7DD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 57. Porcentaje de niñas, niños y adolescentes que no asisten a </w:t>
            </w:r>
            <w:r w:rsidRPr="00794EB9">
              <w:rPr>
                <w:rFonts w:ascii="Arial" w:hAnsi="Arial" w:cs="Arial"/>
                <w:sz w:val="22"/>
                <w:szCs w:val="22"/>
                <w:lang w:eastAsia="es-MX"/>
              </w:rPr>
              <w:lastRenderedPageBreak/>
              <w:t>la escuela</w:t>
            </w:r>
            <w:r w:rsidRPr="00794EB9">
              <w:rPr>
                <w:rFonts w:ascii="Arial" w:hAnsi="Arial" w:cs="Arial"/>
                <w:sz w:val="22"/>
                <w:szCs w:val="22"/>
                <w:lang w:eastAsia="es-MX"/>
              </w:rPr>
              <w:br/>
              <w:t>I 58. Años promedio de escolaridad de la población económicamente activa</w:t>
            </w:r>
          </w:p>
        </w:tc>
        <w:tc>
          <w:tcPr>
            <w:tcW w:w="426" w:type="pct"/>
            <w:tcBorders>
              <w:top w:val="nil"/>
              <w:left w:val="nil"/>
              <w:bottom w:val="single" w:sz="8" w:space="0" w:color="434343"/>
              <w:right w:val="single" w:sz="8" w:space="0" w:color="434343"/>
            </w:tcBorders>
            <w:shd w:val="clear" w:color="auto" w:fill="auto"/>
            <w:hideMark/>
          </w:tcPr>
          <w:p w14:paraId="3BBF2D9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Educación oportuna y aprendizaje </w:t>
            </w:r>
            <w:r w:rsidRPr="00794EB9">
              <w:rPr>
                <w:rFonts w:ascii="Arial" w:hAnsi="Arial" w:cs="Arial"/>
                <w:sz w:val="22"/>
                <w:szCs w:val="22"/>
                <w:lang w:eastAsia="es-MX"/>
              </w:rPr>
              <w:lastRenderedPageBreak/>
              <w:t>constante</w:t>
            </w:r>
          </w:p>
        </w:tc>
        <w:tc>
          <w:tcPr>
            <w:tcW w:w="1024" w:type="pct"/>
            <w:tcBorders>
              <w:top w:val="nil"/>
              <w:left w:val="nil"/>
              <w:bottom w:val="single" w:sz="8" w:space="0" w:color="434343"/>
              <w:right w:val="single" w:sz="8" w:space="0" w:color="434343"/>
            </w:tcBorders>
            <w:shd w:val="clear" w:color="auto" w:fill="auto"/>
            <w:hideMark/>
          </w:tcPr>
          <w:p w14:paraId="3044335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Fortalecer los mecanismos de coordinación y colaboración con entidades públicas y privadas para </w:t>
            </w:r>
            <w:r w:rsidRPr="00794EB9">
              <w:rPr>
                <w:rFonts w:ascii="Arial" w:hAnsi="Arial" w:cs="Arial"/>
                <w:sz w:val="22"/>
                <w:szCs w:val="22"/>
                <w:lang w:eastAsia="es-MX"/>
              </w:rPr>
              <w:lastRenderedPageBreak/>
              <w:t>disminuir el analfabetismo y el rezago educativo, además de incrementar el grado promedio de escolaridad</w:t>
            </w:r>
          </w:p>
        </w:tc>
        <w:tc>
          <w:tcPr>
            <w:tcW w:w="686" w:type="pct"/>
            <w:vMerge/>
            <w:tcBorders>
              <w:top w:val="nil"/>
              <w:left w:val="single" w:sz="8" w:space="0" w:color="434343"/>
              <w:bottom w:val="single" w:sz="8" w:space="0" w:color="434343"/>
              <w:right w:val="single" w:sz="8" w:space="0" w:color="434343"/>
            </w:tcBorders>
            <w:vAlign w:val="center"/>
            <w:hideMark/>
          </w:tcPr>
          <w:p w14:paraId="4372BA18"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359FF9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4.3.8 Mantenimiento a centros gerontológicos del Sistema DIF para brindar una </w:t>
            </w:r>
            <w:r w:rsidRPr="00794EB9">
              <w:rPr>
                <w:rFonts w:ascii="Arial" w:hAnsi="Arial" w:cs="Arial"/>
                <w:sz w:val="22"/>
                <w:szCs w:val="22"/>
                <w:lang w:eastAsia="es-MX"/>
              </w:rPr>
              <w:lastRenderedPageBreak/>
              <w:t>atención de mayor calidad.</w:t>
            </w:r>
          </w:p>
        </w:tc>
      </w:tr>
      <w:tr w:rsidR="00794EB9" w:rsidRPr="00794EB9" w14:paraId="69F436FD"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069675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Igualdad e inclusión</w:t>
            </w:r>
          </w:p>
        </w:tc>
        <w:tc>
          <w:tcPr>
            <w:tcW w:w="610" w:type="pct"/>
            <w:tcBorders>
              <w:top w:val="nil"/>
              <w:left w:val="nil"/>
              <w:bottom w:val="single" w:sz="8" w:space="0" w:color="434343"/>
              <w:right w:val="single" w:sz="8" w:space="0" w:color="434343"/>
            </w:tcBorders>
            <w:shd w:val="clear" w:color="auto" w:fill="auto"/>
            <w:hideMark/>
          </w:tcPr>
          <w:p w14:paraId="76AF5D0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personas, respetando la diversidad sociocultural y los Derechos Humanos</w:t>
            </w:r>
          </w:p>
        </w:tc>
        <w:tc>
          <w:tcPr>
            <w:tcW w:w="687" w:type="pct"/>
            <w:tcBorders>
              <w:top w:val="nil"/>
              <w:left w:val="nil"/>
              <w:bottom w:val="single" w:sz="8" w:space="0" w:color="434343"/>
              <w:right w:val="single" w:sz="8" w:space="0" w:color="434343"/>
            </w:tcBorders>
            <w:shd w:val="clear" w:color="auto" w:fill="auto"/>
            <w:hideMark/>
          </w:tcPr>
          <w:p w14:paraId="40900A1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51. Brecha salarial por género</w:t>
            </w:r>
            <w:r w:rsidRPr="00794EB9">
              <w:rPr>
                <w:rFonts w:ascii="Arial" w:hAnsi="Arial" w:cs="Arial"/>
                <w:sz w:val="22"/>
                <w:szCs w:val="22"/>
                <w:lang w:eastAsia="es-MX"/>
              </w:rPr>
              <w:br/>
              <w:t>I 52. Coeficiente de Gini</w:t>
            </w:r>
          </w:p>
          <w:p w14:paraId="70DFF1A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(Método utilizado para medir la desigualdad salarial)</w:t>
            </w:r>
          </w:p>
        </w:tc>
        <w:tc>
          <w:tcPr>
            <w:tcW w:w="426" w:type="pct"/>
            <w:tcBorders>
              <w:top w:val="nil"/>
              <w:left w:val="nil"/>
              <w:bottom w:val="single" w:sz="8" w:space="0" w:color="434343"/>
              <w:right w:val="single" w:sz="8" w:space="0" w:color="434343"/>
            </w:tcBorders>
            <w:shd w:val="clear" w:color="auto" w:fill="auto"/>
            <w:hideMark/>
          </w:tcPr>
          <w:p w14:paraId="5A45FFE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 Inclusión y protección de grupos sociales en situación de vulnerabilidad</w:t>
            </w:r>
          </w:p>
        </w:tc>
        <w:tc>
          <w:tcPr>
            <w:tcW w:w="1024" w:type="pct"/>
            <w:tcBorders>
              <w:top w:val="nil"/>
              <w:left w:val="nil"/>
              <w:bottom w:val="single" w:sz="8" w:space="0" w:color="434343"/>
              <w:right w:val="single" w:sz="8" w:space="0" w:color="434343"/>
            </w:tcBorders>
            <w:shd w:val="clear" w:color="auto" w:fill="auto"/>
            <w:hideMark/>
          </w:tcPr>
          <w:p w14:paraId="4A76831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un sistema municipal de protección de las personas adultas mayores e implementar redes de apoyo familiar o comunitario para su inclusión y cuidado, fortaleciendo el envejecimiento saludable</w:t>
            </w:r>
          </w:p>
        </w:tc>
        <w:tc>
          <w:tcPr>
            <w:tcW w:w="686" w:type="pct"/>
            <w:vMerge/>
            <w:tcBorders>
              <w:top w:val="nil"/>
              <w:left w:val="single" w:sz="8" w:space="0" w:color="434343"/>
              <w:bottom w:val="single" w:sz="8" w:space="0" w:color="434343"/>
              <w:right w:val="single" w:sz="8" w:space="0" w:color="434343"/>
            </w:tcBorders>
            <w:vAlign w:val="center"/>
            <w:hideMark/>
          </w:tcPr>
          <w:p w14:paraId="3F905BE8"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022967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4.3.9 Fortalecer a las asociaciones de sociedad civil que atienden de manera integral y brindan alojamiento a los adultos mayores en situación de vulnerabilidad.</w:t>
            </w:r>
          </w:p>
        </w:tc>
      </w:tr>
      <w:tr w:rsidR="00794EB9" w:rsidRPr="00794EB9" w14:paraId="5726CCFB"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8EE723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Estilos de vida saludable</w:t>
            </w:r>
          </w:p>
        </w:tc>
        <w:tc>
          <w:tcPr>
            <w:tcW w:w="610" w:type="pct"/>
            <w:tcBorders>
              <w:top w:val="nil"/>
              <w:left w:val="nil"/>
              <w:bottom w:val="single" w:sz="8" w:space="0" w:color="434343"/>
              <w:right w:val="single" w:sz="8" w:space="0" w:color="434343"/>
            </w:tcBorders>
            <w:shd w:val="clear" w:color="auto" w:fill="auto"/>
            <w:hideMark/>
          </w:tcPr>
          <w:p w14:paraId="4EA137F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w:t>
            </w:r>
            <w:r w:rsidRPr="00794EB9">
              <w:rPr>
                <w:rFonts w:ascii="Arial" w:hAnsi="Arial" w:cs="Arial"/>
                <w:sz w:val="22"/>
                <w:szCs w:val="22"/>
                <w:lang w:eastAsia="es-MX"/>
              </w:rPr>
              <w:lastRenderedPageBreak/>
              <w:t>n de enfermedades crónico-degenerativas y psicosociales</w:t>
            </w:r>
          </w:p>
        </w:tc>
        <w:tc>
          <w:tcPr>
            <w:tcW w:w="687" w:type="pct"/>
            <w:tcBorders>
              <w:top w:val="nil"/>
              <w:left w:val="nil"/>
              <w:bottom w:val="single" w:sz="8" w:space="0" w:color="434343"/>
              <w:right w:val="single" w:sz="8" w:space="0" w:color="434343"/>
            </w:tcBorders>
            <w:shd w:val="clear" w:color="auto" w:fill="auto"/>
            <w:hideMark/>
          </w:tcPr>
          <w:p w14:paraId="19ED0C9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53. Porcentaje de muertes por enfermedades crónico degenerativas</w:t>
            </w:r>
          </w:p>
        </w:tc>
        <w:tc>
          <w:tcPr>
            <w:tcW w:w="426" w:type="pct"/>
            <w:tcBorders>
              <w:top w:val="nil"/>
              <w:left w:val="nil"/>
              <w:bottom w:val="single" w:sz="8" w:space="0" w:color="434343"/>
              <w:right w:val="single" w:sz="8" w:space="0" w:color="434343"/>
            </w:tcBorders>
            <w:shd w:val="clear" w:color="auto" w:fill="auto"/>
            <w:hideMark/>
          </w:tcPr>
          <w:p w14:paraId="360810F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1024" w:type="pct"/>
            <w:tcBorders>
              <w:top w:val="nil"/>
              <w:left w:val="nil"/>
              <w:bottom w:val="single" w:sz="8" w:space="0" w:color="434343"/>
              <w:right w:val="single" w:sz="8" w:space="0" w:color="434343"/>
            </w:tcBorders>
            <w:shd w:val="clear" w:color="auto" w:fill="auto"/>
            <w:hideMark/>
          </w:tcPr>
          <w:p w14:paraId="6E7F71A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Generar esquemas complementarios de atención a la salud desde el municipio, que brinden consultas de primer contacto y disminuyan la demanda en centros </w:t>
            </w:r>
            <w:r w:rsidRPr="00794EB9">
              <w:rPr>
                <w:rFonts w:ascii="Arial" w:hAnsi="Arial" w:cs="Arial"/>
                <w:sz w:val="22"/>
                <w:szCs w:val="22"/>
                <w:lang w:eastAsia="es-MX"/>
              </w:rPr>
              <w:lastRenderedPageBreak/>
              <w:t>especializados de salud</w:t>
            </w:r>
          </w:p>
        </w:tc>
        <w:tc>
          <w:tcPr>
            <w:tcW w:w="686" w:type="pct"/>
            <w:vMerge/>
            <w:tcBorders>
              <w:top w:val="nil"/>
              <w:left w:val="single" w:sz="8" w:space="0" w:color="434343"/>
              <w:bottom w:val="single" w:sz="8" w:space="0" w:color="434343"/>
              <w:right w:val="single" w:sz="8" w:space="0" w:color="434343"/>
            </w:tcBorders>
            <w:vAlign w:val="center"/>
            <w:hideMark/>
          </w:tcPr>
          <w:p w14:paraId="2A36F32C"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91BB62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4.3.10 Brindar atención del cuidador primario para el mejor desempeño social y médico del cuidado de su paciente.</w:t>
            </w:r>
          </w:p>
        </w:tc>
      </w:tr>
      <w:tr w:rsidR="00794EB9" w:rsidRPr="00794EB9" w14:paraId="0DF6159C"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06928D7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Igualdad e inclusión</w:t>
            </w:r>
          </w:p>
        </w:tc>
        <w:tc>
          <w:tcPr>
            <w:tcW w:w="610" w:type="pct"/>
            <w:tcBorders>
              <w:top w:val="nil"/>
              <w:left w:val="nil"/>
              <w:bottom w:val="single" w:sz="8" w:space="0" w:color="434343"/>
              <w:right w:val="single" w:sz="8" w:space="0" w:color="434343"/>
            </w:tcBorders>
            <w:shd w:val="clear" w:color="auto" w:fill="auto"/>
            <w:hideMark/>
          </w:tcPr>
          <w:p w14:paraId="3F4A686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personas, respetando la diversidad sociocultural y los Derechos Humanos</w:t>
            </w:r>
          </w:p>
        </w:tc>
        <w:tc>
          <w:tcPr>
            <w:tcW w:w="687" w:type="pct"/>
            <w:tcBorders>
              <w:top w:val="nil"/>
              <w:left w:val="nil"/>
              <w:bottom w:val="single" w:sz="8" w:space="0" w:color="434343"/>
              <w:right w:val="single" w:sz="8" w:space="0" w:color="434343"/>
            </w:tcBorders>
            <w:shd w:val="clear" w:color="auto" w:fill="auto"/>
            <w:hideMark/>
          </w:tcPr>
          <w:p w14:paraId="2494CEA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51. Brecha salarial por género</w:t>
            </w:r>
            <w:r w:rsidRPr="00794EB9">
              <w:rPr>
                <w:rFonts w:ascii="Arial" w:hAnsi="Arial" w:cs="Arial"/>
                <w:sz w:val="22"/>
                <w:szCs w:val="22"/>
                <w:lang w:eastAsia="es-MX"/>
              </w:rPr>
              <w:br/>
              <w:t>I 52. Coeficiente de Gini</w:t>
            </w:r>
          </w:p>
          <w:p w14:paraId="7BC99BB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(Método utilizado para medir la desigualdad salarial)</w:t>
            </w:r>
          </w:p>
        </w:tc>
        <w:tc>
          <w:tcPr>
            <w:tcW w:w="426" w:type="pct"/>
            <w:tcBorders>
              <w:top w:val="nil"/>
              <w:left w:val="nil"/>
              <w:bottom w:val="single" w:sz="8" w:space="0" w:color="434343"/>
              <w:right w:val="single" w:sz="8" w:space="0" w:color="434343"/>
            </w:tcBorders>
            <w:shd w:val="clear" w:color="auto" w:fill="auto"/>
            <w:hideMark/>
          </w:tcPr>
          <w:p w14:paraId="00677F4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Inclusión y protección de grupos sociales en situación de vulnerabilidad</w:t>
            </w:r>
          </w:p>
        </w:tc>
        <w:tc>
          <w:tcPr>
            <w:tcW w:w="1024" w:type="pct"/>
            <w:tcBorders>
              <w:top w:val="nil"/>
              <w:left w:val="nil"/>
              <w:bottom w:val="single" w:sz="8" w:space="0" w:color="434343"/>
              <w:right w:val="single" w:sz="8" w:space="0" w:color="434343"/>
            </w:tcBorders>
            <w:shd w:val="clear" w:color="auto" w:fill="auto"/>
            <w:hideMark/>
          </w:tcPr>
          <w:p w14:paraId="1D8B228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el respeto de derechos de migrantes nacionales o internacionales que transitan por el municipio</w:t>
            </w:r>
          </w:p>
        </w:tc>
        <w:tc>
          <w:tcPr>
            <w:tcW w:w="686" w:type="pct"/>
            <w:vMerge/>
            <w:tcBorders>
              <w:top w:val="nil"/>
              <w:left w:val="single" w:sz="8" w:space="0" w:color="434343"/>
              <w:bottom w:val="single" w:sz="8" w:space="0" w:color="434343"/>
              <w:right w:val="single" w:sz="8" w:space="0" w:color="434343"/>
            </w:tcBorders>
            <w:vAlign w:val="center"/>
            <w:hideMark/>
          </w:tcPr>
          <w:p w14:paraId="7DB99845"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41392D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4.3.11 Apoyar a proyectos productivos de migrantes en retorno.</w:t>
            </w:r>
          </w:p>
        </w:tc>
      </w:tr>
      <w:tr w:rsidR="00794EB9" w:rsidRPr="00794EB9" w14:paraId="23067DFD"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34A7B5A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610" w:type="pct"/>
            <w:tcBorders>
              <w:top w:val="nil"/>
              <w:left w:val="nil"/>
              <w:bottom w:val="single" w:sz="8" w:space="0" w:color="434343"/>
              <w:right w:val="single" w:sz="8" w:space="0" w:color="434343"/>
            </w:tcBorders>
            <w:shd w:val="clear" w:color="auto" w:fill="auto"/>
            <w:hideMark/>
          </w:tcPr>
          <w:p w14:paraId="20F1639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Generar canales de innovación pública y social para el involucramiento efectivo de la ciudadanía y de las </w:t>
            </w:r>
            <w:r w:rsidRPr="00794EB9">
              <w:rPr>
                <w:rFonts w:ascii="Arial" w:hAnsi="Arial" w:cs="Arial"/>
                <w:sz w:val="22"/>
                <w:szCs w:val="22"/>
                <w:lang w:eastAsia="es-MX"/>
              </w:rPr>
              <w:lastRenderedPageBreak/>
              <w:t>juventudes, en el proceso de cambio y en la toma de decisiones de interés colectivo</w:t>
            </w:r>
          </w:p>
        </w:tc>
        <w:tc>
          <w:tcPr>
            <w:tcW w:w="687" w:type="pct"/>
            <w:tcBorders>
              <w:top w:val="nil"/>
              <w:left w:val="nil"/>
              <w:bottom w:val="single" w:sz="8" w:space="0" w:color="434343"/>
              <w:right w:val="single" w:sz="8" w:space="0" w:color="434343"/>
            </w:tcBorders>
            <w:shd w:val="clear" w:color="auto" w:fill="auto"/>
            <w:hideMark/>
          </w:tcPr>
          <w:p w14:paraId="6785BAF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67. Número de Organizaciones de la Sociedad Civil (OSC) por cada 100 mil habitante</w:t>
            </w:r>
          </w:p>
        </w:tc>
        <w:tc>
          <w:tcPr>
            <w:tcW w:w="426" w:type="pct"/>
            <w:tcBorders>
              <w:top w:val="nil"/>
              <w:left w:val="nil"/>
              <w:bottom w:val="single" w:sz="8" w:space="0" w:color="434343"/>
              <w:right w:val="single" w:sz="8" w:space="0" w:color="434343"/>
            </w:tcBorders>
            <w:shd w:val="clear" w:color="auto" w:fill="auto"/>
            <w:hideMark/>
          </w:tcPr>
          <w:p w14:paraId="1061A6C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Articulación y fortalecimiento de las organizaciones de la sociedad civil</w:t>
            </w:r>
          </w:p>
        </w:tc>
        <w:tc>
          <w:tcPr>
            <w:tcW w:w="1024" w:type="pct"/>
            <w:tcBorders>
              <w:top w:val="nil"/>
              <w:left w:val="nil"/>
              <w:bottom w:val="single" w:sz="8" w:space="0" w:color="434343"/>
              <w:right w:val="single" w:sz="8" w:space="0" w:color="434343"/>
            </w:tcBorders>
            <w:shd w:val="clear" w:color="auto" w:fill="auto"/>
            <w:hideMark/>
          </w:tcPr>
          <w:p w14:paraId="0D47604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Ampliar los canales de vinculación, articulación y colaboración de las organizaciones de la sociedad civil locales, nacionales e internacionales para atender de manera colaborativa los </w:t>
            </w:r>
            <w:r w:rsidRPr="00794EB9">
              <w:rPr>
                <w:rFonts w:ascii="Arial" w:hAnsi="Arial" w:cs="Arial"/>
                <w:sz w:val="22"/>
                <w:szCs w:val="22"/>
                <w:lang w:eastAsia="es-MX"/>
              </w:rPr>
              <w:lastRenderedPageBreak/>
              <w:t>retos prioritarios de León</w:t>
            </w:r>
          </w:p>
        </w:tc>
        <w:tc>
          <w:tcPr>
            <w:tcW w:w="686" w:type="pct"/>
            <w:vMerge/>
            <w:tcBorders>
              <w:top w:val="nil"/>
              <w:left w:val="single" w:sz="8" w:space="0" w:color="434343"/>
              <w:bottom w:val="single" w:sz="8" w:space="0" w:color="434343"/>
              <w:right w:val="single" w:sz="8" w:space="0" w:color="434343"/>
            </w:tcBorders>
            <w:vAlign w:val="center"/>
            <w:hideMark/>
          </w:tcPr>
          <w:p w14:paraId="06466589"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5B1DA0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VS. 4.3.12 Fomentar la internacionalización de las acciones de inclusión del municipio de León a través de la colaboración con organismos, asociaciones o gobiernos nacionales o internacionales. </w:t>
            </w:r>
          </w:p>
        </w:tc>
      </w:tr>
      <w:tr w:rsidR="00794EB9" w:rsidRPr="00794EB9" w14:paraId="00E2501F"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4B1C09E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Gobierno abierto con liderazgo</w:t>
            </w:r>
          </w:p>
        </w:tc>
        <w:tc>
          <w:tcPr>
            <w:tcW w:w="610" w:type="pct"/>
            <w:tcBorders>
              <w:top w:val="nil"/>
              <w:left w:val="nil"/>
              <w:bottom w:val="single" w:sz="8" w:space="0" w:color="434343"/>
              <w:right w:val="single" w:sz="8" w:space="0" w:color="434343"/>
            </w:tcBorders>
            <w:shd w:val="clear" w:color="auto" w:fill="auto"/>
            <w:hideMark/>
          </w:tcPr>
          <w:p w14:paraId="0DB4EF9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la confianza de las y los leoneses hacia el gobierno, con mejores condiciones de comunicación, transparencia, rendición de cuentas y acceso a la información</w:t>
            </w:r>
          </w:p>
        </w:tc>
        <w:tc>
          <w:tcPr>
            <w:tcW w:w="687" w:type="pct"/>
            <w:tcBorders>
              <w:top w:val="nil"/>
              <w:left w:val="nil"/>
              <w:bottom w:val="single" w:sz="8" w:space="0" w:color="434343"/>
              <w:right w:val="single" w:sz="8" w:space="0" w:color="434343"/>
            </w:tcBorders>
            <w:shd w:val="clear" w:color="auto" w:fill="auto"/>
            <w:hideMark/>
          </w:tcPr>
          <w:p w14:paraId="7157187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68. Porcentaje de población que tiene confianza al gobierno municipal</w:t>
            </w:r>
          </w:p>
        </w:tc>
        <w:tc>
          <w:tcPr>
            <w:tcW w:w="426" w:type="pct"/>
            <w:tcBorders>
              <w:top w:val="nil"/>
              <w:left w:val="nil"/>
              <w:bottom w:val="single" w:sz="8" w:space="0" w:color="434343"/>
              <w:right w:val="single" w:sz="8" w:space="0" w:color="434343"/>
            </w:tcBorders>
            <w:shd w:val="clear" w:color="auto" w:fill="auto"/>
            <w:hideMark/>
          </w:tcPr>
          <w:p w14:paraId="35526D1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Eficiencia y modernización administrativa</w:t>
            </w:r>
          </w:p>
        </w:tc>
        <w:tc>
          <w:tcPr>
            <w:tcW w:w="1024" w:type="pct"/>
            <w:tcBorders>
              <w:top w:val="nil"/>
              <w:left w:val="nil"/>
              <w:bottom w:val="single" w:sz="8" w:space="0" w:color="434343"/>
              <w:right w:val="single" w:sz="8" w:space="0" w:color="434343"/>
            </w:tcBorders>
            <w:shd w:val="clear" w:color="auto" w:fill="auto"/>
            <w:hideMark/>
          </w:tcPr>
          <w:p w14:paraId="362EE4F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los esquemas del servicio civil de carrera de las y los servidores públicos que favorezcan una cultura de calidad, igualdad y no discriminación en la atención de la ciudadanía</w:t>
            </w:r>
          </w:p>
        </w:tc>
        <w:tc>
          <w:tcPr>
            <w:tcW w:w="686" w:type="pct"/>
            <w:vMerge/>
            <w:tcBorders>
              <w:top w:val="nil"/>
              <w:left w:val="single" w:sz="8" w:space="0" w:color="434343"/>
              <w:bottom w:val="single" w:sz="8" w:space="0" w:color="434343"/>
              <w:right w:val="single" w:sz="8" w:space="0" w:color="434343"/>
            </w:tcBorders>
            <w:vAlign w:val="center"/>
            <w:hideMark/>
          </w:tcPr>
          <w:p w14:paraId="4011BB21"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344C91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4.3.13 Desarrollar una estrategia de campañas y talleres de fomento a la Inclusión Social y Derechos Humanos para funcionarios públicos de atención directa a la ciudadanía por parte de todas las dependencias.</w:t>
            </w:r>
          </w:p>
        </w:tc>
      </w:tr>
      <w:tr w:rsidR="00794EB9" w:rsidRPr="00794EB9" w14:paraId="2BE7CFF7"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0528588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Equidad social</w:t>
            </w:r>
          </w:p>
        </w:tc>
        <w:tc>
          <w:tcPr>
            <w:tcW w:w="610" w:type="pct"/>
            <w:tcBorders>
              <w:top w:val="nil"/>
              <w:left w:val="nil"/>
              <w:bottom w:val="single" w:sz="8" w:space="0" w:color="434343"/>
              <w:right w:val="single" w:sz="8" w:space="0" w:color="434343"/>
            </w:tcBorders>
            <w:shd w:val="clear" w:color="auto" w:fill="auto"/>
            <w:hideMark/>
          </w:tcPr>
          <w:p w14:paraId="77DA1F4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Mejorar las condiciones socioeconómicas de la población en alguna situación </w:t>
            </w:r>
            <w:r w:rsidRPr="00794EB9">
              <w:rPr>
                <w:rFonts w:ascii="Arial" w:hAnsi="Arial" w:cs="Arial"/>
                <w:sz w:val="22"/>
                <w:szCs w:val="22"/>
                <w:lang w:eastAsia="es-MX"/>
              </w:rPr>
              <w:lastRenderedPageBreak/>
              <w:t>de pobreza contribuyendo a la reducción de las desigualdades</w:t>
            </w:r>
          </w:p>
        </w:tc>
        <w:tc>
          <w:tcPr>
            <w:tcW w:w="687" w:type="pct"/>
            <w:tcBorders>
              <w:top w:val="nil"/>
              <w:left w:val="nil"/>
              <w:bottom w:val="single" w:sz="8" w:space="0" w:color="434343"/>
              <w:right w:val="single" w:sz="8" w:space="0" w:color="434343"/>
            </w:tcBorders>
            <w:shd w:val="clear" w:color="auto" w:fill="auto"/>
            <w:hideMark/>
          </w:tcPr>
          <w:p w14:paraId="05EE38B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50.        Número de localidades rurales con Índice de Rezago Social alto  y  muy alto</w:t>
            </w:r>
          </w:p>
        </w:tc>
        <w:tc>
          <w:tcPr>
            <w:tcW w:w="426" w:type="pct"/>
            <w:tcBorders>
              <w:top w:val="nil"/>
              <w:left w:val="nil"/>
              <w:bottom w:val="single" w:sz="8" w:space="0" w:color="434343"/>
              <w:right w:val="single" w:sz="8" w:space="0" w:color="434343"/>
            </w:tcBorders>
            <w:shd w:val="clear" w:color="auto" w:fill="auto"/>
            <w:hideMark/>
          </w:tcPr>
          <w:p w14:paraId="1F01CB2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Mejoramiento de las condiciones de vida de los habitantes </w:t>
            </w:r>
            <w:r w:rsidRPr="00794EB9">
              <w:rPr>
                <w:rFonts w:ascii="Arial" w:hAnsi="Arial" w:cs="Arial"/>
                <w:sz w:val="22"/>
                <w:szCs w:val="22"/>
                <w:lang w:eastAsia="es-MX"/>
              </w:rPr>
              <w:lastRenderedPageBreak/>
              <w:t>de las comunidades rurales</w:t>
            </w:r>
          </w:p>
        </w:tc>
        <w:tc>
          <w:tcPr>
            <w:tcW w:w="1024" w:type="pct"/>
            <w:tcBorders>
              <w:top w:val="nil"/>
              <w:left w:val="nil"/>
              <w:bottom w:val="single" w:sz="8" w:space="0" w:color="434343"/>
              <w:right w:val="single" w:sz="8" w:space="0" w:color="434343"/>
            </w:tcBorders>
            <w:shd w:val="clear" w:color="auto" w:fill="auto"/>
            <w:hideMark/>
          </w:tcPr>
          <w:p w14:paraId="22DC2DE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Construir y dar mantenimiento a los caminos rurales con cruces seguros en puentes y arroyos de la zona rural en beneficio de las actividades </w:t>
            </w:r>
            <w:r w:rsidRPr="00794EB9">
              <w:rPr>
                <w:rFonts w:ascii="Arial" w:hAnsi="Arial" w:cs="Arial"/>
                <w:sz w:val="22"/>
                <w:szCs w:val="22"/>
                <w:lang w:eastAsia="es-MX"/>
              </w:rPr>
              <w:lastRenderedPageBreak/>
              <w:t>sociales y productivas</w:t>
            </w:r>
          </w:p>
        </w:tc>
        <w:tc>
          <w:tcPr>
            <w:tcW w:w="686" w:type="pct"/>
            <w:vMerge/>
            <w:tcBorders>
              <w:top w:val="nil"/>
              <w:left w:val="single" w:sz="8" w:space="0" w:color="434343"/>
              <w:bottom w:val="single" w:sz="8" w:space="0" w:color="434343"/>
              <w:right w:val="single" w:sz="8" w:space="0" w:color="434343"/>
            </w:tcBorders>
            <w:vAlign w:val="center"/>
            <w:hideMark/>
          </w:tcPr>
          <w:p w14:paraId="73D9C55D"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47587C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4.3.14 Realizar obras para mejorar la accesibilidad a zonas rurales, dar mantenimiento correctivo de vialidades internas y de conexión, mejorar la infraestructura vial en caminos rurales.</w:t>
            </w:r>
          </w:p>
        </w:tc>
      </w:tr>
      <w:tr w:rsidR="00794EB9" w:rsidRPr="00794EB9" w14:paraId="14370312"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722004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Igualdad e inclusión</w:t>
            </w:r>
          </w:p>
        </w:tc>
        <w:tc>
          <w:tcPr>
            <w:tcW w:w="610" w:type="pct"/>
            <w:tcBorders>
              <w:top w:val="nil"/>
              <w:left w:val="nil"/>
              <w:bottom w:val="single" w:sz="8" w:space="0" w:color="434343"/>
              <w:right w:val="single" w:sz="8" w:space="0" w:color="434343"/>
            </w:tcBorders>
            <w:shd w:val="clear" w:color="auto" w:fill="auto"/>
            <w:hideMark/>
          </w:tcPr>
          <w:p w14:paraId="6E72BEC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personas, respetando la diversidad sociocultural y los Derechos Humanos</w:t>
            </w:r>
          </w:p>
        </w:tc>
        <w:tc>
          <w:tcPr>
            <w:tcW w:w="687" w:type="pct"/>
            <w:tcBorders>
              <w:top w:val="nil"/>
              <w:left w:val="nil"/>
              <w:bottom w:val="single" w:sz="8" w:space="0" w:color="434343"/>
              <w:right w:val="single" w:sz="8" w:space="0" w:color="434343"/>
            </w:tcBorders>
            <w:shd w:val="clear" w:color="auto" w:fill="auto"/>
            <w:hideMark/>
          </w:tcPr>
          <w:p w14:paraId="430D974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51. Brecha salarial por género</w:t>
            </w:r>
            <w:r w:rsidRPr="00794EB9">
              <w:rPr>
                <w:rFonts w:ascii="Arial" w:hAnsi="Arial" w:cs="Arial"/>
                <w:sz w:val="22"/>
                <w:szCs w:val="22"/>
                <w:lang w:eastAsia="es-MX"/>
              </w:rPr>
              <w:br/>
              <w:t>I 52. Coeficiente de Gini</w:t>
            </w:r>
          </w:p>
          <w:p w14:paraId="7B72826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(Método utilizado para medir la desigualdad salarial)</w:t>
            </w:r>
          </w:p>
        </w:tc>
        <w:tc>
          <w:tcPr>
            <w:tcW w:w="426" w:type="pct"/>
            <w:tcBorders>
              <w:top w:val="nil"/>
              <w:left w:val="nil"/>
              <w:bottom w:val="single" w:sz="8" w:space="0" w:color="434343"/>
              <w:right w:val="single" w:sz="8" w:space="0" w:color="434343"/>
            </w:tcBorders>
            <w:shd w:val="clear" w:color="auto" w:fill="auto"/>
            <w:hideMark/>
          </w:tcPr>
          <w:p w14:paraId="73014E9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Inclusión y protección de grupos sociales en situación de vulnerabilidad</w:t>
            </w:r>
          </w:p>
        </w:tc>
        <w:tc>
          <w:tcPr>
            <w:tcW w:w="1024" w:type="pct"/>
            <w:tcBorders>
              <w:top w:val="nil"/>
              <w:left w:val="nil"/>
              <w:bottom w:val="single" w:sz="8" w:space="0" w:color="434343"/>
              <w:right w:val="single" w:sz="8" w:space="0" w:color="434343"/>
            </w:tcBorders>
            <w:shd w:val="clear" w:color="auto" w:fill="auto"/>
            <w:hideMark/>
          </w:tcPr>
          <w:p w14:paraId="1430879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el respeto de derechos de migrantes nacionales o internacionales que transitan por el municipio</w:t>
            </w:r>
          </w:p>
        </w:tc>
        <w:tc>
          <w:tcPr>
            <w:tcW w:w="686" w:type="pct"/>
            <w:vMerge/>
            <w:tcBorders>
              <w:top w:val="nil"/>
              <w:left w:val="single" w:sz="8" w:space="0" w:color="434343"/>
              <w:bottom w:val="single" w:sz="8" w:space="0" w:color="434343"/>
              <w:right w:val="single" w:sz="8" w:space="0" w:color="434343"/>
            </w:tcBorders>
            <w:vAlign w:val="center"/>
            <w:hideMark/>
          </w:tcPr>
          <w:p w14:paraId="24CD8CA3"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C98FD3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4.3.15 Brindar atención a Personas Migrantes y Jornaleros.</w:t>
            </w:r>
          </w:p>
        </w:tc>
      </w:tr>
      <w:tr w:rsidR="00794EB9" w:rsidRPr="00794EB9" w14:paraId="70E8EAB8"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1D7D862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610" w:type="pct"/>
            <w:tcBorders>
              <w:top w:val="nil"/>
              <w:left w:val="nil"/>
              <w:bottom w:val="single" w:sz="8" w:space="0" w:color="434343"/>
              <w:right w:val="single" w:sz="8" w:space="0" w:color="434343"/>
            </w:tcBorders>
            <w:shd w:val="clear" w:color="auto" w:fill="auto"/>
            <w:hideMark/>
          </w:tcPr>
          <w:p w14:paraId="7390845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687" w:type="pct"/>
            <w:tcBorders>
              <w:top w:val="nil"/>
              <w:left w:val="nil"/>
              <w:bottom w:val="single" w:sz="8" w:space="0" w:color="434343"/>
              <w:right w:val="single" w:sz="8" w:space="0" w:color="434343"/>
            </w:tcBorders>
            <w:shd w:val="clear" w:color="auto" w:fill="auto"/>
            <w:hideMark/>
          </w:tcPr>
          <w:p w14:paraId="0A321FA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59. Tasa de abandono escolar de niñas, niños y adolescentes</w:t>
            </w:r>
            <w:r w:rsidRPr="00794EB9">
              <w:rPr>
                <w:rFonts w:ascii="Arial" w:hAnsi="Arial" w:cs="Arial"/>
                <w:sz w:val="22"/>
                <w:szCs w:val="22"/>
                <w:lang w:eastAsia="es-MX"/>
              </w:rPr>
              <w:br/>
              <w:t xml:space="preserve">I 60. Tasa de abandono escolar en el nivel </w:t>
            </w:r>
            <w:r w:rsidRPr="00794EB9">
              <w:rPr>
                <w:rFonts w:ascii="Arial" w:hAnsi="Arial" w:cs="Arial"/>
                <w:sz w:val="22"/>
                <w:szCs w:val="22"/>
                <w:lang w:eastAsia="es-MX"/>
              </w:rPr>
              <w:lastRenderedPageBreak/>
              <w:t>medio superior</w:t>
            </w:r>
          </w:p>
        </w:tc>
        <w:tc>
          <w:tcPr>
            <w:tcW w:w="426" w:type="pct"/>
            <w:tcBorders>
              <w:top w:val="nil"/>
              <w:left w:val="nil"/>
              <w:bottom w:val="single" w:sz="8" w:space="0" w:color="434343"/>
              <w:right w:val="single" w:sz="8" w:space="0" w:color="434343"/>
            </w:tcBorders>
            <w:shd w:val="clear" w:color="auto" w:fill="auto"/>
            <w:hideMark/>
          </w:tcPr>
          <w:p w14:paraId="3FF6057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Educación oportuna y aprendizaje constante</w:t>
            </w:r>
          </w:p>
        </w:tc>
        <w:tc>
          <w:tcPr>
            <w:tcW w:w="1024" w:type="pct"/>
            <w:tcBorders>
              <w:top w:val="nil"/>
              <w:left w:val="nil"/>
              <w:bottom w:val="single" w:sz="8" w:space="0" w:color="434343"/>
              <w:right w:val="single" w:sz="8" w:space="0" w:color="434343"/>
            </w:tcBorders>
            <w:shd w:val="clear" w:color="auto" w:fill="auto"/>
            <w:hideMark/>
          </w:tcPr>
          <w:p w14:paraId="5C3D7DD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Fortalecer los mecanismos de coordinación y colaboración con entidades públicas y privadas para disminuir el analfabetismo y el rezago educativo, además de incrementar el </w:t>
            </w:r>
            <w:r w:rsidRPr="00794EB9">
              <w:rPr>
                <w:rFonts w:ascii="Arial" w:hAnsi="Arial" w:cs="Arial"/>
                <w:sz w:val="22"/>
                <w:szCs w:val="22"/>
                <w:lang w:eastAsia="es-MX"/>
              </w:rPr>
              <w:lastRenderedPageBreak/>
              <w:t>grado promedio de escolaridad</w:t>
            </w:r>
          </w:p>
        </w:tc>
        <w:tc>
          <w:tcPr>
            <w:tcW w:w="686" w:type="pct"/>
            <w:vMerge/>
            <w:tcBorders>
              <w:top w:val="nil"/>
              <w:left w:val="single" w:sz="8" w:space="0" w:color="434343"/>
              <w:bottom w:val="single" w:sz="8" w:space="0" w:color="434343"/>
              <w:right w:val="single" w:sz="8" w:space="0" w:color="434343"/>
            </w:tcBorders>
            <w:vAlign w:val="center"/>
            <w:hideMark/>
          </w:tcPr>
          <w:p w14:paraId="3E11EE2F" w14:textId="77777777" w:rsidR="00794EB9" w:rsidRPr="00794EB9" w:rsidRDefault="00794EB9" w:rsidP="00C307FB">
            <w:pPr>
              <w:rPr>
                <w:rFonts w:ascii="Arial" w:hAnsi="Arial" w:cs="Arial"/>
                <w:b/>
                <w:bCs/>
                <w:sz w:val="22"/>
                <w:szCs w:val="22"/>
                <w:lang w:eastAsia="es-MX"/>
              </w:rPr>
            </w:pP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50EB60A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4.3.16 Brindar apoyos para la educación y la formación de niños y jóvenes de escasos recursos</w:t>
            </w:r>
          </w:p>
        </w:tc>
      </w:tr>
      <w:tr w:rsidR="00794EB9" w:rsidRPr="00794EB9" w14:paraId="5FD8A9D9"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32818A2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610" w:type="pct"/>
            <w:tcBorders>
              <w:top w:val="nil"/>
              <w:left w:val="nil"/>
              <w:bottom w:val="single" w:sz="8" w:space="0" w:color="434343"/>
              <w:right w:val="single" w:sz="8" w:space="0" w:color="434343"/>
            </w:tcBorders>
            <w:shd w:val="clear" w:color="auto" w:fill="auto"/>
            <w:hideMark/>
          </w:tcPr>
          <w:p w14:paraId="2E9EF1E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687" w:type="pct"/>
            <w:tcBorders>
              <w:top w:val="nil"/>
              <w:left w:val="nil"/>
              <w:bottom w:val="single" w:sz="8" w:space="0" w:color="434343"/>
              <w:right w:val="single" w:sz="8" w:space="0" w:color="434343"/>
            </w:tcBorders>
            <w:shd w:val="clear" w:color="auto" w:fill="auto"/>
            <w:hideMark/>
          </w:tcPr>
          <w:p w14:paraId="22B434E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66. Porcentaje de consejos ciudadanos con consejeras y consejeros jóvenes</w:t>
            </w:r>
          </w:p>
        </w:tc>
        <w:tc>
          <w:tcPr>
            <w:tcW w:w="426" w:type="pct"/>
            <w:tcBorders>
              <w:top w:val="nil"/>
              <w:left w:val="nil"/>
              <w:bottom w:val="single" w:sz="8" w:space="0" w:color="434343"/>
              <w:right w:val="single" w:sz="8" w:space="0" w:color="434343"/>
            </w:tcBorders>
            <w:shd w:val="clear" w:color="auto" w:fill="auto"/>
            <w:hideMark/>
          </w:tcPr>
          <w:p w14:paraId="765DEB3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Juventudes agentes del cambio</w:t>
            </w:r>
          </w:p>
        </w:tc>
        <w:tc>
          <w:tcPr>
            <w:tcW w:w="1024" w:type="pct"/>
            <w:tcBorders>
              <w:top w:val="nil"/>
              <w:left w:val="nil"/>
              <w:bottom w:val="single" w:sz="8" w:space="0" w:color="434343"/>
              <w:right w:val="single" w:sz="8" w:space="0" w:color="434343"/>
            </w:tcBorders>
            <w:shd w:val="clear" w:color="auto" w:fill="auto"/>
            <w:hideMark/>
          </w:tcPr>
          <w:p w14:paraId="0C15756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programas de diseño y formación de proyectos de vida para niñas, niños y adolescentes, de acuerdo</w:t>
            </w:r>
            <w:r w:rsidRPr="00794EB9">
              <w:rPr>
                <w:rFonts w:ascii="Arial" w:hAnsi="Arial" w:cs="Arial"/>
                <w:sz w:val="22"/>
                <w:szCs w:val="22"/>
                <w:lang w:eastAsia="es-MX"/>
              </w:rPr>
              <w:br/>
              <w:t>con su entorno sociocultural y su contexto urbano o rural</w:t>
            </w:r>
          </w:p>
        </w:tc>
        <w:tc>
          <w:tcPr>
            <w:tcW w:w="686" w:type="pct"/>
            <w:vMerge/>
            <w:tcBorders>
              <w:top w:val="nil"/>
              <w:left w:val="single" w:sz="8" w:space="0" w:color="434343"/>
              <w:bottom w:val="single" w:sz="8" w:space="0" w:color="434343"/>
              <w:right w:val="single" w:sz="8" w:space="0" w:color="434343"/>
            </w:tcBorders>
            <w:vAlign w:val="center"/>
            <w:hideMark/>
          </w:tcPr>
          <w:p w14:paraId="2E458A6B" w14:textId="77777777" w:rsidR="00794EB9" w:rsidRPr="00794EB9" w:rsidRDefault="00794EB9" w:rsidP="00C307FB">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3CDC05D6" w14:textId="77777777" w:rsidR="00794EB9" w:rsidRPr="00794EB9" w:rsidRDefault="00794EB9" w:rsidP="00C307FB">
            <w:pPr>
              <w:rPr>
                <w:rFonts w:ascii="Arial" w:hAnsi="Arial" w:cs="Arial"/>
                <w:sz w:val="22"/>
                <w:szCs w:val="22"/>
                <w:lang w:eastAsia="es-MX"/>
              </w:rPr>
            </w:pPr>
          </w:p>
        </w:tc>
      </w:tr>
      <w:tr w:rsidR="00794EB9" w:rsidRPr="00794EB9" w14:paraId="648BACAC"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15F8D22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Estilos de vida saludable</w:t>
            </w:r>
          </w:p>
        </w:tc>
        <w:tc>
          <w:tcPr>
            <w:tcW w:w="610" w:type="pct"/>
            <w:tcBorders>
              <w:top w:val="nil"/>
              <w:left w:val="nil"/>
              <w:bottom w:val="single" w:sz="8" w:space="0" w:color="434343"/>
              <w:right w:val="single" w:sz="8" w:space="0" w:color="434343"/>
            </w:tcBorders>
            <w:shd w:val="clear" w:color="auto" w:fill="auto"/>
            <w:hideMark/>
          </w:tcPr>
          <w:p w14:paraId="05A2363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Consolidar una cultura de prevención, auto cuidado y hábitos saludables para la reducción de enfermedades crónico-degenerativas y </w:t>
            </w:r>
            <w:r w:rsidRPr="00794EB9">
              <w:rPr>
                <w:rFonts w:ascii="Arial" w:hAnsi="Arial" w:cs="Arial"/>
                <w:sz w:val="22"/>
                <w:szCs w:val="22"/>
                <w:lang w:eastAsia="es-MX"/>
              </w:rPr>
              <w:lastRenderedPageBreak/>
              <w:t>psicosociales</w:t>
            </w:r>
          </w:p>
        </w:tc>
        <w:tc>
          <w:tcPr>
            <w:tcW w:w="687" w:type="pct"/>
            <w:tcBorders>
              <w:top w:val="nil"/>
              <w:left w:val="nil"/>
              <w:bottom w:val="single" w:sz="8" w:space="0" w:color="434343"/>
              <w:right w:val="single" w:sz="8" w:space="0" w:color="434343"/>
            </w:tcBorders>
            <w:shd w:val="clear" w:color="auto" w:fill="auto"/>
            <w:hideMark/>
          </w:tcPr>
          <w:p w14:paraId="3B05FFD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56. Tasa de fecundidad de adolescentes entre 15 y 19 años</w:t>
            </w:r>
          </w:p>
        </w:tc>
        <w:tc>
          <w:tcPr>
            <w:tcW w:w="426" w:type="pct"/>
            <w:tcBorders>
              <w:top w:val="nil"/>
              <w:left w:val="nil"/>
              <w:bottom w:val="single" w:sz="8" w:space="0" w:color="434343"/>
              <w:right w:val="single" w:sz="8" w:space="0" w:color="434343"/>
            </w:tcBorders>
            <w:shd w:val="clear" w:color="auto" w:fill="auto"/>
            <w:hideMark/>
          </w:tcPr>
          <w:p w14:paraId="7033E51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Prevención y apoyo de la maternidad y paternidad adolescente</w:t>
            </w:r>
          </w:p>
        </w:tc>
        <w:tc>
          <w:tcPr>
            <w:tcW w:w="1024" w:type="pct"/>
            <w:tcBorders>
              <w:top w:val="nil"/>
              <w:left w:val="nil"/>
              <w:bottom w:val="single" w:sz="8" w:space="0" w:color="434343"/>
              <w:right w:val="single" w:sz="8" w:space="0" w:color="434343"/>
            </w:tcBorders>
            <w:shd w:val="clear" w:color="auto" w:fill="auto"/>
            <w:hideMark/>
          </w:tcPr>
          <w:p w14:paraId="11E8A05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Instrumentar una política pública de atención y programas de prevención temprana al embarazo adolescente que considere contextos personales, derechos sexuales y reproductivos, proyectos de vida y responsabilidad reproductiva </w:t>
            </w:r>
            <w:r w:rsidRPr="00794EB9">
              <w:rPr>
                <w:rFonts w:ascii="Arial" w:hAnsi="Arial" w:cs="Arial"/>
                <w:sz w:val="22"/>
                <w:szCs w:val="22"/>
                <w:lang w:eastAsia="es-MX"/>
              </w:rPr>
              <w:lastRenderedPageBreak/>
              <w:t>para las y los adolescentes</w:t>
            </w:r>
          </w:p>
        </w:tc>
        <w:tc>
          <w:tcPr>
            <w:tcW w:w="686" w:type="pct"/>
            <w:vMerge/>
            <w:tcBorders>
              <w:top w:val="nil"/>
              <w:left w:val="single" w:sz="8" w:space="0" w:color="434343"/>
              <w:bottom w:val="single" w:sz="8" w:space="0" w:color="434343"/>
              <w:right w:val="single" w:sz="8" w:space="0" w:color="434343"/>
            </w:tcBorders>
            <w:vAlign w:val="center"/>
            <w:hideMark/>
          </w:tcPr>
          <w:p w14:paraId="245BDC2F"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31AC1D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VS 4.3.17 Realizar talleres para personas promotoras de la educación de la sexualidad, para contribuir a la disminución de los embarazos en adolescentes.</w:t>
            </w:r>
          </w:p>
        </w:tc>
      </w:tr>
      <w:tr w:rsidR="00794EB9" w:rsidRPr="00794EB9" w14:paraId="354B684D"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5D6C32A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D9D9D9" w:themeFill="background1" w:themeFillShade="D9"/>
            <w:noWrap/>
            <w:hideMark/>
          </w:tcPr>
          <w:p w14:paraId="1AE0074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D9D9D9" w:themeFill="background1" w:themeFillShade="D9"/>
            <w:noWrap/>
            <w:hideMark/>
          </w:tcPr>
          <w:p w14:paraId="1F84547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D9D9D9" w:themeFill="background1" w:themeFillShade="D9"/>
            <w:noWrap/>
            <w:hideMark/>
          </w:tcPr>
          <w:p w14:paraId="32A8FDA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1817876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59B303F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BANDERA "VIVIR MEJOR"</w:t>
            </w: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43ABEA6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374CE650" w14:textId="77777777" w:rsidTr="00C307FB">
        <w:trPr>
          <w:trHeight w:val="57"/>
        </w:trPr>
        <w:tc>
          <w:tcPr>
            <w:tcW w:w="376" w:type="pct"/>
            <w:tcBorders>
              <w:top w:val="nil"/>
              <w:left w:val="nil"/>
              <w:bottom w:val="single" w:sz="4" w:space="0" w:color="auto"/>
              <w:right w:val="nil"/>
            </w:tcBorders>
            <w:shd w:val="clear" w:color="FFFFFF" w:fill="FFFFFF"/>
            <w:noWrap/>
            <w:vAlign w:val="center"/>
            <w:hideMark/>
          </w:tcPr>
          <w:p w14:paraId="28ED1C6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4" w:space="0" w:color="auto"/>
              <w:right w:val="nil"/>
            </w:tcBorders>
            <w:shd w:val="clear" w:color="FFFFFF" w:fill="FFFFFF"/>
            <w:noWrap/>
            <w:vAlign w:val="center"/>
            <w:hideMark/>
          </w:tcPr>
          <w:p w14:paraId="2B6676E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4" w:space="0" w:color="auto"/>
              <w:right w:val="nil"/>
            </w:tcBorders>
            <w:shd w:val="clear" w:color="FFFFFF" w:fill="FFFFFF"/>
            <w:noWrap/>
            <w:vAlign w:val="center"/>
            <w:hideMark/>
          </w:tcPr>
          <w:p w14:paraId="14EB4DB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4" w:space="0" w:color="auto"/>
              <w:right w:val="nil"/>
            </w:tcBorders>
            <w:shd w:val="clear" w:color="FFFFFF" w:fill="FFFFFF"/>
            <w:noWrap/>
            <w:vAlign w:val="center"/>
            <w:hideMark/>
          </w:tcPr>
          <w:p w14:paraId="22110CE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4" w:space="0" w:color="auto"/>
              <w:right w:val="nil"/>
            </w:tcBorders>
            <w:shd w:val="clear" w:color="FFFFFF" w:fill="FFFFFF"/>
            <w:noWrap/>
            <w:vAlign w:val="center"/>
            <w:hideMark/>
          </w:tcPr>
          <w:p w14:paraId="0328758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4" w:space="0" w:color="auto"/>
              <w:right w:val="nil"/>
            </w:tcBorders>
            <w:shd w:val="clear" w:color="FFFFFF" w:fill="FFFFFF"/>
            <w:vAlign w:val="center"/>
            <w:hideMark/>
          </w:tcPr>
          <w:p w14:paraId="42306DD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w:t>
            </w:r>
          </w:p>
        </w:tc>
        <w:tc>
          <w:tcPr>
            <w:tcW w:w="1191" w:type="pct"/>
            <w:tcBorders>
              <w:top w:val="nil"/>
              <w:left w:val="nil"/>
              <w:bottom w:val="single" w:sz="4" w:space="0" w:color="auto"/>
              <w:right w:val="nil"/>
            </w:tcBorders>
            <w:shd w:val="clear" w:color="FFFFFF" w:fill="FFFFFF"/>
            <w:vAlign w:val="center"/>
            <w:hideMark/>
          </w:tcPr>
          <w:p w14:paraId="56F2AFB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r>
      <w:tr w:rsidR="00794EB9" w:rsidRPr="00794EB9" w14:paraId="407CEF7D" w14:textId="77777777" w:rsidTr="00C307FB">
        <w:trPr>
          <w:trHeight w:val="453"/>
        </w:trPr>
        <w:tc>
          <w:tcPr>
            <w:tcW w:w="3123"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C2C602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187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D72ABB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VM1. Salir adelante</w:t>
            </w:r>
          </w:p>
          <w:p w14:paraId="63334222" w14:textId="77777777" w:rsidR="00794EB9" w:rsidRPr="00794EB9" w:rsidRDefault="00794EB9" w:rsidP="00C307FB">
            <w:pPr>
              <w:ind w:hanging="2"/>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1FE52659" w14:textId="77777777" w:rsidTr="00C307FB">
        <w:trPr>
          <w:trHeight w:val="57"/>
        </w:trPr>
        <w:tc>
          <w:tcPr>
            <w:tcW w:w="376" w:type="pct"/>
            <w:vMerge w:val="restart"/>
            <w:tcBorders>
              <w:top w:val="single" w:sz="4" w:space="0" w:color="auto"/>
              <w:left w:val="single" w:sz="8" w:space="0" w:color="434343"/>
              <w:bottom w:val="single" w:sz="8" w:space="0" w:color="434343"/>
              <w:right w:val="single" w:sz="8" w:space="0" w:color="434343"/>
            </w:tcBorders>
            <w:shd w:val="clear" w:color="auto" w:fill="auto"/>
            <w:hideMark/>
          </w:tcPr>
          <w:p w14:paraId="13FC5FC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Igualdad e inclusión</w:t>
            </w:r>
          </w:p>
        </w:tc>
        <w:tc>
          <w:tcPr>
            <w:tcW w:w="610" w:type="pct"/>
            <w:vMerge w:val="restart"/>
            <w:tcBorders>
              <w:top w:val="single" w:sz="4" w:space="0" w:color="auto"/>
              <w:left w:val="single" w:sz="8" w:space="0" w:color="434343"/>
              <w:bottom w:val="single" w:sz="8" w:space="0" w:color="434343"/>
              <w:right w:val="single" w:sz="8" w:space="0" w:color="434343"/>
            </w:tcBorders>
            <w:shd w:val="clear" w:color="auto" w:fill="auto"/>
            <w:hideMark/>
          </w:tcPr>
          <w:p w14:paraId="53F35F8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personas, respetando la diversidad sociocultural y los Derechos Humanos</w:t>
            </w:r>
          </w:p>
        </w:tc>
        <w:tc>
          <w:tcPr>
            <w:tcW w:w="687" w:type="pct"/>
            <w:vMerge w:val="restart"/>
            <w:tcBorders>
              <w:top w:val="single" w:sz="4" w:space="0" w:color="auto"/>
              <w:left w:val="single" w:sz="8" w:space="0" w:color="434343"/>
              <w:bottom w:val="single" w:sz="8" w:space="0" w:color="434343"/>
              <w:right w:val="single" w:sz="8" w:space="0" w:color="434343"/>
            </w:tcBorders>
            <w:shd w:val="clear" w:color="auto" w:fill="auto"/>
            <w:hideMark/>
          </w:tcPr>
          <w:p w14:paraId="3AA4E97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51. Brecha salarial por género</w:t>
            </w:r>
          </w:p>
        </w:tc>
        <w:tc>
          <w:tcPr>
            <w:tcW w:w="426" w:type="pct"/>
            <w:vMerge w:val="restart"/>
            <w:tcBorders>
              <w:top w:val="single" w:sz="4" w:space="0" w:color="auto"/>
              <w:left w:val="single" w:sz="8" w:space="0" w:color="434343"/>
              <w:bottom w:val="single" w:sz="8" w:space="0" w:color="434343"/>
              <w:right w:val="single" w:sz="8" w:space="0" w:color="434343"/>
            </w:tcBorders>
            <w:shd w:val="clear" w:color="auto" w:fill="auto"/>
            <w:hideMark/>
          </w:tcPr>
          <w:p w14:paraId="639DDDF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Fortalecimiento de la igualdad de género</w:t>
            </w:r>
          </w:p>
        </w:tc>
        <w:tc>
          <w:tcPr>
            <w:tcW w:w="1024" w:type="pct"/>
            <w:vMerge w:val="restart"/>
            <w:tcBorders>
              <w:top w:val="single" w:sz="4" w:space="0" w:color="auto"/>
              <w:left w:val="single" w:sz="8" w:space="0" w:color="434343"/>
              <w:bottom w:val="single" w:sz="8" w:space="0" w:color="434343"/>
              <w:right w:val="single" w:sz="8" w:space="0" w:color="434343"/>
            </w:tcBorders>
            <w:shd w:val="clear" w:color="auto" w:fill="auto"/>
            <w:hideMark/>
          </w:tcPr>
          <w:p w14:paraId="3A581A4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y fortalecer esquemas de cuidado y atención en estancias infantiles, para el apoyo de madres y padres trabajadores en el cuidado de las hijas e hijos desde su nacimiento y hasta los 12 años de edad</w:t>
            </w:r>
          </w:p>
        </w:tc>
        <w:tc>
          <w:tcPr>
            <w:tcW w:w="686" w:type="pct"/>
            <w:vMerge w:val="restart"/>
            <w:tcBorders>
              <w:top w:val="single" w:sz="4" w:space="0" w:color="auto"/>
              <w:left w:val="single" w:sz="8" w:space="0" w:color="434343"/>
              <w:bottom w:val="single" w:sz="8" w:space="0" w:color="434343"/>
              <w:right w:val="single" w:sz="8" w:space="0" w:color="434343"/>
            </w:tcBorders>
            <w:shd w:val="clear" w:color="auto" w:fill="auto"/>
            <w:hideMark/>
          </w:tcPr>
          <w:p w14:paraId="60F3EFD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VM1.1 Becas - Red de Estancias Seguras </w:t>
            </w:r>
          </w:p>
        </w:tc>
        <w:tc>
          <w:tcPr>
            <w:tcW w:w="1191" w:type="pct"/>
            <w:tcBorders>
              <w:top w:val="single" w:sz="4" w:space="0" w:color="auto"/>
              <w:left w:val="nil"/>
              <w:bottom w:val="single" w:sz="8" w:space="0" w:color="434343"/>
              <w:right w:val="single" w:sz="8" w:space="0" w:color="434343"/>
            </w:tcBorders>
            <w:shd w:val="clear" w:color="auto" w:fill="auto"/>
            <w:hideMark/>
          </w:tcPr>
          <w:p w14:paraId="0944650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1.1.1 Realizar un Diagnóstico de la Red de Estancias existentes en la ciudad.</w:t>
            </w:r>
          </w:p>
        </w:tc>
      </w:tr>
      <w:tr w:rsidR="00794EB9" w:rsidRPr="00794EB9" w14:paraId="7347AF84" w14:textId="77777777" w:rsidTr="00C307FB">
        <w:trPr>
          <w:trHeight w:val="433"/>
        </w:trPr>
        <w:tc>
          <w:tcPr>
            <w:tcW w:w="376" w:type="pct"/>
            <w:vMerge/>
            <w:tcBorders>
              <w:top w:val="nil"/>
              <w:left w:val="single" w:sz="8" w:space="0" w:color="434343"/>
              <w:bottom w:val="single" w:sz="8" w:space="0" w:color="434343"/>
              <w:right w:val="single" w:sz="8" w:space="0" w:color="434343"/>
            </w:tcBorders>
            <w:vAlign w:val="center"/>
            <w:hideMark/>
          </w:tcPr>
          <w:p w14:paraId="34FCE585"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4FDFA34"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7E748364"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56E17FC0"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3EEBC4C"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8BA7765" w14:textId="77777777" w:rsidR="00794EB9" w:rsidRPr="00794EB9" w:rsidRDefault="00794EB9" w:rsidP="00C307FB">
            <w:pPr>
              <w:rPr>
                <w:rFonts w:ascii="Arial" w:hAnsi="Arial" w:cs="Arial"/>
                <w:b/>
                <w:bCs/>
                <w:sz w:val="22"/>
                <w:szCs w:val="22"/>
                <w:lang w:eastAsia="es-MX"/>
              </w:rPr>
            </w:pP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4483119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1.1.2 Desarrollar un Programa de estímulos para mujeres jefas de familia en la red de estancias seguras certificadas.  </w:t>
            </w:r>
          </w:p>
        </w:tc>
      </w:tr>
      <w:tr w:rsidR="00794EB9" w:rsidRPr="00794EB9" w14:paraId="76A6A98C" w14:textId="77777777" w:rsidTr="00C307FB">
        <w:trPr>
          <w:trHeight w:val="433"/>
        </w:trPr>
        <w:tc>
          <w:tcPr>
            <w:tcW w:w="376" w:type="pct"/>
            <w:vMerge/>
            <w:tcBorders>
              <w:top w:val="nil"/>
              <w:left w:val="single" w:sz="8" w:space="0" w:color="434343"/>
              <w:bottom w:val="single" w:sz="8" w:space="0" w:color="434343"/>
              <w:right w:val="single" w:sz="8" w:space="0" w:color="434343"/>
            </w:tcBorders>
            <w:vAlign w:val="center"/>
            <w:hideMark/>
          </w:tcPr>
          <w:p w14:paraId="202541FB"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0610ABB"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5E58BE4"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42346925"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6FB27692"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C7BBFD8" w14:textId="77777777" w:rsidR="00794EB9" w:rsidRPr="00794EB9" w:rsidRDefault="00794EB9" w:rsidP="00C307FB">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227B7E3D" w14:textId="77777777" w:rsidR="00794EB9" w:rsidRPr="00794EB9" w:rsidRDefault="00794EB9" w:rsidP="00C307FB">
            <w:pPr>
              <w:rPr>
                <w:rFonts w:ascii="Arial" w:hAnsi="Arial" w:cs="Arial"/>
                <w:sz w:val="22"/>
                <w:szCs w:val="22"/>
                <w:lang w:eastAsia="es-MX"/>
              </w:rPr>
            </w:pPr>
          </w:p>
        </w:tc>
      </w:tr>
      <w:tr w:rsidR="00794EB9" w:rsidRPr="00794EB9" w14:paraId="11AE43DC"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2C35352"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A606D8B"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705757F7"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1D6A334"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023FE121"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hideMark/>
          </w:tcPr>
          <w:p w14:paraId="67AC5D4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VM1.2 Modelo Club DIF</w:t>
            </w:r>
          </w:p>
        </w:tc>
        <w:tc>
          <w:tcPr>
            <w:tcW w:w="1191" w:type="pct"/>
            <w:tcBorders>
              <w:top w:val="nil"/>
              <w:left w:val="nil"/>
              <w:bottom w:val="single" w:sz="8" w:space="0" w:color="434343"/>
              <w:right w:val="single" w:sz="8" w:space="0" w:color="434343"/>
            </w:tcBorders>
            <w:shd w:val="clear" w:color="auto" w:fill="auto"/>
            <w:hideMark/>
          </w:tcPr>
          <w:p w14:paraId="5A83E9D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1.2.1 Adaptar espacios para el cuidado de las niñas y los niños bajo el modelo de Club DIF.</w:t>
            </w:r>
          </w:p>
        </w:tc>
      </w:tr>
      <w:tr w:rsidR="00794EB9" w:rsidRPr="00794EB9" w14:paraId="486EE880"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56DFA3A"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72582D3" w14:textId="77777777" w:rsidR="00794EB9" w:rsidRPr="00794EB9" w:rsidRDefault="00794EB9" w:rsidP="00C307FB">
            <w:pPr>
              <w:rPr>
                <w:rFonts w:ascii="Arial" w:hAnsi="Arial" w:cs="Arial"/>
                <w:sz w:val="22"/>
                <w:szCs w:val="22"/>
                <w:lang w:eastAsia="es-MX"/>
              </w:rPr>
            </w:pP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0518A6E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52. Coeficiente de Gini</w:t>
            </w:r>
          </w:p>
          <w:p w14:paraId="1DC6D17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(Método utilizado para medir la desigualdad salarial)</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6F5F9AC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Inclusión y protección de grupos sociales en situación de vulnerabilidad</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41C098A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el enfoque de protección integral de niñas, niños y adolescentes, orientado al interés superior de la niñez con la coordinación institucional necesaria para el restablecimiento de sus derechos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14AC537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VM1.3 Construcción de plan de vida para Jóvenes que crecen y se desarrollan en contextos de vulnerabilidad</w:t>
            </w:r>
          </w:p>
        </w:tc>
        <w:tc>
          <w:tcPr>
            <w:tcW w:w="1191" w:type="pct"/>
            <w:tcBorders>
              <w:top w:val="nil"/>
              <w:left w:val="nil"/>
              <w:bottom w:val="single" w:sz="8" w:space="0" w:color="434343"/>
              <w:right w:val="single" w:sz="8" w:space="0" w:color="434343"/>
            </w:tcBorders>
            <w:shd w:val="clear" w:color="auto" w:fill="auto"/>
            <w:hideMark/>
          </w:tcPr>
          <w:p w14:paraId="320A190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1.3.1 Crear un espacio de atención para jóvenes mayores de 18 años.</w:t>
            </w:r>
          </w:p>
        </w:tc>
      </w:tr>
      <w:tr w:rsidR="00794EB9" w:rsidRPr="00794EB9" w14:paraId="6ADDA848" w14:textId="77777777" w:rsidTr="00C307FB">
        <w:trPr>
          <w:trHeight w:val="433"/>
        </w:trPr>
        <w:tc>
          <w:tcPr>
            <w:tcW w:w="376" w:type="pct"/>
            <w:vMerge/>
            <w:tcBorders>
              <w:top w:val="nil"/>
              <w:left w:val="single" w:sz="8" w:space="0" w:color="434343"/>
              <w:bottom w:val="single" w:sz="8" w:space="0" w:color="434343"/>
              <w:right w:val="single" w:sz="8" w:space="0" w:color="434343"/>
            </w:tcBorders>
            <w:vAlign w:val="center"/>
            <w:hideMark/>
          </w:tcPr>
          <w:p w14:paraId="61DA50DD"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F5D0A60"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7F63C16A"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0FFF6B8"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66A8CA62"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468EDC3" w14:textId="77777777" w:rsidR="00794EB9" w:rsidRPr="00794EB9" w:rsidRDefault="00794EB9" w:rsidP="00C307FB">
            <w:pPr>
              <w:rPr>
                <w:rFonts w:ascii="Arial" w:hAnsi="Arial" w:cs="Arial"/>
                <w:b/>
                <w:bCs/>
                <w:sz w:val="22"/>
                <w:szCs w:val="22"/>
                <w:lang w:eastAsia="es-MX"/>
              </w:rPr>
            </w:pP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78763BB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1.3.2 Desarrollar un esquema de seguimiento que integre la elaboración de un proyecto de construcción de plan de vida para jóvenes.</w:t>
            </w:r>
          </w:p>
        </w:tc>
      </w:tr>
      <w:tr w:rsidR="00794EB9" w:rsidRPr="00794EB9" w14:paraId="62F95053"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48DB30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Co-crea</w:t>
            </w:r>
            <w:r w:rsidRPr="00794EB9">
              <w:rPr>
                <w:rFonts w:ascii="Arial" w:hAnsi="Arial" w:cs="Arial"/>
                <w:sz w:val="22"/>
                <w:szCs w:val="22"/>
                <w:lang w:eastAsia="es-MX"/>
              </w:rPr>
              <w:lastRenderedPageBreak/>
              <w:t>ción: colaboración y participación ciudadana</w:t>
            </w:r>
          </w:p>
        </w:tc>
        <w:tc>
          <w:tcPr>
            <w:tcW w:w="610" w:type="pct"/>
            <w:tcBorders>
              <w:top w:val="nil"/>
              <w:left w:val="nil"/>
              <w:bottom w:val="single" w:sz="8" w:space="0" w:color="434343"/>
              <w:right w:val="single" w:sz="8" w:space="0" w:color="434343"/>
            </w:tcBorders>
            <w:shd w:val="clear" w:color="auto" w:fill="auto"/>
            <w:hideMark/>
          </w:tcPr>
          <w:p w14:paraId="5B1A5B3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Generar canales </w:t>
            </w:r>
            <w:r w:rsidRPr="00794EB9">
              <w:rPr>
                <w:rFonts w:ascii="Arial" w:hAnsi="Arial" w:cs="Arial"/>
                <w:sz w:val="22"/>
                <w:szCs w:val="22"/>
                <w:lang w:eastAsia="es-MX"/>
              </w:rPr>
              <w:lastRenderedPageBreak/>
              <w:t>de innovación pública y social para el involucramiento efectivo de la ciudadanía y de las juventudes, en el proceso de cambio y en la toma de decisiones de interés colectivo</w:t>
            </w:r>
          </w:p>
        </w:tc>
        <w:tc>
          <w:tcPr>
            <w:tcW w:w="687" w:type="pct"/>
            <w:tcBorders>
              <w:top w:val="nil"/>
              <w:left w:val="nil"/>
              <w:bottom w:val="single" w:sz="8" w:space="0" w:color="434343"/>
              <w:right w:val="single" w:sz="8" w:space="0" w:color="434343"/>
            </w:tcBorders>
            <w:shd w:val="clear" w:color="auto" w:fill="auto"/>
            <w:hideMark/>
          </w:tcPr>
          <w:p w14:paraId="1D2A9CA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 66. Porcentaje </w:t>
            </w:r>
            <w:r w:rsidRPr="00794EB9">
              <w:rPr>
                <w:rFonts w:ascii="Arial" w:hAnsi="Arial" w:cs="Arial"/>
                <w:sz w:val="22"/>
                <w:szCs w:val="22"/>
                <w:lang w:eastAsia="es-MX"/>
              </w:rPr>
              <w:lastRenderedPageBreak/>
              <w:t>de consejos ciudadanos con consejeras y consejeros jóvenes</w:t>
            </w:r>
          </w:p>
        </w:tc>
        <w:tc>
          <w:tcPr>
            <w:tcW w:w="426" w:type="pct"/>
            <w:tcBorders>
              <w:top w:val="nil"/>
              <w:left w:val="nil"/>
              <w:bottom w:val="single" w:sz="8" w:space="0" w:color="434343"/>
              <w:right w:val="single" w:sz="8" w:space="0" w:color="434343"/>
            </w:tcBorders>
            <w:shd w:val="clear" w:color="auto" w:fill="auto"/>
            <w:hideMark/>
          </w:tcPr>
          <w:p w14:paraId="06C9AC8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Juventudes </w:t>
            </w:r>
            <w:r w:rsidRPr="00794EB9">
              <w:rPr>
                <w:rFonts w:ascii="Arial" w:hAnsi="Arial" w:cs="Arial"/>
                <w:sz w:val="22"/>
                <w:szCs w:val="22"/>
                <w:lang w:eastAsia="es-MX"/>
              </w:rPr>
              <w:lastRenderedPageBreak/>
              <w:t>agentes del cambio</w:t>
            </w:r>
          </w:p>
        </w:tc>
        <w:tc>
          <w:tcPr>
            <w:tcW w:w="1024" w:type="pct"/>
            <w:tcBorders>
              <w:top w:val="nil"/>
              <w:left w:val="nil"/>
              <w:bottom w:val="single" w:sz="8" w:space="0" w:color="434343"/>
              <w:right w:val="single" w:sz="8" w:space="0" w:color="434343"/>
            </w:tcBorders>
            <w:shd w:val="clear" w:color="auto" w:fill="auto"/>
            <w:hideMark/>
          </w:tcPr>
          <w:p w14:paraId="01ECB7C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Implementar programas de </w:t>
            </w:r>
            <w:r w:rsidRPr="00794EB9">
              <w:rPr>
                <w:rFonts w:ascii="Arial" w:hAnsi="Arial" w:cs="Arial"/>
                <w:sz w:val="22"/>
                <w:szCs w:val="22"/>
                <w:lang w:eastAsia="es-MX"/>
              </w:rPr>
              <w:lastRenderedPageBreak/>
              <w:t>diseño y formación de proyectos de vida para niñas, niños y adolescentes, de acuerdo con su entorno sociocultural y su contexto urbano o rural</w:t>
            </w:r>
          </w:p>
        </w:tc>
        <w:tc>
          <w:tcPr>
            <w:tcW w:w="686" w:type="pct"/>
            <w:vMerge/>
            <w:tcBorders>
              <w:top w:val="nil"/>
              <w:left w:val="single" w:sz="8" w:space="0" w:color="434343"/>
              <w:bottom w:val="single" w:sz="8" w:space="0" w:color="434343"/>
              <w:right w:val="single" w:sz="8" w:space="0" w:color="434343"/>
            </w:tcBorders>
            <w:vAlign w:val="center"/>
            <w:hideMark/>
          </w:tcPr>
          <w:p w14:paraId="7152DCA7" w14:textId="77777777" w:rsidR="00794EB9" w:rsidRPr="00794EB9" w:rsidRDefault="00794EB9" w:rsidP="00C307FB">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12E7D594" w14:textId="77777777" w:rsidR="00794EB9" w:rsidRPr="00794EB9" w:rsidRDefault="00794EB9" w:rsidP="00C307FB">
            <w:pPr>
              <w:rPr>
                <w:rFonts w:ascii="Arial" w:hAnsi="Arial" w:cs="Arial"/>
                <w:sz w:val="22"/>
                <w:szCs w:val="22"/>
                <w:lang w:eastAsia="es-MX"/>
              </w:rPr>
            </w:pPr>
          </w:p>
        </w:tc>
      </w:tr>
      <w:tr w:rsidR="00794EB9" w:rsidRPr="00794EB9" w14:paraId="6DCA8F5A"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118B7DE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Equidad social</w:t>
            </w:r>
          </w:p>
        </w:tc>
        <w:tc>
          <w:tcPr>
            <w:tcW w:w="610" w:type="pct"/>
            <w:tcBorders>
              <w:top w:val="nil"/>
              <w:left w:val="nil"/>
              <w:bottom w:val="single" w:sz="8" w:space="0" w:color="434343"/>
              <w:right w:val="single" w:sz="8" w:space="0" w:color="434343"/>
            </w:tcBorders>
            <w:shd w:val="clear" w:color="auto" w:fill="auto"/>
            <w:hideMark/>
          </w:tcPr>
          <w:p w14:paraId="2F69190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687" w:type="pct"/>
            <w:tcBorders>
              <w:top w:val="nil"/>
              <w:left w:val="nil"/>
              <w:bottom w:val="single" w:sz="8" w:space="0" w:color="434343"/>
              <w:right w:val="single" w:sz="8" w:space="0" w:color="434343"/>
            </w:tcBorders>
            <w:shd w:val="clear" w:color="auto" w:fill="auto"/>
            <w:hideMark/>
          </w:tcPr>
          <w:p w14:paraId="6DF0DCE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50. Número de localidades rurales con Índice de Rezago Social alto y muy alto</w:t>
            </w:r>
          </w:p>
        </w:tc>
        <w:tc>
          <w:tcPr>
            <w:tcW w:w="426" w:type="pct"/>
            <w:tcBorders>
              <w:top w:val="nil"/>
              <w:left w:val="nil"/>
              <w:bottom w:val="single" w:sz="8" w:space="0" w:color="434343"/>
              <w:right w:val="single" w:sz="8" w:space="0" w:color="434343"/>
            </w:tcBorders>
            <w:shd w:val="clear" w:color="auto" w:fill="auto"/>
            <w:hideMark/>
          </w:tcPr>
          <w:p w14:paraId="4C587EB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Mejoramiento de las condiciones de vida de los habitantes de las comunidades rurales</w:t>
            </w:r>
          </w:p>
        </w:tc>
        <w:tc>
          <w:tcPr>
            <w:tcW w:w="1024" w:type="pct"/>
            <w:tcBorders>
              <w:top w:val="nil"/>
              <w:left w:val="nil"/>
              <w:bottom w:val="single" w:sz="8" w:space="0" w:color="434343"/>
              <w:right w:val="single" w:sz="8" w:space="0" w:color="434343"/>
            </w:tcBorders>
            <w:shd w:val="clear" w:color="auto" w:fill="auto"/>
            <w:hideMark/>
          </w:tcPr>
          <w:p w14:paraId="7A00F2E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Desarrollar esquemas de acceso, mejoramiento y ampliación de vivienda para familias en condiciones de vulnerabilidad en las comunidades rurales, de acuerdo con sus características y su contexto local</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1172DD3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VM1.4 Ayúdate ayudando</w:t>
            </w:r>
          </w:p>
        </w:tc>
        <w:tc>
          <w:tcPr>
            <w:tcW w:w="1191" w:type="pct"/>
            <w:tcBorders>
              <w:top w:val="nil"/>
              <w:left w:val="nil"/>
              <w:bottom w:val="single" w:sz="8" w:space="0" w:color="434343"/>
              <w:right w:val="single" w:sz="8" w:space="0" w:color="434343"/>
            </w:tcBorders>
            <w:shd w:val="clear" w:color="auto" w:fill="auto"/>
            <w:hideMark/>
          </w:tcPr>
          <w:p w14:paraId="7E9D261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1.4.1 Brindar apoyos para rehabilitación, mantenimiento y mejora de las comunidades rurales.</w:t>
            </w:r>
          </w:p>
        </w:tc>
      </w:tr>
      <w:tr w:rsidR="00794EB9" w:rsidRPr="00794EB9" w14:paraId="3B0B307F"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0EEA51A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Economía form</w:t>
            </w:r>
            <w:r w:rsidRPr="00794EB9">
              <w:rPr>
                <w:rFonts w:ascii="Arial" w:hAnsi="Arial" w:cs="Arial"/>
                <w:sz w:val="22"/>
                <w:szCs w:val="22"/>
                <w:lang w:eastAsia="es-MX"/>
              </w:rPr>
              <w:lastRenderedPageBreak/>
              <w:t>al y generadora de empleos de calidad</w:t>
            </w:r>
          </w:p>
        </w:tc>
        <w:tc>
          <w:tcPr>
            <w:tcW w:w="610" w:type="pct"/>
            <w:tcBorders>
              <w:top w:val="nil"/>
              <w:left w:val="nil"/>
              <w:bottom w:val="single" w:sz="8" w:space="0" w:color="434343"/>
              <w:right w:val="single" w:sz="8" w:space="0" w:color="434343"/>
            </w:tcBorders>
            <w:shd w:val="clear" w:color="auto" w:fill="auto"/>
            <w:hideMark/>
          </w:tcPr>
          <w:p w14:paraId="4E4A508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Consolidar los parques </w:t>
            </w:r>
            <w:r w:rsidRPr="00794EB9">
              <w:rPr>
                <w:rFonts w:ascii="Arial" w:hAnsi="Arial" w:cs="Arial"/>
                <w:sz w:val="22"/>
                <w:szCs w:val="22"/>
                <w:lang w:eastAsia="es-MX"/>
              </w:rPr>
              <w:lastRenderedPageBreak/>
              <w:t>y zonas industriales a favor de la creación de empleos formales de calidad, inclusivos y de la equidad salarial</w:t>
            </w:r>
          </w:p>
        </w:tc>
        <w:tc>
          <w:tcPr>
            <w:tcW w:w="687" w:type="pct"/>
            <w:tcBorders>
              <w:top w:val="nil"/>
              <w:left w:val="nil"/>
              <w:bottom w:val="single" w:sz="8" w:space="0" w:color="434343"/>
              <w:right w:val="single" w:sz="8" w:space="0" w:color="434343"/>
            </w:tcBorders>
            <w:shd w:val="clear" w:color="auto" w:fill="auto"/>
            <w:hideMark/>
          </w:tcPr>
          <w:p w14:paraId="1400FA8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 29. Número de </w:t>
            </w:r>
            <w:r w:rsidRPr="00794EB9">
              <w:rPr>
                <w:rFonts w:ascii="Arial" w:hAnsi="Arial" w:cs="Arial"/>
                <w:sz w:val="22"/>
                <w:szCs w:val="22"/>
                <w:lang w:eastAsia="es-MX"/>
              </w:rPr>
              <w:lastRenderedPageBreak/>
              <w:t>empleos formales</w:t>
            </w:r>
            <w:r w:rsidRPr="00794EB9">
              <w:rPr>
                <w:rFonts w:ascii="Arial" w:hAnsi="Arial" w:cs="Arial"/>
                <w:sz w:val="22"/>
                <w:szCs w:val="22"/>
                <w:lang w:eastAsia="es-MX"/>
              </w:rPr>
              <w:br/>
              <w:t>I 32. Tasa de informalidad laboral</w:t>
            </w:r>
          </w:p>
        </w:tc>
        <w:tc>
          <w:tcPr>
            <w:tcW w:w="426" w:type="pct"/>
            <w:tcBorders>
              <w:top w:val="nil"/>
              <w:left w:val="nil"/>
              <w:bottom w:val="single" w:sz="8" w:space="0" w:color="434343"/>
              <w:right w:val="single" w:sz="8" w:space="0" w:color="434343"/>
            </w:tcBorders>
            <w:shd w:val="clear" w:color="auto" w:fill="auto"/>
            <w:hideMark/>
          </w:tcPr>
          <w:p w14:paraId="0496F31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Empleo digno </w:t>
            </w:r>
            <w:r w:rsidRPr="00794EB9">
              <w:rPr>
                <w:rFonts w:ascii="Arial" w:hAnsi="Arial" w:cs="Arial"/>
                <w:sz w:val="22"/>
                <w:szCs w:val="22"/>
                <w:lang w:eastAsia="es-MX"/>
              </w:rPr>
              <w:lastRenderedPageBreak/>
              <w:t>y cultura empresarial</w:t>
            </w:r>
          </w:p>
        </w:tc>
        <w:tc>
          <w:tcPr>
            <w:tcW w:w="1024" w:type="pct"/>
            <w:tcBorders>
              <w:top w:val="nil"/>
              <w:left w:val="nil"/>
              <w:bottom w:val="single" w:sz="8" w:space="0" w:color="434343"/>
              <w:right w:val="single" w:sz="8" w:space="0" w:color="434343"/>
            </w:tcBorders>
            <w:shd w:val="clear" w:color="auto" w:fill="auto"/>
            <w:hideMark/>
          </w:tcPr>
          <w:p w14:paraId="2DF7A29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Fomentar la creación de incentivos </w:t>
            </w:r>
            <w:r w:rsidRPr="00794EB9">
              <w:rPr>
                <w:rFonts w:ascii="Arial" w:hAnsi="Arial" w:cs="Arial"/>
                <w:sz w:val="22"/>
                <w:szCs w:val="22"/>
                <w:lang w:eastAsia="es-MX"/>
              </w:rPr>
              <w:lastRenderedPageBreak/>
              <w:t>locales para la generación de empleos en condición de formalidad, que favorezcan los derechos laborales individuales y colectivos</w:t>
            </w:r>
          </w:p>
        </w:tc>
        <w:tc>
          <w:tcPr>
            <w:tcW w:w="686" w:type="pct"/>
            <w:vMerge/>
            <w:tcBorders>
              <w:top w:val="nil"/>
              <w:left w:val="single" w:sz="8" w:space="0" w:color="434343"/>
              <w:bottom w:val="single" w:sz="8" w:space="0" w:color="434343"/>
              <w:right w:val="single" w:sz="8" w:space="0" w:color="434343"/>
            </w:tcBorders>
            <w:vAlign w:val="center"/>
            <w:hideMark/>
          </w:tcPr>
          <w:p w14:paraId="1025B61B"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1C7DA3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1.4.2 Desarrollar el Proyecto de </w:t>
            </w:r>
            <w:r w:rsidRPr="00794EB9">
              <w:rPr>
                <w:rFonts w:ascii="Arial" w:hAnsi="Arial" w:cs="Arial"/>
                <w:sz w:val="22"/>
                <w:szCs w:val="22"/>
                <w:lang w:eastAsia="es-MX"/>
              </w:rPr>
              <w:lastRenderedPageBreak/>
              <w:t>brigadas de empleo temporal asociado a actividades de rescate de espacios públicos.</w:t>
            </w:r>
          </w:p>
        </w:tc>
      </w:tr>
      <w:tr w:rsidR="00794EB9" w:rsidRPr="00794EB9" w14:paraId="03C7F9D5"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37503AA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Co-creación: colaboración y participación ciudadana</w:t>
            </w:r>
          </w:p>
        </w:tc>
        <w:tc>
          <w:tcPr>
            <w:tcW w:w="610" w:type="pct"/>
            <w:tcBorders>
              <w:top w:val="nil"/>
              <w:left w:val="nil"/>
              <w:bottom w:val="single" w:sz="8" w:space="0" w:color="434343"/>
              <w:right w:val="single" w:sz="8" w:space="0" w:color="434343"/>
            </w:tcBorders>
            <w:shd w:val="clear" w:color="auto" w:fill="auto"/>
            <w:hideMark/>
          </w:tcPr>
          <w:p w14:paraId="1BE7BDB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687" w:type="pct"/>
            <w:tcBorders>
              <w:top w:val="nil"/>
              <w:left w:val="nil"/>
              <w:bottom w:val="single" w:sz="8" w:space="0" w:color="434343"/>
              <w:right w:val="single" w:sz="8" w:space="0" w:color="434343"/>
            </w:tcBorders>
            <w:shd w:val="clear" w:color="auto" w:fill="auto"/>
            <w:hideMark/>
          </w:tcPr>
          <w:p w14:paraId="2465D82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66. Porcentaje de consejos ciudadanos con consejeras y consejeros jóvenes</w:t>
            </w:r>
          </w:p>
        </w:tc>
        <w:tc>
          <w:tcPr>
            <w:tcW w:w="426" w:type="pct"/>
            <w:tcBorders>
              <w:top w:val="nil"/>
              <w:left w:val="nil"/>
              <w:bottom w:val="single" w:sz="8" w:space="0" w:color="434343"/>
              <w:right w:val="single" w:sz="8" w:space="0" w:color="434343"/>
            </w:tcBorders>
            <w:shd w:val="clear" w:color="auto" w:fill="auto"/>
            <w:hideMark/>
          </w:tcPr>
          <w:p w14:paraId="7222B66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Juventudes agentes del cambio</w:t>
            </w:r>
          </w:p>
        </w:tc>
        <w:tc>
          <w:tcPr>
            <w:tcW w:w="1024" w:type="pct"/>
            <w:tcBorders>
              <w:top w:val="nil"/>
              <w:left w:val="nil"/>
              <w:bottom w:val="single" w:sz="8" w:space="0" w:color="434343"/>
              <w:right w:val="single" w:sz="8" w:space="0" w:color="434343"/>
            </w:tcBorders>
            <w:shd w:val="clear" w:color="auto" w:fill="auto"/>
            <w:hideMark/>
          </w:tcPr>
          <w:p w14:paraId="38BD2E0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Brindar apoyos para la internacionalización y el desarrollo de habilidades interculturales de las juventudes </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4C9C298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VM1.5 Becas Juventud León - 450</w:t>
            </w:r>
          </w:p>
        </w:tc>
        <w:tc>
          <w:tcPr>
            <w:tcW w:w="1191" w:type="pct"/>
            <w:tcBorders>
              <w:top w:val="nil"/>
              <w:left w:val="nil"/>
              <w:bottom w:val="single" w:sz="8" w:space="0" w:color="434343"/>
              <w:right w:val="single" w:sz="8" w:space="0" w:color="434343"/>
            </w:tcBorders>
            <w:shd w:val="clear" w:color="auto" w:fill="auto"/>
            <w:hideMark/>
          </w:tcPr>
          <w:p w14:paraId="1DF2B9A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1.5.1 Diseñar un programa de desarrollo de habilidades mediante un esquema de estímulos para jóvenes.</w:t>
            </w:r>
          </w:p>
        </w:tc>
      </w:tr>
      <w:tr w:rsidR="00794EB9" w:rsidRPr="00794EB9" w14:paraId="713F0B35"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9C8178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Educación equitativa</w:t>
            </w:r>
            <w:r w:rsidRPr="00794EB9">
              <w:rPr>
                <w:rFonts w:ascii="Arial" w:hAnsi="Arial" w:cs="Arial"/>
                <w:sz w:val="22"/>
                <w:szCs w:val="22"/>
                <w:lang w:eastAsia="es-MX"/>
              </w:rPr>
              <w:lastRenderedPageBreak/>
              <w:t>, pertinente y de calidad</w:t>
            </w:r>
          </w:p>
        </w:tc>
        <w:tc>
          <w:tcPr>
            <w:tcW w:w="610" w:type="pct"/>
            <w:tcBorders>
              <w:top w:val="nil"/>
              <w:left w:val="nil"/>
              <w:bottom w:val="single" w:sz="8" w:space="0" w:color="434343"/>
              <w:right w:val="single" w:sz="8" w:space="0" w:color="434343"/>
            </w:tcBorders>
            <w:shd w:val="clear" w:color="auto" w:fill="auto"/>
            <w:hideMark/>
          </w:tcPr>
          <w:p w14:paraId="7C3B63E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Promover el aprendizaje equitativ</w:t>
            </w:r>
            <w:r w:rsidRPr="00794EB9">
              <w:rPr>
                <w:rFonts w:ascii="Arial" w:hAnsi="Arial" w:cs="Arial"/>
                <w:sz w:val="22"/>
                <w:szCs w:val="22"/>
                <w:lang w:eastAsia="es-MX"/>
              </w:rPr>
              <w:lastRenderedPageBreak/>
              <w:t>o, pertinente y de calidad a lo largo de la vida</w:t>
            </w:r>
          </w:p>
        </w:tc>
        <w:tc>
          <w:tcPr>
            <w:tcW w:w="687" w:type="pct"/>
            <w:tcBorders>
              <w:top w:val="nil"/>
              <w:left w:val="nil"/>
              <w:bottom w:val="single" w:sz="8" w:space="0" w:color="434343"/>
              <w:right w:val="single" w:sz="8" w:space="0" w:color="434343"/>
            </w:tcBorders>
            <w:shd w:val="clear" w:color="auto" w:fill="auto"/>
            <w:hideMark/>
          </w:tcPr>
          <w:p w14:paraId="0D74177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 58. Años promedio de escolaridad de la </w:t>
            </w:r>
            <w:r w:rsidRPr="00794EB9">
              <w:rPr>
                <w:rFonts w:ascii="Arial" w:hAnsi="Arial" w:cs="Arial"/>
                <w:sz w:val="22"/>
                <w:szCs w:val="22"/>
                <w:lang w:eastAsia="es-MX"/>
              </w:rPr>
              <w:lastRenderedPageBreak/>
              <w:t>población económicamente activa</w:t>
            </w:r>
            <w:r w:rsidRPr="00794EB9">
              <w:rPr>
                <w:rFonts w:ascii="Arial" w:hAnsi="Arial" w:cs="Arial"/>
                <w:sz w:val="22"/>
                <w:szCs w:val="22"/>
                <w:lang w:eastAsia="es-MX"/>
              </w:rPr>
              <w:br/>
              <w:t>I 59. Tasa de abandono escolar de niñas, niños y adolescentes</w:t>
            </w:r>
            <w:r w:rsidRPr="00794EB9">
              <w:rPr>
                <w:rFonts w:ascii="Arial" w:hAnsi="Arial" w:cs="Arial"/>
                <w:sz w:val="22"/>
                <w:szCs w:val="22"/>
                <w:lang w:eastAsia="es-MX"/>
              </w:rPr>
              <w:br/>
              <w:t>I 60. Tasa de abandono escolar en el nivel medio superior</w:t>
            </w:r>
          </w:p>
        </w:tc>
        <w:tc>
          <w:tcPr>
            <w:tcW w:w="426" w:type="pct"/>
            <w:tcBorders>
              <w:top w:val="nil"/>
              <w:left w:val="nil"/>
              <w:bottom w:val="single" w:sz="8" w:space="0" w:color="434343"/>
              <w:right w:val="single" w:sz="8" w:space="0" w:color="434343"/>
            </w:tcBorders>
            <w:shd w:val="clear" w:color="auto" w:fill="auto"/>
            <w:hideMark/>
          </w:tcPr>
          <w:p w14:paraId="39B510F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Educación oportuna y apren</w:t>
            </w:r>
            <w:r w:rsidRPr="00794EB9">
              <w:rPr>
                <w:rFonts w:ascii="Arial" w:hAnsi="Arial" w:cs="Arial"/>
                <w:sz w:val="22"/>
                <w:szCs w:val="22"/>
                <w:lang w:eastAsia="es-MX"/>
              </w:rPr>
              <w:lastRenderedPageBreak/>
              <w:t xml:space="preserve">dizaje constante </w:t>
            </w:r>
          </w:p>
        </w:tc>
        <w:tc>
          <w:tcPr>
            <w:tcW w:w="1024" w:type="pct"/>
            <w:tcBorders>
              <w:top w:val="nil"/>
              <w:left w:val="nil"/>
              <w:bottom w:val="single" w:sz="8" w:space="0" w:color="434343"/>
              <w:right w:val="single" w:sz="8" w:space="0" w:color="434343"/>
            </w:tcBorders>
            <w:shd w:val="clear" w:color="auto" w:fill="auto"/>
            <w:hideMark/>
          </w:tcPr>
          <w:p w14:paraId="72589A4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Generar programas y apoyos a escuelas públicas rurales </w:t>
            </w:r>
            <w:r w:rsidRPr="00794EB9">
              <w:rPr>
                <w:rFonts w:ascii="Arial" w:hAnsi="Arial" w:cs="Arial"/>
                <w:sz w:val="22"/>
                <w:szCs w:val="22"/>
                <w:lang w:eastAsia="es-MX"/>
              </w:rPr>
              <w:lastRenderedPageBreak/>
              <w:t>y urbanas para contribuir al acceso igualitario a la educación</w:t>
            </w:r>
          </w:p>
        </w:tc>
        <w:tc>
          <w:tcPr>
            <w:tcW w:w="686" w:type="pct"/>
            <w:vMerge/>
            <w:tcBorders>
              <w:top w:val="nil"/>
              <w:left w:val="single" w:sz="8" w:space="0" w:color="434343"/>
              <w:bottom w:val="single" w:sz="8" w:space="0" w:color="434343"/>
              <w:right w:val="single" w:sz="8" w:space="0" w:color="434343"/>
            </w:tcBorders>
            <w:vAlign w:val="center"/>
            <w:hideMark/>
          </w:tcPr>
          <w:p w14:paraId="4C24CCF2"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AD750A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1.5.2 Desarrollar una plataforma para la formación de habilidades y </w:t>
            </w:r>
            <w:r w:rsidRPr="00794EB9">
              <w:rPr>
                <w:rFonts w:ascii="Arial" w:hAnsi="Arial" w:cs="Arial"/>
                <w:sz w:val="22"/>
                <w:szCs w:val="22"/>
                <w:lang w:eastAsia="es-MX"/>
              </w:rPr>
              <w:lastRenderedPageBreak/>
              <w:t>competencias para las personas jóvenes.</w:t>
            </w:r>
          </w:p>
        </w:tc>
      </w:tr>
      <w:tr w:rsidR="00794EB9" w:rsidRPr="00794EB9" w14:paraId="505A498B"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1A9DF4F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Modelo urbano integrador</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38CB027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w:t>
            </w:r>
            <w:r w:rsidRPr="00794EB9">
              <w:rPr>
                <w:rFonts w:ascii="Arial" w:hAnsi="Arial" w:cs="Arial"/>
                <w:sz w:val="22"/>
                <w:szCs w:val="22"/>
                <w:lang w:eastAsia="es-MX"/>
              </w:rPr>
              <w:lastRenderedPageBreak/>
              <w:t>ctura verde</w:t>
            </w:r>
          </w:p>
        </w:tc>
        <w:tc>
          <w:tcPr>
            <w:tcW w:w="687" w:type="pct"/>
            <w:tcBorders>
              <w:top w:val="nil"/>
              <w:left w:val="nil"/>
              <w:bottom w:val="single" w:sz="8" w:space="0" w:color="434343"/>
              <w:right w:val="single" w:sz="8" w:space="0" w:color="434343"/>
            </w:tcBorders>
            <w:shd w:val="clear" w:color="auto" w:fill="auto"/>
            <w:hideMark/>
          </w:tcPr>
          <w:p w14:paraId="5F2B6B0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26. Asentamientos irregulares con más del 30% de consolidación</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1FB68BF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Vivienda digna urbana</w:t>
            </w:r>
          </w:p>
        </w:tc>
        <w:tc>
          <w:tcPr>
            <w:tcW w:w="1024" w:type="pct"/>
            <w:tcBorders>
              <w:top w:val="nil"/>
              <w:left w:val="nil"/>
              <w:bottom w:val="single" w:sz="8" w:space="0" w:color="434343"/>
              <w:right w:val="single" w:sz="8" w:space="0" w:color="434343"/>
            </w:tcBorders>
            <w:shd w:val="clear" w:color="auto" w:fill="auto"/>
            <w:hideMark/>
          </w:tcPr>
          <w:p w14:paraId="39237B9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Regularizar asentamientos irregulares que cumplan con lo establecido en las disposiciones administrativas aplicables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2148031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VM1.6 Vivienda digna</w:t>
            </w:r>
          </w:p>
        </w:tc>
        <w:tc>
          <w:tcPr>
            <w:tcW w:w="1191" w:type="pct"/>
            <w:tcBorders>
              <w:top w:val="nil"/>
              <w:left w:val="nil"/>
              <w:bottom w:val="single" w:sz="8" w:space="0" w:color="434343"/>
              <w:right w:val="single" w:sz="8" w:space="0" w:color="434343"/>
            </w:tcBorders>
            <w:shd w:val="clear" w:color="auto" w:fill="auto"/>
            <w:hideMark/>
          </w:tcPr>
          <w:p w14:paraId="62AADFD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1.6.1  Dotar de certeza jurídica a los asentamientos y colonias que sean factibles de regularización</w:t>
            </w:r>
          </w:p>
        </w:tc>
      </w:tr>
      <w:tr w:rsidR="00794EB9" w:rsidRPr="00794EB9" w14:paraId="4ED100CA"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2C43ECD"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2DAA0821" w14:textId="77777777" w:rsidR="00794EB9" w:rsidRPr="00794EB9" w:rsidRDefault="00794EB9" w:rsidP="00C307FB">
            <w:pPr>
              <w:rPr>
                <w:rFonts w:ascii="Arial" w:hAnsi="Arial" w:cs="Arial"/>
                <w:sz w:val="22"/>
                <w:szCs w:val="22"/>
                <w:lang w:eastAsia="es-MX"/>
              </w:rPr>
            </w:pPr>
          </w:p>
        </w:tc>
        <w:tc>
          <w:tcPr>
            <w:tcW w:w="687" w:type="pct"/>
            <w:tcBorders>
              <w:top w:val="nil"/>
              <w:left w:val="nil"/>
              <w:bottom w:val="single" w:sz="8" w:space="0" w:color="434343"/>
              <w:right w:val="single" w:sz="8" w:space="0" w:color="434343"/>
            </w:tcBorders>
            <w:shd w:val="clear" w:color="auto" w:fill="auto"/>
            <w:hideMark/>
          </w:tcPr>
          <w:p w14:paraId="6F06A2A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25. Densidad de la zona urbana</w:t>
            </w:r>
            <w:r w:rsidRPr="00794EB9">
              <w:rPr>
                <w:rFonts w:ascii="Arial" w:hAnsi="Arial" w:cs="Arial"/>
                <w:sz w:val="22"/>
                <w:szCs w:val="22"/>
                <w:lang w:eastAsia="es-MX"/>
              </w:rPr>
              <w:br/>
              <w:t>I 28. Porcentaje de acciones implementadas para la infraestructura verde</w:t>
            </w:r>
          </w:p>
        </w:tc>
        <w:tc>
          <w:tcPr>
            <w:tcW w:w="426" w:type="pct"/>
            <w:vMerge/>
            <w:tcBorders>
              <w:top w:val="nil"/>
              <w:left w:val="single" w:sz="8" w:space="0" w:color="434343"/>
              <w:bottom w:val="single" w:sz="8" w:space="0" w:color="434343"/>
              <w:right w:val="single" w:sz="8" w:space="0" w:color="434343"/>
            </w:tcBorders>
            <w:vAlign w:val="center"/>
            <w:hideMark/>
          </w:tcPr>
          <w:p w14:paraId="6C9B5B4D" w14:textId="77777777" w:rsidR="00794EB9" w:rsidRPr="00794EB9" w:rsidRDefault="00794EB9" w:rsidP="00C307FB">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1F0A897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Dotar de servicios básicos a las viviendas que carecen de agua potable, drenaje sanitario y electrificación </w:t>
            </w:r>
          </w:p>
        </w:tc>
        <w:tc>
          <w:tcPr>
            <w:tcW w:w="686" w:type="pct"/>
            <w:vMerge/>
            <w:tcBorders>
              <w:top w:val="nil"/>
              <w:left w:val="single" w:sz="8" w:space="0" w:color="434343"/>
              <w:bottom w:val="single" w:sz="8" w:space="0" w:color="434343"/>
              <w:right w:val="single" w:sz="8" w:space="0" w:color="434343"/>
            </w:tcBorders>
            <w:vAlign w:val="center"/>
            <w:hideMark/>
          </w:tcPr>
          <w:p w14:paraId="72478040"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C100D0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1.6.2 Implementar obras y acciones que amplíen o mejoren el acceso a los servicios básicos en las viviendas.</w:t>
            </w:r>
          </w:p>
        </w:tc>
      </w:tr>
      <w:tr w:rsidR="00794EB9" w:rsidRPr="00794EB9" w14:paraId="048AA23D"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3181C26"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EFCC4AF" w14:textId="77777777" w:rsidR="00794EB9" w:rsidRPr="00794EB9" w:rsidRDefault="00794EB9" w:rsidP="00C307FB">
            <w:pPr>
              <w:rPr>
                <w:rFonts w:ascii="Arial" w:hAnsi="Arial" w:cs="Arial"/>
                <w:sz w:val="22"/>
                <w:szCs w:val="22"/>
                <w:lang w:eastAsia="es-MX"/>
              </w:rPr>
            </w:pPr>
          </w:p>
        </w:tc>
        <w:tc>
          <w:tcPr>
            <w:tcW w:w="687" w:type="pct"/>
            <w:tcBorders>
              <w:top w:val="nil"/>
              <w:left w:val="nil"/>
              <w:bottom w:val="single" w:sz="8" w:space="0" w:color="434343"/>
              <w:right w:val="single" w:sz="8" w:space="0" w:color="434343"/>
            </w:tcBorders>
            <w:shd w:val="clear" w:color="auto" w:fill="auto"/>
            <w:hideMark/>
          </w:tcPr>
          <w:p w14:paraId="1212301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I 25. Densidad </w:t>
            </w:r>
            <w:r w:rsidRPr="00794EB9">
              <w:rPr>
                <w:rFonts w:ascii="Arial" w:hAnsi="Arial" w:cs="Arial"/>
                <w:sz w:val="22"/>
                <w:szCs w:val="22"/>
                <w:lang w:eastAsia="es-MX"/>
              </w:rPr>
              <w:lastRenderedPageBreak/>
              <w:t>de la zona urbana</w:t>
            </w:r>
          </w:p>
        </w:tc>
        <w:tc>
          <w:tcPr>
            <w:tcW w:w="426" w:type="pct"/>
            <w:vMerge/>
            <w:tcBorders>
              <w:top w:val="nil"/>
              <w:left w:val="single" w:sz="8" w:space="0" w:color="434343"/>
              <w:bottom w:val="single" w:sz="8" w:space="0" w:color="434343"/>
              <w:right w:val="single" w:sz="8" w:space="0" w:color="434343"/>
            </w:tcBorders>
            <w:vAlign w:val="center"/>
            <w:hideMark/>
          </w:tcPr>
          <w:p w14:paraId="5ECC8766" w14:textId="77777777" w:rsidR="00794EB9" w:rsidRPr="00794EB9" w:rsidRDefault="00794EB9" w:rsidP="00C307FB">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67733D1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Desarrollar y promover esquemas de </w:t>
            </w:r>
            <w:r w:rsidRPr="00794EB9">
              <w:rPr>
                <w:rFonts w:ascii="Arial" w:hAnsi="Arial" w:cs="Arial"/>
                <w:sz w:val="22"/>
                <w:szCs w:val="22"/>
                <w:lang w:eastAsia="es-MX"/>
              </w:rPr>
              <w:lastRenderedPageBreak/>
              <w:t xml:space="preserve">construcción, ampliación y mejoramiento de vivienda para familias en la zona urbana en condición de vulnerabilidad </w:t>
            </w:r>
          </w:p>
        </w:tc>
        <w:tc>
          <w:tcPr>
            <w:tcW w:w="686" w:type="pct"/>
            <w:vMerge/>
            <w:tcBorders>
              <w:top w:val="nil"/>
              <w:left w:val="single" w:sz="8" w:space="0" w:color="434343"/>
              <w:bottom w:val="single" w:sz="8" w:space="0" w:color="434343"/>
              <w:right w:val="single" w:sz="8" w:space="0" w:color="434343"/>
            </w:tcBorders>
            <w:vAlign w:val="center"/>
            <w:hideMark/>
          </w:tcPr>
          <w:p w14:paraId="4AFC019C"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0D69E7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1.6.3 Implementar apoyos para el </w:t>
            </w:r>
            <w:r w:rsidRPr="00794EB9">
              <w:rPr>
                <w:rFonts w:ascii="Arial" w:hAnsi="Arial" w:cs="Arial"/>
                <w:sz w:val="22"/>
                <w:szCs w:val="22"/>
                <w:lang w:eastAsia="es-MX"/>
              </w:rPr>
              <w:lastRenderedPageBreak/>
              <w:t>fomento a la autoproducción, equipamiento y rehabilitación de vivienda, así como la gestión de créditos para personas de bajos ingresos.</w:t>
            </w:r>
          </w:p>
        </w:tc>
      </w:tr>
      <w:tr w:rsidR="00794EB9" w:rsidRPr="00794EB9" w14:paraId="17965FDB"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57EB18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Equidad social</w:t>
            </w:r>
          </w:p>
        </w:tc>
        <w:tc>
          <w:tcPr>
            <w:tcW w:w="610" w:type="pct"/>
            <w:tcBorders>
              <w:top w:val="nil"/>
              <w:left w:val="nil"/>
              <w:bottom w:val="single" w:sz="8" w:space="0" w:color="434343"/>
              <w:right w:val="single" w:sz="8" w:space="0" w:color="434343"/>
            </w:tcBorders>
            <w:shd w:val="clear" w:color="auto" w:fill="auto"/>
            <w:hideMark/>
          </w:tcPr>
          <w:p w14:paraId="786EAC0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687" w:type="pct"/>
            <w:tcBorders>
              <w:top w:val="nil"/>
              <w:left w:val="nil"/>
              <w:bottom w:val="single" w:sz="8" w:space="0" w:color="434343"/>
              <w:right w:val="single" w:sz="8" w:space="0" w:color="434343"/>
            </w:tcBorders>
            <w:shd w:val="clear" w:color="auto" w:fill="auto"/>
            <w:hideMark/>
          </w:tcPr>
          <w:p w14:paraId="48C9F2F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50. Número de localidades rurales con Índice de Rezago Social alto  y  muy alto</w:t>
            </w:r>
          </w:p>
        </w:tc>
        <w:tc>
          <w:tcPr>
            <w:tcW w:w="426" w:type="pct"/>
            <w:tcBorders>
              <w:top w:val="nil"/>
              <w:left w:val="nil"/>
              <w:bottom w:val="single" w:sz="8" w:space="0" w:color="434343"/>
              <w:right w:val="single" w:sz="8" w:space="0" w:color="434343"/>
            </w:tcBorders>
            <w:shd w:val="clear" w:color="auto" w:fill="auto"/>
            <w:hideMark/>
          </w:tcPr>
          <w:p w14:paraId="067ABB9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Mejoramiento de las condiciones de vida de los habitantes de las comunidades rurales</w:t>
            </w:r>
          </w:p>
        </w:tc>
        <w:tc>
          <w:tcPr>
            <w:tcW w:w="1024" w:type="pct"/>
            <w:tcBorders>
              <w:top w:val="nil"/>
              <w:left w:val="nil"/>
              <w:bottom w:val="single" w:sz="8" w:space="0" w:color="434343"/>
              <w:right w:val="single" w:sz="8" w:space="0" w:color="434343"/>
            </w:tcBorders>
            <w:shd w:val="clear" w:color="auto" w:fill="auto"/>
            <w:hideMark/>
          </w:tcPr>
          <w:p w14:paraId="2D7B126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Desarrollar esquemas de acceso, mejoramiento y ampliación de vivienda para familias en condiciones de vulnerabilidad en las comunidades rurales, de acuerdo con sus características y su contexto local</w:t>
            </w:r>
          </w:p>
        </w:tc>
        <w:tc>
          <w:tcPr>
            <w:tcW w:w="686" w:type="pct"/>
            <w:vMerge/>
            <w:tcBorders>
              <w:top w:val="nil"/>
              <w:left w:val="single" w:sz="8" w:space="0" w:color="434343"/>
              <w:bottom w:val="single" w:sz="8" w:space="0" w:color="434343"/>
              <w:right w:val="single" w:sz="8" w:space="0" w:color="434343"/>
            </w:tcBorders>
            <w:vAlign w:val="center"/>
            <w:hideMark/>
          </w:tcPr>
          <w:p w14:paraId="657DDA00"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821110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1.6.4 Brindar apoyos para el mejoramiento de vivienda rural.</w:t>
            </w:r>
          </w:p>
        </w:tc>
      </w:tr>
      <w:tr w:rsidR="00794EB9" w:rsidRPr="00794EB9" w14:paraId="08B08E69"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EE81E2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610" w:type="pct"/>
            <w:tcBorders>
              <w:top w:val="nil"/>
              <w:left w:val="nil"/>
              <w:bottom w:val="single" w:sz="8" w:space="0" w:color="434343"/>
              <w:right w:val="single" w:sz="8" w:space="0" w:color="434343"/>
            </w:tcBorders>
            <w:shd w:val="clear" w:color="auto" w:fill="auto"/>
            <w:hideMark/>
          </w:tcPr>
          <w:p w14:paraId="29D90CC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Fortalecer la cohesión social consolidando un modelo de seguridad cívica y ciudadana para la prevención, vigilancia y atención </w:t>
            </w:r>
            <w:r w:rsidRPr="00794EB9">
              <w:rPr>
                <w:rFonts w:ascii="Arial" w:hAnsi="Arial" w:cs="Arial"/>
                <w:sz w:val="22"/>
                <w:szCs w:val="22"/>
                <w:lang w:eastAsia="es-MX"/>
              </w:rPr>
              <w:lastRenderedPageBreak/>
              <w:t>de factores de riesgo</w:t>
            </w:r>
          </w:p>
        </w:tc>
        <w:tc>
          <w:tcPr>
            <w:tcW w:w="687" w:type="pct"/>
            <w:tcBorders>
              <w:top w:val="nil"/>
              <w:left w:val="nil"/>
              <w:bottom w:val="single" w:sz="8" w:space="0" w:color="434343"/>
              <w:right w:val="single" w:sz="8" w:space="0" w:color="434343"/>
            </w:tcBorders>
            <w:shd w:val="clear" w:color="auto" w:fill="auto"/>
            <w:hideMark/>
          </w:tcPr>
          <w:p w14:paraId="06CC86C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61. Porcentaje de población de 18 años y más que percibe segura la ciudad</w:t>
            </w:r>
          </w:p>
        </w:tc>
        <w:tc>
          <w:tcPr>
            <w:tcW w:w="426" w:type="pct"/>
            <w:tcBorders>
              <w:top w:val="nil"/>
              <w:left w:val="nil"/>
              <w:bottom w:val="single" w:sz="8" w:space="0" w:color="434343"/>
              <w:right w:val="single" w:sz="8" w:space="0" w:color="434343"/>
            </w:tcBorders>
            <w:shd w:val="clear" w:color="auto" w:fill="auto"/>
            <w:hideMark/>
          </w:tcPr>
          <w:p w14:paraId="6F5AB77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1024" w:type="pct"/>
            <w:tcBorders>
              <w:top w:val="nil"/>
              <w:left w:val="nil"/>
              <w:bottom w:val="single" w:sz="8" w:space="0" w:color="434343"/>
              <w:right w:val="single" w:sz="8" w:space="0" w:color="434343"/>
            </w:tcBorders>
            <w:shd w:val="clear" w:color="auto" w:fill="auto"/>
            <w:hideMark/>
          </w:tcPr>
          <w:p w14:paraId="063D14C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y regular el respeto a las normas de convivencia vecinal en edificios, colonias y condominios habitacionales</w:t>
            </w:r>
          </w:p>
        </w:tc>
        <w:tc>
          <w:tcPr>
            <w:tcW w:w="686" w:type="pct"/>
            <w:vMerge/>
            <w:tcBorders>
              <w:top w:val="nil"/>
              <w:left w:val="single" w:sz="8" w:space="0" w:color="434343"/>
              <w:bottom w:val="single" w:sz="8" w:space="0" w:color="434343"/>
              <w:right w:val="single" w:sz="8" w:space="0" w:color="434343"/>
            </w:tcBorders>
            <w:vAlign w:val="center"/>
            <w:hideMark/>
          </w:tcPr>
          <w:p w14:paraId="70536B03"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B3D45E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1.6.5 Implementar anualmente un esquema para el fomento y atención a la cultura condominal en vivienda social.</w:t>
            </w:r>
          </w:p>
        </w:tc>
      </w:tr>
      <w:tr w:rsidR="00794EB9" w:rsidRPr="00794EB9" w14:paraId="1320B940"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854088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Modelo urbano integrador</w:t>
            </w:r>
          </w:p>
        </w:tc>
        <w:tc>
          <w:tcPr>
            <w:tcW w:w="610" w:type="pct"/>
            <w:tcBorders>
              <w:top w:val="nil"/>
              <w:left w:val="nil"/>
              <w:bottom w:val="single" w:sz="8" w:space="0" w:color="434343"/>
              <w:right w:val="single" w:sz="8" w:space="0" w:color="434343"/>
            </w:tcBorders>
            <w:shd w:val="clear" w:color="auto" w:fill="auto"/>
            <w:hideMark/>
          </w:tcPr>
          <w:p w14:paraId="4AD8916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infraestructura verde</w:t>
            </w:r>
          </w:p>
        </w:tc>
        <w:tc>
          <w:tcPr>
            <w:tcW w:w="687" w:type="pct"/>
            <w:tcBorders>
              <w:top w:val="nil"/>
              <w:left w:val="nil"/>
              <w:bottom w:val="single" w:sz="8" w:space="0" w:color="434343"/>
              <w:right w:val="single" w:sz="8" w:space="0" w:color="434343"/>
            </w:tcBorders>
            <w:shd w:val="clear" w:color="auto" w:fill="auto"/>
            <w:hideMark/>
          </w:tcPr>
          <w:p w14:paraId="714E7B8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27. Número de viviendas particulares no habitadas</w:t>
            </w:r>
          </w:p>
        </w:tc>
        <w:tc>
          <w:tcPr>
            <w:tcW w:w="426" w:type="pct"/>
            <w:tcBorders>
              <w:top w:val="nil"/>
              <w:left w:val="nil"/>
              <w:bottom w:val="single" w:sz="8" w:space="0" w:color="434343"/>
              <w:right w:val="single" w:sz="8" w:space="0" w:color="434343"/>
            </w:tcBorders>
            <w:shd w:val="clear" w:color="auto" w:fill="auto"/>
            <w:hideMark/>
          </w:tcPr>
          <w:p w14:paraId="6AE5A77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Densificación y consolidación urbana</w:t>
            </w:r>
          </w:p>
        </w:tc>
        <w:tc>
          <w:tcPr>
            <w:tcW w:w="1024" w:type="pct"/>
            <w:tcBorders>
              <w:top w:val="nil"/>
              <w:left w:val="nil"/>
              <w:bottom w:val="single" w:sz="8" w:space="0" w:color="434343"/>
              <w:right w:val="single" w:sz="8" w:space="0" w:color="434343"/>
            </w:tcBorders>
            <w:shd w:val="clear" w:color="auto" w:fill="auto"/>
            <w:hideMark/>
          </w:tcPr>
          <w:p w14:paraId="075717C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Desarrollar medidas para el aprovechamiento y la ocupación de las viviendas deshabitadas</w:t>
            </w:r>
          </w:p>
        </w:tc>
        <w:tc>
          <w:tcPr>
            <w:tcW w:w="686" w:type="pct"/>
            <w:vMerge/>
            <w:tcBorders>
              <w:top w:val="nil"/>
              <w:left w:val="single" w:sz="8" w:space="0" w:color="434343"/>
              <w:bottom w:val="single" w:sz="8" w:space="0" w:color="434343"/>
              <w:right w:val="single" w:sz="8" w:space="0" w:color="434343"/>
            </w:tcBorders>
            <w:vAlign w:val="center"/>
            <w:hideMark/>
          </w:tcPr>
          <w:p w14:paraId="33386ED5"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700C20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1.6.6 Diseñar una estrategia para la atención de las viviendas abandonadas en las zonas de Villas de San Juan y Brisas del Campestre.</w:t>
            </w:r>
          </w:p>
        </w:tc>
      </w:tr>
      <w:tr w:rsidR="00794EB9" w:rsidRPr="00794EB9" w14:paraId="126E5D06"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6A6A6" w:themeFill="background1" w:themeFillShade="A6"/>
            <w:noWrap/>
            <w:hideMark/>
          </w:tcPr>
          <w:p w14:paraId="696F87E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A6A6A6" w:themeFill="background1" w:themeFillShade="A6"/>
            <w:noWrap/>
            <w:hideMark/>
          </w:tcPr>
          <w:p w14:paraId="76BD262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A6A6A6" w:themeFill="background1" w:themeFillShade="A6"/>
            <w:noWrap/>
            <w:hideMark/>
          </w:tcPr>
          <w:p w14:paraId="516D3DF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A6A6A6" w:themeFill="background1" w:themeFillShade="A6"/>
            <w:noWrap/>
            <w:hideMark/>
          </w:tcPr>
          <w:p w14:paraId="66F0307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A6A6A6" w:themeFill="background1" w:themeFillShade="A6"/>
            <w:noWrap/>
            <w:hideMark/>
          </w:tcPr>
          <w:p w14:paraId="2780DE8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7F7F7F" w:themeFill="text1" w:themeFillTint="80"/>
            <w:noWrap/>
            <w:hideMark/>
          </w:tcPr>
          <w:p w14:paraId="15E51CC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VM2. León de Oportunidades</w:t>
            </w:r>
          </w:p>
        </w:tc>
        <w:tc>
          <w:tcPr>
            <w:tcW w:w="1191" w:type="pct"/>
            <w:tcBorders>
              <w:top w:val="nil"/>
              <w:left w:val="nil"/>
              <w:bottom w:val="single" w:sz="8" w:space="0" w:color="434343"/>
              <w:right w:val="single" w:sz="8" w:space="0" w:color="434343"/>
            </w:tcBorders>
            <w:shd w:val="clear" w:color="auto" w:fill="7F7F7F" w:themeFill="text1" w:themeFillTint="80"/>
            <w:noWrap/>
            <w:hideMark/>
          </w:tcPr>
          <w:p w14:paraId="118E12A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5339F393"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EF3662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Economía formal y generadora de empleos de </w:t>
            </w:r>
            <w:r w:rsidRPr="00794EB9">
              <w:rPr>
                <w:rFonts w:ascii="Arial" w:hAnsi="Arial" w:cs="Arial"/>
                <w:sz w:val="22"/>
                <w:szCs w:val="22"/>
                <w:lang w:eastAsia="es-MX"/>
              </w:rPr>
              <w:lastRenderedPageBreak/>
              <w:t>calidad</w:t>
            </w:r>
          </w:p>
        </w:tc>
        <w:tc>
          <w:tcPr>
            <w:tcW w:w="610" w:type="pct"/>
            <w:tcBorders>
              <w:top w:val="nil"/>
              <w:left w:val="nil"/>
              <w:bottom w:val="single" w:sz="8" w:space="0" w:color="434343"/>
              <w:right w:val="single" w:sz="8" w:space="0" w:color="434343"/>
            </w:tcBorders>
            <w:shd w:val="clear" w:color="auto" w:fill="auto"/>
            <w:hideMark/>
          </w:tcPr>
          <w:p w14:paraId="4AA3B2A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Consolidar los parques y zonas industriales a favor de la creación de </w:t>
            </w:r>
            <w:r w:rsidRPr="00794EB9">
              <w:rPr>
                <w:rFonts w:ascii="Arial" w:hAnsi="Arial" w:cs="Arial"/>
                <w:sz w:val="22"/>
                <w:szCs w:val="22"/>
                <w:lang w:eastAsia="es-MX"/>
              </w:rPr>
              <w:lastRenderedPageBreak/>
              <w:t>empleos formales de calidad, inclusivos y de la equidad salarial</w:t>
            </w:r>
          </w:p>
        </w:tc>
        <w:tc>
          <w:tcPr>
            <w:tcW w:w="687" w:type="pct"/>
            <w:tcBorders>
              <w:top w:val="nil"/>
              <w:left w:val="nil"/>
              <w:bottom w:val="single" w:sz="8" w:space="0" w:color="434343"/>
              <w:right w:val="single" w:sz="8" w:space="0" w:color="434343"/>
            </w:tcBorders>
            <w:shd w:val="clear" w:color="auto" w:fill="auto"/>
            <w:hideMark/>
          </w:tcPr>
          <w:p w14:paraId="05087BA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29. Número de empleos formales</w:t>
            </w:r>
            <w:r w:rsidRPr="00794EB9">
              <w:rPr>
                <w:rFonts w:ascii="Arial" w:hAnsi="Arial" w:cs="Arial"/>
                <w:sz w:val="22"/>
                <w:szCs w:val="22"/>
                <w:lang w:eastAsia="es-MX"/>
              </w:rPr>
              <w:br/>
              <w:t>I 32.Tasa de informalidad laboral</w:t>
            </w:r>
          </w:p>
        </w:tc>
        <w:tc>
          <w:tcPr>
            <w:tcW w:w="426" w:type="pct"/>
            <w:tcBorders>
              <w:top w:val="nil"/>
              <w:left w:val="nil"/>
              <w:bottom w:val="single" w:sz="8" w:space="0" w:color="434343"/>
              <w:right w:val="single" w:sz="8" w:space="0" w:color="434343"/>
            </w:tcBorders>
            <w:shd w:val="clear" w:color="auto" w:fill="auto"/>
            <w:hideMark/>
          </w:tcPr>
          <w:p w14:paraId="317C226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Empleo digno y cultura empresarial</w:t>
            </w:r>
          </w:p>
        </w:tc>
        <w:tc>
          <w:tcPr>
            <w:tcW w:w="1024" w:type="pct"/>
            <w:tcBorders>
              <w:top w:val="nil"/>
              <w:left w:val="nil"/>
              <w:bottom w:val="single" w:sz="8" w:space="0" w:color="434343"/>
              <w:right w:val="single" w:sz="8" w:space="0" w:color="434343"/>
            </w:tcBorders>
            <w:shd w:val="clear" w:color="auto" w:fill="auto"/>
            <w:hideMark/>
          </w:tcPr>
          <w:p w14:paraId="0240FC3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Fomentar la creación de incentivos locales para la generación de empleos en condición de formalidad, que favorezcan los derechos </w:t>
            </w:r>
            <w:r w:rsidRPr="00794EB9">
              <w:rPr>
                <w:rFonts w:ascii="Arial" w:hAnsi="Arial" w:cs="Arial"/>
                <w:sz w:val="22"/>
                <w:szCs w:val="22"/>
                <w:lang w:eastAsia="es-MX"/>
              </w:rPr>
              <w:lastRenderedPageBreak/>
              <w:t>laborales individuales y colectivos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1217F32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VM2.1 Autoempleo</w:t>
            </w:r>
          </w:p>
        </w:tc>
        <w:tc>
          <w:tcPr>
            <w:tcW w:w="1191" w:type="pct"/>
            <w:tcBorders>
              <w:top w:val="nil"/>
              <w:left w:val="nil"/>
              <w:bottom w:val="single" w:sz="8" w:space="0" w:color="434343"/>
              <w:right w:val="single" w:sz="8" w:space="0" w:color="434343"/>
            </w:tcBorders>
            <w:shd w:val="clear" w:color="auto" w:fill="auto"/>
            <w:hideMark/>
          </w:tcPr>
          <w:p w14:paraId="3BD771E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2.1.1 Desarrollar esquemas de apoyo al autoempleo.</w:t>
            </w:r>
          </w:p>
        </w:tc>
      </w:tr>
      <w:tr w:rsidR="00794EB9" w:rsidRPr="00794EB9" w14:paraId="39FEF191"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14238DF" w14:textId="77777777" w:rsidR="00794EB9" w:rsidRPr="00794EB9" w:rsidRDefault="00794EB9" w:rsidP="00C307FB">
            <w:pPr>
              <w:spacing w:after="240"/>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610" w:type="pct"/>
            <w:tcBorders>
              <w:top w:val="nil"/>
              <w:left w:val="nil"/>
              <w:bottom w:val="single" w:sz="8" w:space="0" w:color="434343"/>
              <w:right w:val="single" w:sz="8" w:space="0" w:color="434343"/>
            </w:tcBorders>
            <w:shd w:val="clear" w:color="auto" w:fill="auto"/>
            <w:hideMark/>
          </w:tcPr>
          <w:p w14:paraId="148CC77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687" w:type="pct"/>
            <w:tcBorders>
              <w:top w:val="nil"/>
              <w:left w:val="nil"/>
              <w:bottom w:val="single" w:sz="8" w:space="0" w:color="434343"/>
              <w:right w:val="single" w:sz="8" w:space="0" w:color="434343"/>
            </w:tcBorders>
            <w:shd w:val="clear" w:color="auto" w:fill="auto"/>
            <w:hideMark/>
          </w:tcPr>
          <w:p w14:paraId="77CDBF4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58.  Años promedio de escolaridad de la población económicamente activa</w:t>
            </w:r>
          </w:p>
        </w:tc>
        <w:tc>
          <w:tcPr>
            <w:tcW w:w="426" w:type="pct"/>
            <w:tcBorders>
              <w:top w:val="nil"/>
              <w:left w:val="nil"/>
              <w:bottom w:val="single" w:sz="8" w:space="0" w:color="434343"/>
              <w:right w:val="single" w:sz="8" w:space="0" w:color="434343"/>
            </w:tcBorders>
            <w:shd w:val="clear" w:color="auto" w:fill="auto"/>
            <w:hideMark/>
          </w:tcPr>
          <w:p w14:paraId="2B3001D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Formación continua para la vida y el trabajo</w:t>
            </w:r>
          </w:p>
        </w:tc>
        <w:tc>
          <w:tcPr>
            <w:tcW w:w="1024" w:type="pct"/>
            <w:tcBorders>
              <w:top w:val="nil"/>
              <w:left w:val="nil"/>
              <w:bottom w:val="single" w:sz="8" w:space="0" w:color="434343"/>
              <w:right w:val="single" w:sz="8" w:space="0" w:color="434343"/>
            </w:tcBorders>
            <w:shd w:val="clear" w:color="auto" w:fill="auto"/>
            <w:hideMark/>
          </w:tcPr>
          <w:p w14:paraId="6BC2DF6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la oferta educativa no escolarizada que responda a los cambios tecnológicos y demanda de los modelos de empleo del futuro</w:t>
            </w:r>
          </w:p>
        </w:tc>
        <w:tc>
          <w:tcPr>
            <w:tcW w:w="686" w:type="pct"/>
            <w:vMerge/>
            <w:tcBorders>
              <w:top w:val="nil"/>
              <w:left w:val="single" w:sz="8" w:space="0" w:color="434343"/>
              <w:bottom w:val="single" w:sz="8" w:space="0" w:color="434343"/>
              <w:right w:val="single" w:sz="8" w:space="0" w:color="434343"/>
            </w:tcBorders>
            <w:vAlign w:val="center"/>
            <w:hideMark/>
          </w:tcPr>
          <w:p w14:paraId="2E008360"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4BCCC8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2.1.2 Impartir cursos de capacitación para la vida y el trabajo.</w:t>
            </w:r>
          </w:p>
        </w:tc>
      </w:tr>
      <w:tr w:rsidR="00794EB9" w:rsidRPr="00794EB9" w14:paraId="2E2927B1"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04862D0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Economía formal y generadora de empleos de calidad</w:t>
            </w:r>
          </w:p>
        </w:tc>
        <w:tc>
          <w:tcPr>
            <w:tcW w:w="610" w:type="pct"/>
            <w:tcBorders>
              <w:top w:val="nil"/>
              <w:left w:val="nil"/>
              <w:bottom w:val="single" w:sz="8" w:space="0" w:color="434343"/>
              <w:right w:val="single" w:sz="8" w:space="0" w:color="434343"/>
            </w:tcBorders>
            <w:shd w:val="clear" w:color="auto" w:fill="auto"/>
            <w:hideMark/>
          </w:tcPr>
          <w:p w14:paraId="2A7B42B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los parques y zonas industriales a favor de la creación de empleos formales de calidad, inclusivos y de la equidad salarial</w:t>
            </w:r>
          </w:p>
        </w:tc>
        <w:tc>
          <w:tcPr>
            <w:tcW w:w="687" w:type="pct"/>
            <w:tcBorders>
              <w:top w:val="nil"/>
              <w:left w:val="nil"/>
              <w:bottom w:val="single" w:sz="8" w:space="0" w:color="434343"/>
              <w:right w:val="single" w:sz="8" w:space="0" w:color="434343"/>
            </w:tcBorders>
            <w:shd w:val="clear" w:color="auto" w:fill="auto"/>
            <w:hideMark/>
          </w:tcPr>
          <w:p w14:paraId="55BB04A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29. Número de empleos formales</w:t>
            </w:r>
            <w:r w:rsidRPr="00794EB9">
              <w:rPr>
                <w:rFonts w:ascii="Arial" w:hAnsi="Arial" w:cs="Arial"/>
                <w:sz w:val="22"/>
                <w:szCs w:val="22"/>
                <w:lang w:eastAsia="es-MX"/>
              </w:rPr>
              <w:br/>
              <w:t>I 32. Tasa de informalidad laboral</w:t>
            </w:r>
          </w:p>
        </w:tc>
        <w:tc>
          <w:tcPr>
            <w:tcW w:w="426" w:type="pct"/>
            <w:tcBorders>
              <w:top w:val="nil"/>
              <w:left w:val="nil"/>
              <w:bottom w:val="single" w:sz="8" w:space="0" w:color="434343"/>
              <w:right w:val="single" w:sz="8" w:space="0" w:color="434343"/>
            </w:tcBorders>
            <w:shd w:val="clear" w:color="auto" w:fill="auto"/>
            <w:hideMark/>
          </w:tcPr>
          <w:p w14:paraId="02AF426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Empleo digno y cultura empresarial</w:t>
            </w:r>
          </w:p>
        </w:tc>
        <w:tc>
          <w:tcPr>
            <w:tcW w:w="1024" w:type="pct"/>
            <w:tcBorders>
              <w:top w:val="nil"/>
              <w:left w:val="nil"/>
              <w:bottom w:val="single" w:sz="8" w:space="0" w:color="434343"/>
              <w:right w:val="single" w:sz="8" w:space="0" w:color="434343"/>
            </w:tcBorders>
            <w:shd w:val="clear" w:color="auto" w:fill="auto"/>
            <w:hideMark/>
          </w:tcPr>
          <w:p w14:paraId="1893564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Fomentar la creación de incentivos locales para la generación de empleos en condición de formalidad, que favorezcan los derechos laborales individuales y colectivos</w:t>
            </w:r>
          </w:p>
        </w:tc>
        <w:tc>
          <w:tcPr>
            <w:tcW w:w="686" w:type="pct"/>
            <w:vMerge/>
            <w:tcBorders>
              <w:top w:val="nil"/>
              <w:left w:val="single" w:sz="8" w:space="0" w:color="434343"/>
              <w:bottom w:val="single" w:sz="8" w:space="0" w:color="434343"/>
              <w:right w:val="single" w:sz="8" w:space="0" w:color="434343"/>
            </w:tcBorders>
            <w:vAlign w:val="center"/>
            <w:hideMark/>
          </w:tcPr>
          <w:p w14:paraId="67622BCD"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C373CE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2.1.3 Promover la Feria de servicios, visorias y empleo (incubadoras).</w:t>
            </w:r>
          </w:p>
        </w:tc>
      </w:tr>
      <w:tr w:rsidR="00794EB9" w:rsidRPr="00794EB9" w14:paraId="21C118E8"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BE471B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Desarrollo rural sust</w:t>
            </w:r>
            <w:r w:rsidRPr="00794EB9">
              <w:rPr>
                <w:rFonts w:ascii="Arial" w:hAnsi="Arial" w:cs="Arial"/>
                <w:sz w:val="22"/>
                <w:szCs w:val="22"/>
                <w:lang w:eastAsia="es-MX"/>
              </w:rPr>
              <w:lastRenderedPageBreak/>
              <w:t>entable</w:t>
            </w:r>
          </w:p>
        </w:tc>
        <w:tc>
          <w:tcPr>
            <w:tcW w:w="610" w:type="pct"/>
            <w:tcBorders>
              <w:top w:val="nil"/>
              <w:left w:val="nil"/>
              <w:bottom w:val="single" w:sz="8" w:space="0" w:color="434343"/>
              <w:right w:val="single" w:sz="8" w:space="0" w:color="434343"/>
            </w:tcBorders>
            <w:shd w:val="clear" w:color="auto" w:fill="auto"/>
            <w:hideMark/>
          </w:tcPr>
          <w:p w14:paraId="05EC419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Aumentar la productividad y la eficiencia </w:t>
            </w:r>
            <w:r w:rsidRPr="00794EB9">
              <w:rPr>
                <w:rFonts w:ascii="Arial" w:hAnsi="Arial" w:cs="Arial"/>
                <w:sz w:val="22"/>
                <w:szCs w:val="22"/>
                <w:lang w:eastAsia="es-MX"/>
              </w:rPr>
              <w:lastRenderedPageBreak/>
              <w:t>del sector agroalimentario, consolidando un modelo de desarrollo rural sostenible, incluyente y articulado</w:t>
            </w:r>
          </w:p>
        </w:tc>
        <w:tc>
          <w:tcPr>
            <w:tcW w:w="687" w:type="pct"/>
            <w:tcBorders>
              <w:top w:val="nil"/>
              <w:left w:val="nil"/>
              <w:bottom w:val="single" w:sz="8" w:space="0" w:color="434343"/>
              <w:right w:val="single" w:sz="8" w:space="0" w:color="434343"/>
            </w:tcBorders>
            <w:shd w:val="clear" w:color="auto" w:fill="auto"/>
            <w:hideMark/>
          </w:tcPr>
          <w:p w14:paraId="539D274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33. Valor de la producción agrícola de riego</w:t>
            </w:r>
          </w:p>
          <w:p w14:paraId="4EF8BE6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35. Valor de la producción de carne en canal y otros productos de origen animal</w:t>
            </w:r>
          </w:p>
        </w:tc>
        <w:tc>
          <w:tcPr>
            <w:tcW w:w="426" w:type="pct"/>
            <w:tcBorders>
              <w:top w:val="nil"/>
              <w:left w:val="nil"/>
              <w:bottom w:val="single" w:sz="8" w:space="0" w:color="434343"/>
              <w:right w:val="single" w:sz="8" w:space="0" w:color="434343"/>
            </w:tcBorders>
            <w:shd w:val="clear" w:color="auto" w:fill="auto"/>
            <w:hideMark/>
          </w:tcPr>
          <w:p w14:paraId="37AE9AE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Fortalecimiento del sector </w:t>
            </w:r>
            <w:r w:rsidRPr="00794EB9">
              <w:rPr>
                <w:rFonts w:ascii="Arial" w:hAnsi="Arial" w:cs="Arial"/>
                <w:sz w:val="22"/>
                <w:szCs w:val="22"/>
                <w:lang w:eastAsia="es-MX"/>
              </w:rPr>
              <w:lastRenderedPageBreak/>
              <w:t>agroalimentario y del abasto local</w:t>
            </w:r>
          </w:p>
        </w:tc>
        <w:tc>
          <w:tcPr>
            <w:tcW w:w="1024" w:type="pct"/>
            <w:tcBorders>
              <w:top w:val="nil"/>
              <w:left w:val="nil"/>
              <w:bottom w:val="single" w:sz="8" w:space="0" w:color="434343"/>
              <w:right w:val="single" w:sz="8" w:space="0" w:color="434343"/>
            </w:tcBorders>
            <w:shd w:val="clear" w:color="auto" w:fill="auto"/>
            <w:hideMark/>
          </w:tcPr>
          <w:p w14:paraId="4078EC4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Modernizar y ampliar el sistema de centros de abasto y </w:t>
            </w:r>
            <w:r w:rsidRPr="00794EB9">
              <w:rPr>
                <w:rFonts w:ascii="Arial" w:hAnsi="Arial" w:cs="Arial"/>
                <w:sz w:val="22"/>
                <w:szCs w:val="22"/>
                <w:lang w:eastAsia="es-MX"/>
              </w:rPr>
              <w:lastRenderedPageBreak/>
              <w:t>promover su articulación con mercados públicos y centros de comercialización rural para promover el consumo local</w:t>
            </w:r>
          </w:p>
        </w:tc>
        <w:tc>
          <w:tcPr>
            <w:tcW w:w="686" w:type="pct"/>
            <w:tcBorders>
              <w:top w:val="nil"/>
              <w:left w:val="nil"/>
              <w:bottom w:val="single" w:sz="8" w:space="0" w:color="434343"/>
              <w:right w:val="single" w:sz="8" w:space="0" w:color="434343"/>
            </w:tcBorders>
            <w:shd w:val="clear" w:color="auto" w:fill="auto"/>
            <w:hideMark/>
          </w:tcPr>
          <w:p w14:paraId="7A0C41C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VM2.3 Mi Plaza</w:t>
            </w:r>
          </w:p>
        </w:tc>
        <w:tc>
          <w:tcPr>
            <w:tcW w:w="1191" w:type="pct"/>
            <w:tcBorders>
              <w:top w:val="nil"/>
              <w:left w:val="nil"/>
              <w:bottom w:val="single" w:sz="8" w:space="0" w:color="434343"/>
              <w:right w:val="single" w:sz="8" w:space="0" w:color="434343"/>
            </w:tcBorders>
            <w:shd w:val="clear" w:color="auto" w:fill="auto"/>
            <w:hideMark/>
          </w:tcPr>
          <w:p w14:paraId="4343F95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2.2.1 Implementar un programa de fortalecimiento orientado al </w:t>
            </w:r>
            <w:r w:rsidRPr="00794EB9">
              <w:rPr>
                <w:rFonts w:ascii="Arial" w:hAnsi="Arial" w:cs="Arial"/>
                <w:sz w:val="22"/>
                <w:szCs w:val="22"/>
                <w:lang w:eastAsia="es-MX"/>
              </w:rPr>
              <w:lastRenderedPageBreak/>
              <w:t>Comercio y el Consumo.</w:t>
            </w:r>
          </w:p>
        </w:tc>
      </w:tr>
      <w:tr w:rsidR="00794EB9" w:rsidRPr="00794EB9" w14:paraId="07F6F7B4"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07E54CC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Entorno para el emprendimiento y la innovación</w:t>
            </w:r>
          </w:p>
        </w:tc>
        <w:tc>
          <w:tcPr>
            <w:tcW w:w="610" w:type="pct"/>
            <w:tcBorders>
              <w:top w:val="nil"/>
              <w:left w:val="nil"/>
              <w:bottom w:val="single" w:sz="8" w:space="0" w:color="434343"/>
              <w:right w:val="single" w:sz="8" w:space="0" w:color="434343"/>
            </w:tcBorders>
            <w:shd w:val="clear" w:color="auto" w:fill="auto"/>
            <w:hideMark/>
          </w:tcPr>
          <w:p w14:paraId="02BE651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Fomentar la inversión en la innovación, el desarrollo tecnológico y el emprendimiento como ente principal de competitividad</w:t>
            </w:r>
          </w:p>
        </w:tc>
        <w:tc>
          <w:tcPr>
            <w:tcW w:w="687" w:type="pct"/>
            <w:tcBorders>
              <w:top w:val="nil"/>
              <w:left w:val="nil"/>
              <w:bottom w:val="single" w:sz="8" w:space="0" w:color="434343"/>
              <w:right w:val="single" w:sz="8" w:space="0" w:color="434343"/>
            </w:tcBorders>
            <w:shd w:val="clear" w:color="auto" w:fill="auto"/>
            <w:hideMark/>
          </w:tcPr>
          <w:p w14:paraId="5D3959E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I 38. Número de Microempresas </w:t>
            </w:r>
          </w:p>
        </w:tc>
        <w:tc>
          <w:tcPr>
            <w:tcW w:w="426" w:type="pct"/>
            <w:tcBorders>
              <w:top w:val="nil"/>
              <w:left w:val="nil"/>
              <w:bottom w:val="single" w:sz="8" w:space="0" w:color="434343"/>
              <w:right w:val="single" w:sz="8" w:space="0" w:color="434343"/>
            </w:tcBorders>
            <w:shd w:val="clear" w:color="auto" w:fill="auto"/>
            <w:hideMark/>
          </w:tcPr>
          <w:p w14:paraId="7C39F8D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Fortalecimiento del ecosistema emprendedor</w:t>
            </w:r>
          </w:p>
        </w:tc>
        <w:tc>
          <w:tcPr>
            <w:tcW w:w="1024" w:type="pct"/>
            <w:tcBorders>
              <w:top w:val="nil"/>
              <w:left w:val="nil"/>
              <w:bottom w:val="single" w:sz="8" w:space="0" w:color="434343"/>
              <w:right w:val="single" w:sz="8" w:space="0" w:color="434343"/>
            </w:tcBorders>
            <w:shd w:val="clear" w:color="auto" w:fill="auto"/>
            <w:hideMark/>
          </w:tcPr>
          <w:p w14:paraId="570D04E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Fomentar la generación de estímulos para unidades económicas y empresas, que propicien un ingreso equitativo y salarios más justos y con ello incrementar la calidad de los empleos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298140C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VM2.4 En Marcha</w:t>
            </w:r>
          </w:p>
        </w:tc>
        <w:tc>
          <w:tcPr>
            <w:tcW w:w="1191" w:type="pct"/>
            <w:tcBorders>
              <w:top w:val="nil"/>
              <w:left w:val="nil"/>
              <w:bottom w:val="single" w:sz="8" w:space="0" w:color="434343"/>
              <w:right w:val="single" w:sz="8" w:space="0" w:color="434343"/>
            </w:tcBorders>
            <w:shd w:val="clear" w:color="auto" w:fill="auto"/>
            <w:hideMark/>
          </w:tcPr>
          <w:p w14:paraId="5E9EAA4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2.3.1 Brindar apoyo a familias para el desarrollo de negocios de comercio y servicios.</w:t>
            </w:r>
          </w:p>
        </w:tc>
      </w:tr>
      <w:tr w:rsidR="00794EB9" w:rsidRPr="00794EB9" w14:paraId="6F2EBB64"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88977A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Fortalecimiento de sectores estratégicos y de la econ</w:t>
            </w:r>
            <w:r w:rsidRPr="00794EB9">
              <w:rPr>
                <w:rFonts w:ascii="Arial" w:hAnsi="Arial" w:cs="Arial"/>
                <w:sz w:val="22"/>
                <w:szCs w:val="22"/>
                <w:lang w:eastAsia="es-MX"/>
              </w:rPr>
              <w:lastRenderedPageBreak/>
              <w:t>omía local</w:t>
            </w:r>
          </w:p>
        </w:tc>
        <w:tc>
          <w:tcPr>
            <w:tcW w:w="610" w:type="pct"/>
            <w:tcBorders>
              <w:top w:val="nil"/>
              <w:left w:val="nil"/>
              <w:bottom w:val="single" w:sz="8" w:space="0" w:color="434343"/>
              <w:right w:val="single" w:sz="8" w:space="0" w:color="434343"/>
            </w:tcBorders>
            <w:shd w:val="clear" w:color="auto" w:fill="auto"/>
            <w:hideMark/>
          </w:tcPr>
          <w:p w14:paraId="3CC1060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Impulsar los sectores que muestran un alto potencial de desarrollo favorecie</w:t>
            </w:r>
            <w:r w:rsidRPr="00794EB9">
              <w:rPr>
                <w:rFonts w:ascii="Arial" w:hAnsi="Arial" w:cs="Arial"/>
                <w:sz w:val="22"/>
                <w:szCs w:val="22"/>
                <w:lang w:eastAsia="es-MX"/>
              </w:rPr>
              <w:lastRenderedPageBreak/>
              <w:t>ndo la diversificación y el fortalecimiento de la economía local</w:t>
            </w:r>
          </w:p>
        </w:tc>
        <w:tc>
          <w:tcPr>
            <w:tcW w:w="687" w:type="pct"/>
            <w:tcBorders>
              <w:top w:val="nil"/>
              <w:left w:val="nil"/>
              <w:bottom w:val="single" w:sz="8" w:space="0" w:color="434343"/>
              <w:right w:val="single" w:sz="8" w:space="0" w:color="434343"/>
            </w:tcBorders>
            <w:shd w:val="clear" w:color="auto" w:fill="auto"/>
            <w:hideMark/>
          </w:tcPr>
          <w:p w14:paraId="5411471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41. Porcentaje de concentración económica</w:t>
            </w:r>
            <w:r w:rsidRPr="00794EB9">
              <w:rPr>
                <w:rFonts w:ascii="Arial" w:hAnsi="Arial" w:cs="Arial"/>
                <w:sz w:val="22"/>
                <w:szCs w:val="22"/>
                <w:lang w:eastAsia="es-MX"/>
              </w:rPr>
              <w:br/>
              <w:t xml:space="preserve">I 42. Porcentaje de VACB de los sectores </w:t>
            </w:r>
            <w:r w:rsidRPr="00794EB9">
              <w:rPr>
                <w:rFonts w:ascii="Arial" w:hAnsi="Arial" w:cs="Arial"/>
                <w:sz w:val="22"/>
                <w:szCs w:val="22"/>
                <w:lang w:eastAsia="es-MX"/>
              </w:rPr>
              <w:lastRenderedPageBreak/>
              <w:t>perteneciente a las nuevas vocaciones</w:t>
            </w:r>
            <w:r w:rsidRPr="00794EB9">
              <w:rPr>
                <w:rFonts w:ascii="Arial" w:hAnsi="Arial" w:cs="Arial"/>
                <w:sz w:val="22"/>
                <w:szCs w:val="22"/>
                <w:lang w:eastAsia="es-MX"/>
              </w:rPr>
              <w:br/>
              <w:t>I 43. Derrama económica del sector turismo</w:t>
            </w:r>
          </w:p>
        </w:tc>
        <w:tc>
          <w:tcPr>
            <w:tcW w:w="426" w:type="pct"/>
            <w:tcBorders>
              <w:top w:val="nil"/>
              <w:left w:val="nil"/>
              <w:bottom w:val="single" w:sz="8" w:space="0" w:color="434343"/>
              <w:right w:val="single" w:sz="8" w:space="0" w:color="434343"/>
            </w:tcBorders>
            <w:shd w:val="clear" w:color="auto" w:fill="auto"/>
            <w:hideMark/>
          </w:tcPr>
          <w:p w14:paraId="35E1CDB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Consolidación de nuevas vocaciones</w:t>
            </w:r>
          </w:p>
        </w:tc>
        <w:tc>
          <w:tcPr>
            <w:tcW w:w="1024" w:type="pct"/>
            <w:tcBorders>
              <w:top w:val="nil"/>
              <w:left w:val="nil"/>
              <w:bottom w:val="single" w:sz="8" w:space="0" w:color="434343"/>
              <w:right w:val="single" w:sz="8" w:space="0" w:color="434343"/>
            </w:tcBorders>
            <w:shd w:val="clear" w:color="auto" w:fill="auto"/>
            <w:hideMark/>
          </w:tcPr>
          <w:p w14:paraId="329DEFC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Generar sinergias entre gobierno-academia-empresas, para impulsar la investigación y desarrollo de los sectores estratégicos hacia la </w:t>
            </w:r>
            <w:r w:rsidRPr="00794EB9">
              <w:rPr>
                <w:rFonts w:ascii="Arial" w:hAnsi="Arial" w:cs="Arial"/>
                <w:sz w:val="22"/>
                <w:szCs w:val="22"/>
                <w:lang w:eastAsia="es-MX"/>
              </w:rPr>
              <w:lastRenderedPageBreak/>
              <w:t>transformación y diversificación de la cadena de valor de estos sectores</w:t>
            </w:r>
          </w:p>
        </w:tc>
        <w:tc>
          <w:tcPr>
            <w:tcW w:w="686" w:type="pct"/>
            <w:vMerge/>
            <w:tcBorders>
              <w:top w:val="nil"/>
              <w:left w:val="single" w:sz="8" w:space="0" w:color="434343"/>
              <w:bottom w:val="single" w:sz="8" w:space="0" w:color="434343"/>
              <w:right w:val="single" w:sz="8" w:space="0" w:color="434343"/>
            </w:tcBorders>
            <w:vAlign w:val="center"/>
            <w:hideMark/>
          </w:tcPr>
          <w:p w14:paraId="70054AC9"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612ED8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2.3.2 Desarrollar una plataforma de digital  para facilitar la promoción online, venta y distribución de productos y servicios leoneses - León Market.</w:t>
            </w:r>
          </w:p>
        </w:tc>
      </w:tr>
      <w:tr w:rsidR="00794EB9" w:rsidRPr="00794EB9" w14:paraId="4F1377B1"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6ED7CE6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Entorno para el emprendimiento y la innovación</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6815648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Fomentar la inversión en la innovación, el desarrollo tecnológico y el emprendimiento como ente principal de competitividad</w:t>
            </w:r>
          </w:p>
        </w:tc>
        <w:tc>
          <w:tcPr>
            <w:tcW w:w="687" w:type="pct"/>
            <w:tcBorders>
              <w:top w:val="nil"/>
              <w:left w:val="nil"/>
              <w:bottom w:val="single" w:sz="8" w:space="0" w:color="434343"/>
              <w:right w:val="single" w:sz="8" w:space="0" w:color="434343"/>
            </w:tcBorders>
            <w:shd w:val="clear" w:color="auto" w:fill="auto"/>
            <w:hideMark/>
          </w:tcPr>
          <w:p w14:paraId="17BEBB0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I 38. Número de Microempresas </w:t>
            </w:r>
            <w:r w:rsidRPr="00794EB9">
              <w:rPr>
                <w:rFonts w:ascii="Arial" w:hAnsi="Arial" w:cs="Arial"/>
                <w:sz w:val="22"/>
                <w:szCs w:val="22"/>
                <w:lang w:eastAsia="es-MX"/>
              </w:rPr>
              <w:br/>
              <w:t xml:space="preserve">I 39. Número de Pequeñas y Medianas empresas (PYMES) </w:t>
            </w:r>
            <w:r w:rsidRPr="00794EB9">
              <w:rPr>
                <w:rFonts w:ascii="Arial" w:hAnsi="Arial" w:cs="Arial"/>
                <w:sz w:val="22"/>
                <w:szCs w:val="22"/>
                <w:lang w:eastAsia="es-MX"/>
              </w:rPr>
              <w:br/>
              <w:t>I 40. Número de grandes empresas</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0B18EA0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Fortalecimiento del ecosistema emprendedor</w:t>
            </w:r>
          </w:p>
        </w:tc>
        <w:tc>
          <w:tcPr>
            <w:tcW w:w="1024" w:type="pct"/>
            <w:tcBorders>
              <w:top w:val="nil"/>
              <w:left w:val="nil"/>
              <w:bottom w:val="single" w:sz="8" w:space="0" w:color="434343"/>
              <w:right w:val="single" w:sz="8" w:space="0" w:color="434343"/>
            </w:tcBorders>
            <w:shd w:val="clear" w:color="auto" w:fill="auto"/>
            <w:hideMark/>
          </w:tcPr>
          <w:p w14:paraId="55D7187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Fomentar la generación de estímulos para unidades económicas y empresas, que propicien un ingreso equitativo y salarios más justos y con ello incrementar la calidad de los empleos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37D3363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VM2.5 Power Pyme</w:t>
            </w:r>
          </w:p>
        </w:tc>
        <w:tc>
          <w:tcPr>
            <w:tcW w:w="1191" w:type="pct"/>
            <w:tcBorders>
              <w:top w:val="nil"/>
              <w:left w:val="nil"/>
              <w:bottom w:val="single" w:sz="8" w:space="0" w:color="434343"/>
              <w:right w:val="single" w:sz="8" w:space="0" w:color="434343"/>
            </w:tcBorders>
            <w:shd w:val="clear" w:color="auto" w:fill="auto"/>
            <w:hideMark/>
          </w:tcPr>
          <w:p w14:paraId="3CD4E9A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2.4.1 Desarrollar esquemas de Financiamiento para la reactivación económica.</w:t>
            </w:r>
          </w:p>
        </w:tc>
      </w:tr>
      <w:tr w:rsidR="00794EB9" w:rsidRPr="00794EB9" w14:paraId="700DFD33"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8E38F9A"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D08D9AB" w14:textId="77777777" w:rsidR="00794EB9" w:rsidRPr="00794EB9" w:rsidRDefault="00794EB9" w:rsidP="00C307FB">
            <w:pPr>
              <w:rPr>
                <w:rFonts w:ascii="Arial" w:hAnsi="Arial" w:cs="Arial"/>
                <w:sz w:val="22"/>
                <w:szCs w:val="22"/>
                <w:lang w:eastAsia="es-MX"/>
              </w:rPr>
            </w:pPr>
          </w:p>
        </w:tc>
        <w:tc>
          <w:tcPr>
            <w:tcW w:w="687" w:type="pct"/>
            <w:tcBorders>
              <w:top w:val="nil"/>
              <w:left w:val="nil"/>
              <w:bottom w:val="single" w:sz="8" w:space="0" w:color="434343"/>
              <w:right w:val="single" w:sz="8" w:space="0" w:color="434343"/>
            </w:tcBorders>
            <w:shd w:val="clear" w:color="auto" w:fill="auto"/>
            <w:hideMark/>
          </w:tcPr>
          <w:p w14:paraId="27933CF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I 37. Posición en la tabla del subíndice de Innovación </w:t>
            </w:r>
          </w:p>
        </w:tc>
        <w:tc>
          <w:tcPr>
            <w:tcW w:w="426" w:type="pct"/>
            <w:vMerge/>
            <w:tcBorders>
              <w:top w:val="nil"/>
              <w:left w:val="single" w:sz="8" w:space="0" w:color="434343"/>
              <w:bottom w:val="single" w:sz="8" w:space="0" w:color="434343"/>
              <w:right w:val="single" w:sz="8" w:space="0" w:color="434343"/>
            </w:tcBorders>
            <w:vAlign w:val="center"/>
            <w:hideMark/>
          </w:tcPr>
          <w:p w14:paraId="56972414" w14:textId="77777777" w:rsidR="00794EB9" w:rsidRPr="00794EB9" w:rsidRDefault="00794EB9" w:rsidP="00C307FB">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7F4FE44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el ecosistema de emprendimiento e innovación de la iniciativa privada de sectores tradicionales y de alto impacto</w:t>
            </w:r>
          </w:p>
        </w:tc>
        <w:tc>
          <w:tcPr>
            <w:tcW w:w="686" w:type="pct"/>
            <w:vMerge/>
            <w:tcBorders>
              <w:top w:val="nil"/>
              <w:left w:val="single" w:sz="8" w:space="0" w:color="434343"/>
              <w:bottom w:val="single" w:sz="8" w:space="0" w:color="434343"/>
              <w:right w:val="single" w:sz="8" w:space="0" w:color="434343"/>
            </w:tcBorders>
            <w:vAlign w:val="center"/>
            <w:hideMark/>
          </w:tcPr>
          <w:p w14:paraId="36F4C5BE"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752D6F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2.4.2 Promover la realización de Foros de Negocios y Networking.</w:t>
            </w:r>
          </w:p>
        </w:tc>
      </w:tr>
      <w:tr w:rsidR="00794EB9" w:rsidRPr="00794EB9" w14:paraId="5FFA2A67"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63B7793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Fortalecimiento de sectores estra</w:t>
            </w:r>
            <w:r w:rsidRPr="00794EB9">
              <w:rPr>
                <w:rFonts w:ascii="Arial" w:hAnsi="Arial" w:cs="Arial"/>
                <w:sz w:val="22"/>
                <w:szCs w:val="22"/>
                <w:lang w:eastAsia="es-MX"/>
              </w:rPr>
              <w:lastRenderedPageBreak/>
              <w:t>tégicos y de la economía local</w:t>
            </w:r>
          </w:p>
        </w:tc>
        <w:tc>
          <w:tcPr>
            <w:tcW w:w="610" w:type="pct"/>
            <w:tcBorders>
              <w:top w:val="nil"/>
              <w:left w:val="nil"/>
              <w:bottom w:val="single" w:sz="8" w:space="0" w:color="434343"/>
              <w:right w:val="single" w:sz="8" w:space="0" w:color="434343"/>
            </w:tcBorders>
            <w:shd w:val="clear" w:color="auto" w:fill="auto"/>
            <w:hideMark/>
          </w:tcPr>
          <w:p w14:paraId="10B1741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Impulsar los sectores que muestran un alto potencial </w:t>
            </w:r>
            <w:r w:rsidRPr="00794EB9">
              <w:rPr>
                <w:rFonts w:ascii="Arial" w:hAnsi="Arial" w:cs="Arial"/>
                <w:sz w:val="22"/>
                <w:szCs w:val="22"/>
                <w:lang w:eastAsia="es-MX"/>
              </w:rPr>
              <w:lastRenderedPageBreak/>
              <w:t>de desarrollo favoreciendo la diversificación y el fortalecimiento de la economía local</w:t>
            </w:r>
          </w:p>
        </w:tc>
        <w:tc>
          <w:tcPr>
            <w:tcW w:w="687" w:type="pct"/>
            <w:tcBorders>
              <w:top w:val="nil"/>
              <w:left w:val="nil"/>
              <w:bottom w:val="single" w:sz="8" w:space="0" w:color="434343"/>
              <w:right w:val="single" w:sz="8" w:space="0" w:color="434343"/>
            </w:tcBorders>
            <w:shd w:val="clear" w:color="auto" w:fill="auto"/>
            <w:hideMark/>
          </w:tcPr>
          <w:p w14:paraId="02C06D8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 42. Porcentaje de VACB de los sectores perteneciente a las </w:t>
            </w:r>
            <w:r w:rsidRPr="00794EB9">
              <w:rPr>
                <w:rFonts w:ascii="Arial" w:hAnsi="Arial" w:cs="Arial"/>
                <w:sz w:val="22"/>
                <w:szCs w:val="22"/>
                <w:lang w:eastAsia="es-MX"/>
              </w:rPr>
              <w:lastRenderedPageBreak/>
              <w:t>nuevas vocaciones</w:t>
            </w:r>
          </w:p>
        </w:tc>
        <w:tc>
          <w:tcPr>
            <w:tcW w:w="426" w:type="pct"/>
            <w:tcBorders>
              <w:top w:val="nil"/>
              <w:left w:val="nil"/>
              <w:bottom w:val="single" w:sz="8" w:space="0" w:color="434343"/>
              <w:right w:val="single" w:sz="8" w:space="0" w:color="434343"/>
            </w:tcBorders>
            <w:shd w:val="clear" w:color="auto" w:fill="auto"/>
            <w:hideMark/>
          </w:tcPr>
          <w:p w14:paraId="2B36AA9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Consolidación de nuevas vocaciones</w:t>
            </w:r>
          </w:p>
        </w:tc>
        <w:tc>
          <w:tcPr>
            <w:tcW w:w="1024" w:type="pct"/>
            <w:tcBorders>
              <w:top w:val="nil"/>
              <w:left w:val="nil"/>
              <w:bottom w:val="single" w:sz="8" w:space="0" w:color="434343"/>
              <w:right w:val="single" w:sz="8" w:space="0" w:color="434343"/>
            </w:tcBorders>
            <w:shd w:val="clear" w:color="auto" w:fill="auto"/>
            <w:hideMark/>
          </w:tcPr>
          <w:p w14:paraId="6B3B0E7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Elaborar un plan maestro que permita identificar, promover y trazar un mapa de ruta de </w:t>
            </w:r>
            <w:r w:rsidRPr="00794EB9">
              <w:rPr>
                <w:rFonts w:ascii="Arial" w:hAnsi="Arial" w:cs="Arial"/>
                <w:sz w:val="22"/>
                <w:szCs w:val="22"/>
                <w:lang w:eastAsia="es-MX"/>
              </w:rPr>
              <w:lastRenderedPageBreak/>
              <w:t>oportunidades de negocio de alto valor, así como industrias a desarrollar conforme a las vocaciones del municipio</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53A6D12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VM2.6 Encadenamiento Productivo y Atracción de </w:t>
            </w:r>
            <w:r w:rsidRPr="00794EB9">
              <w:rPr>
                <w:rFonts w:ascii="Arial" w:hAnsi="Arial" w:cs="Arial"/>
                <w:b/>
                <w:bCs/>
                <w:sz w:val="22"/>
                <w:szCs w:val="22"/>
                <w:lang w:eastAsia="es-MX"/>
              </w:rPr>
              <w:lastRenderedPageBreak/>
              <w:t>Inversiones</w:t>
            </w:r>
          </w:p>
        </w:tc>
        <w:tc>
          <w:tcPr>
            <w:tcW w:w="1191" w:type="pct"/>
            <w:tcBorders>
              <w:top w:val="nil"/>
              <w:left w:val="nil"/>
              <w:bottom w:val="single" w:sz="8" w:space="0" w:color="434343"/>
              <w:right w:val="single" w:sz="8" w:space="0" w:color="434343"/>
            </w:tcBorders>
            <w:shd w:val="clear" w:color="auto" w:fill="auto"/>
            <w:hideMark/>
          </w:tcPr>
          <w:p w14:paraId="41B1E06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VM. 2.5.1 Promover las inversiones con base al impulso de las 9 vocaciones estratégicas de León.</w:t>
            </w:r>
          </w:p>
        </w:tc>
      </w:tr>
      <w:tr w:rsidR="00794EB9" w:rsidRPr="00794EB9" w14:paraId="6F5B9919"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1B39959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Economía formal y generadora de empleos de calidad</w:t>
            </w:r>
            <w:r w:rsidRPr="00794EB9">
              <w:rPr>
                <w:rFonts w:ascii="Arial" w:hAnsi="Arial" w:cs="Arial"/>
                <w:sz w:val="22"/>
                <w:szCs w:val="22"/>
                <w:lang w:eastAsia="es-MX"/>
              </w:rPr>
              <w:br/>
            </w:r>
            <w:r w:rsidRPr="00794EB9">
              <w:rPr>
                <w:rFonts w:ascii="Arial" w:hAnsi="Arial" w:cs="Arial"/>
                <w:sz w:val="22"/>
                <w:szCs w:val="22"/>
                <w:lang w:eastAsia="es-MX"/>
              </w:rPr>
              <w:br/>
            </w:r>
          </w:p>
        </w:tc>
        <w:tc>
          <w:tcPr>
            <w:tcW w:w="610" w:type="pct"/>
            <w:tcBorders>
              <w:top w:val="nil"/>
              <w:left w:val="nil"/>
              <w:bottom w:val="single" w:sz="8" w:space="0" w:color="434343"/>
              <w:right w:val="single" w:sz="8" w:space="0" w:color="434343"/>
            </w:tcBorders>
            <w:shd w:val="clear" w:color="auto" w:fill="auto"/>
            <w:hideMark/>
          </w:tcPr>
          <w:p w14:paraId="0B2CE2C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los parques y zonas industriales a favor de la creación de empleos formales de calidad, inclusivos y de la equidad salarial</w:t>
            </w:r>
          </w:p>
        </w:tc>
        <w:tc>
          <w:tcPr>
            <w:tcW w:w="687" w:type="pct"/>
            <w:tcBorders>
              <w:top w:val="nil"/>
              <w:left w:val="nil"/>
              <w:bottom w:val="single" w:sz="8" w:space="0" w:color="434343"/>
              <w:right w:val="single" w:sz="8" w:space="0" w:color="434343"/>
            </w:tcBorders>
            <w:shd w:val="clear" w:color="auto" w:fill="auto"/>
            <w:hideMark/>
          </w:tcPr>
          <w:p w14:paraId="5405B29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30. Porcentaje de ocupación en los parques industriales</w:t>
            </w:r>
            <w:r w:rsidRPr="00794EB9">
              <w:rPr>
                <w:rFonts w:ascii="Arial" w:hAnsi="Arial" w:cs="Arial"/>
                <w:sz w:val="22"/>
                <w:szCs w:val="22"/>
                <w:lang w:eastAsia="es-MX"/>
              </w:rPr>
              <w:br/>
              <w:t>I 31. Número de unidades económicas en parques industriales</w:t>
            </w:r>
          </w:p>
        </w:tc>
        <w:tc>
          <w:tcPr>
            <w:tcW w:w="426" w:type="pct"/>
            <w:tcBorders>
              <w:top w:val="nil"/>
              <w:left w:val="nil"/>
              <w:bottom w:val="single" w:sz="8" w:space="0" w:color="434343"/>
              <w:right w:val="single" w:sz="8" w:space="0" w:color="434343"/>
            </w:tcBorders>
            <w:shd w:val="clear" w:color="auto" w:fill="auto"/>
            <w:hideMark/>
          </w:tcPr>
          <w:p w14:paraId="79A1BFD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Consolidación de parques y zonas industriales</w:t>
            </w:r>
          </w:p>
        </w:tc>
        <w:tc>
          <w:tcPr>
            <w:tcW w:w="1024" w:type="pct"/>
            <w:tcBorders>
              <w:top w:val="nil"/>
              <w:left w:val="nil"/>
              <w:bottom w:val="single" w:sz="8" w:space="0" w:color="434343"/>
              <w:right w:val="single" w:sz="8" w:space="0" w:color="434343"/>
            </w:tcBorders>
            <w:shd w:val="clear" w:color="auto" w:fill="auto"/>
            <w:hideMark/>
          </w:tcPr>
          <w:p w14:paraId="4D4AA68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Atraer inversiones y empresas de sectores económicos con potencial de instalación en el municipio, acorde a las vocaciones presentes y futuras</w:t>
            </w:r>
          </w:p>
        </w:tc>
        <w:tc>
          <w:tcPr>
            <w:tcW w:w="686" w:type="pct"/>
            <w:vMerge/>
            <w:tcBorders>
              <w:top w:val="nil"/>
              <w:left w:val="single" w:sz="8" w:space="0" w:color="434343"/>
              <w:bottom w:val="single" w:sz="8" w:space="0" w:color="434343"/>
              <w:right w:val="single" w:sz="8" w:space="0" w:color="434343"/>
            </w:tcBorders>
            <w:vAlign w:val="center"/>
            <w:hideMark/>
          </w:tcPr>
          <w:p w14:paraId="43E26A45"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013B6E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2.5.2 Establecer un esquema de atracción de inversiones.</w:t>
            </w:r>
          </w:p>
        </w:tc>
      </w:tr>
      <w:tr w:rsidR="00794EB9" w:rsidRPr="00794EB9" w14:paraId="35E595AB"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80D393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Desarrollo rural sustentable</w:t>
            </w:r>
          </w:p>
        </w:tc>
        <w:tc>
          <w:tcPr>
            <w:tcW w:w="610" w:type="pct"/>
            <w:tcBorders>
              <w:top w:val="nil"/>
              <w:left w:val="nil"/>
              <w:bottom w:val="single" w:sz="8" w:space="0" w:color="434343"/>
              <w:right w:val="single" w:sz="8" w:space="0" w:color="434343"/>
            </w:tcBorders>
            <w:shd w:val="clear" w:color="auto" w:fill="auto"/>
            <w:hideMark/>
          </w:tcPr>
          <w:p w14:paraId="1E59950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Aumentar la productividad y la eficiencia del sector agroalimentario, consolidando un modelo de desarrollo rural </w:t>
            </w:r>
            <w:r w:rsidRPr="00794EB9">
              <w:rPr>
                <w:rFonts w:ascii="Arial" w:hAnsi="Arial" w:cs="Arial"/>
                <w:sz w:val="22"/>
                <w:szCs w:val="22"/>
                <w:lang w:eastAsia="es-MX"/>
              </w:rPr>
              <w:lastRenderedPageBreak/>
              <w:t>sostenible, incluyente y articulado</w:t>
            </w:r>
          </w:p>
        </w:tc>
        <w:tc>
          <w:tcPr>
            <w:tcW w:w="687" w:type="pct"/>
            <w:tcBorders>
              <w:top w:val="nil"/>
              <w:left w:val="nil"/>
              <w:bottom w:val="single" w:sz="8" w:space="0" w:color="434343"/>
              <w:right w:val="single" w:sz="8" w:space="0" w:color="434343"/>
            </w:tcBorders>
            <w:shd w:val="clear" w:color="auto" w:fill="auto"/>
            <w:hideMark/>
          </w:tcPr>
          <w:p w14:paraId="6DB70C6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33. Valor de la producción agrícola de riego</w:t>
            </w:r>
            <w:r w:rsidRPr="00794EB9">
              <w:rPr>
                <w:rFonts w:ascii="Arial" w:hAnsi="Arial" w:cs="Arial"/>
                <w:sz w:val="22"/>
                <w:szCs w:val="22"/>
                <w:lang w:eastAsia="es-MX"/>
              </w:rPr>
              <w:br/>
              <w:t>I 34. Valor de las exportaciones del sector agroindustrial</w:t>
            </w:r>
            <w:r w:rsidRPr="00794EB9">
              <w:rPr>
                <w:rFonts w:ascii="Arial" w:hAnsi="Arial" w:cs="Arial"/>
                <w:sz w:val="22"/>
                <w:szCs w:val="22"/>
                <w:lang w:eastAsia="es-MX"/>
              </w:rPr>
              <w:br/>
              <w:t>I 35. Valor de la producció</w:t>
            </w:r>
            <w:r w:rsidRPr="00794EB9">
              <w:rPr>
                <w:rFonts w:ascii="Arial" w:hAnsi="Arial" w:cs="Arial"/>
                <w:sz w:val="22"/>
                <w:szCs w:val="22"/>
                <w:lang w:eastAsia="es-MX"/>
              </w:rPr>
              <w:lastRenderedPageBreak/>
              <w:t>n de carne en canal y otros productos de origen animal</w:t>
            </w:r>
            <w:r w:rsidRPr="00794EB9">
              <w:rPr>
                <w:rFonts w:ascii="Arial" w:hAnsi="Arial" w:cs="Arial"/>
                <w:sz w:val="22"/>
                <w:szCs w:val="22"/>
                <w:lang w:eastAsia="es-MX"/>
              </w:rPr>
              <w:br/>
              <w:t>I 36. Número de trabajadores asegurados en el sector primario</w:t>
            </w:r>
          </w:p>
        </w:tc>
        <w:tc>
          <w:tcPr>
            <w:tcW w:w="426" w:type="pct"/>
            <w:tcBorders>
              <w:top w:val="nil"/>
              <w:left w:val="nil"/>
              <w:bottom w:val="single" w:sz="8" w:space="0" w:color="434343"/>
              <w:right w:val="single" w:sz="8" w:space="0" w:color="434343"/>
            </w:tcBorders>
            <w:shd w:val="clear" w:color="auto" w:fill="auto"/>
            <w:hideMark/>
          </w:tcPr>
          <w:p w14:paraId="2263A39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Consolidación económica de los polos de desarrollo rural</w:t>
            </w:r>
          </w:p>
        </w:tc>
        <w:tc>
          <w:tcPr>
            <w:tcW w:w="1024" w:type="pct"/>
            <w:tcBorders>
              <w:top w:val="nil"/>
              <w:left w:val="nil"/>
              <w:bottom w:val="single" w:sz="8" w:space="0" w:color="434343"/>
              <w:right w:val="single" w:sz="8" w:space="0" w:color="434343"/>
            </w:tcBorders>
            <w:shd w:val="clear" w:color="auto" w:fill="auto"/>
            <w:hideMark/>
          </w:tcPr>
          <w:p w14:paraId="6388699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Desarrollar sistemas de producción y cultivo con enfoque sustentable en los Polos Rurales Agrícolas</w:t>
            </w:r>
          </w:p>
        </w:tc>
        <w:tc>
          <w:tcPr>
            <w:tcW w:w="686" w:type="pct"/>
            <w:vMerge/>
            <w:tcBorders>
              <w:top w:val="nil"/>
              <w:left w:val="single" w:sz="8" w:space="0" w:color="434343"/>
              <w:bottom w:val="single" w:sz="8" w:space="0" w:color="434343"/>
              <w:right w:val="single" w:sz="8" w:space="0" w:color="434343"/>
            </w:tcBorders>
            <w:vAlign w:val="center"/>
            <w:hideMark/>
          </w:tcPr>
          <w:p w14:paraId="0346CDF9"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E588B5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2.5.3 Brindar apoyos para productores agropecuarios.</w:t>
            </w:r>
          </w:p>
        </w:tc>
      </w:tr>
      <w:tr w:rsidR="00794EB9" w:rsidRPr="00794EB9" w14:paraId="2AABF833"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43AB998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Economía formal y generadora de empleos de calidad</w:t>
            </w:r>
          </w:p>
        </w:tc>
        <w:tc>
          <w:tcPr>
            <w:tcW w:w="610" w:type="pct"/>
            <w:tcBorders>
              <w:top w:val="nil"/>
              <w:left w:val="nil"/>
              <w:bottom w:val="single" w:sz="8" w:space="0" w:color="434343"/>
              <w:right w:val="single" w:sz="8" w:space="0" w:color="434343"/>
            </w:tcBorders>
            <w:shd w:val="clear" w:color="auto" w:fill="auto"/>
            <w:hideMark/>
          </w:tcPr>
          <w:p w14:paraId="292E037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los parques y zonas industriales a favor de la creación de empleos formales de calidad, inclusivos y de la equidad salarial</w:t>
            </w:r>
          </w:p>
        </w:tc>
        <w:tc>
          <w:tcPr>
            <w:tcW w:w="687" w:type="pct"/>
            <w:tcBorders>
              <w:top w:val="nil"/>
              <w:left w:val="nil"/>
              <w:bottom w:val="single" w:sz="8" w:space="0" w:color="434343"/>
              <w:right w:val="single" w:sz="8" w:space="0" w:color="434343"/>
            </w:tcBorders>
            <w:shd w:val="clear" w:color="auto" w:fill="auto"/>
            <w:hideMark/>
          </w:tcPr>
          <w:p w14:paraId="6548FA1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30. Porcentaje de ocupación en los parques industriales</w:t>
            </w:r>
            <w:r w:rsidRPr="00794EB9">
              <w:rPr>
                <w:rFonts w:ascii="Arial" w:hAnsi="Arial" w:cs="Arial"/>
                <w:sz w:val="22"/>
                <w:szCs w:val="22"/>
                <w:lang w:eastAsia="es-MX"/>
              </w:rPr>
              <w:br/>
              <w:t>I 31. Número de unidades económicas en parques industriales</w:t>
            </w:r>
          </w:p>
        </w:tc>
        <w:tc>
          <w:tcPr>
            <w:tcW w:w="426" w:type="pct"/>
            <w:tcBorders>
              <w:top w:val="nil"/>
              <w:left w:val="nil"/>
              <w:bottom w:val="single" w:sz="8" w:space="0" w:color="434343"/>
              <w:right w:val="single" w:sz="8" w:space="0" w:color="434343"/>
            </w:tcBorders>
            <w:shd w:val="clear" w:color="auto" w:fill="auto"/>
            <w:hideMark/>
          </w:tcPr>
          <w:p w14:paraId="3BAF7E8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Consolidación de parques y zonas industriales</w:t>
            </w:r>
          </w:p>
        </w:tc>
        <w:tc>
          <w:tcPr>
            <w:tcW w:w="1024" w:type="pct"/>
            <w:tcBorders>
              <w:top w:val="nil"/>
              <w:left w:val="nil"/>
              <w:bottom w:val="single" w:sz="8" w:space="0" w:color="434343"/>
              <w:right w:val="single" w:sz="8" w:space="0" w:color="434343"/>
            </w:tcBorders>
            <w:shd w:val="clear" w:color="auto" w:fill="auto"/>
            <w:hideMark/>
          </w:tcPr>
          <w:p w14:paraId="5696CF8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Atraer y fomentar la instalación de empresas intensivas en mano de obra en polígonos de desarrollo y zonas industriales de la ciudad</w:t>
            </w:r>
          </w:p>
        </w:tc>
        <w:tc>
          <w:tcPr>
            <w:tcW w:w="686" w:type="pct"/>
            <w:vMerge/>
            <w:tcBorders>
              <w:top w:val="nil"/>
              <w:left w:val="single" w:sz="8" w:space="0" w:color="434343"/>
              <w:bottom w:val="single" w:sz="8" w:space="0" w:color="434343"/>
              <w:right w:val="single" w:sz="8" w:space="0" w:color="434343"/>
            </w:tcBorders>
            <w:vAlign w:val="center"/>
            <w:hideMark/>
          </w:tcPr>
          <w:p w14:paraId="72A41B86"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CC0C75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2.5.4 Brindar apoyos para la infraestructura y equipamiento en zonas industriales consolidadas.</w:t>
            </w:r>
          </w:p>
        </w:tc>
      </w:tr>
      <w:tr w:rsidR="00794EB9" w:rsidRPr="00794EB9" w14:paraId="1BB894B2"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225D7AB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Educación equitativa, pertinente y de </w:t>
            </w:r>
            <w:r w:rsidRPr="00794EB9">
              <w:rPr>
                <w:rFonts w:ascii="Arial" w:hAnsi="Arial" w:cs="Arial"/>
                <w:sz w:val="22"/>
                <w:szCs w:val="22"/>
                <w:lang w:eastAsia="es-MX"/>
              </w:rPr>
              <w:lastRenderedPageBreak/>
              <w:t>calidad</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7739B58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Promover el aprendizaje equitativo, pertinente y de calidad a lo largo </w:t>
            </w:r>
            <w:r w:rsidRPr="00794EB9">
              <w:rPr>
                <w:rFonts w:ascii="Arial" w:hAnsi="Arial" w:cs="Arial"/>
                <w:sz w:val="22"/>
                <w:szCs w:val="22"/>
                <w:lang w:eastAsia="es-MX"/>
              </w:rPr>
              <w:lastRenderedPageBreak/>
              <w:t>de la vida</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7BF6610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58. Años promedio de escolaridad de la población económicamente activa</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35F5009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Educación oportuna y aprendizaje constante</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1325745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Fortalecer los mecanismos de coordinación y colaboración con entidades públicas y privadas para disminuir el analfabetismo y el rezago educativo, </w:t>
            </w:r>
            <w:r w:rsidRPr="00794EB9">
              <w:rPr>
                <w:rFonts w:ascii="Arial" w:hAnsi="Arial" w:cs="Arial"/>
                <w:sz w:val="22"/>
                <w:szCs w:val="22"/>
                <w:lang w:eastAsia="es-MX"/>
              </w:rPr>
              <w:lastRenderedPageBreak/>
              <w:t>además de incrementar el grado promedio de escolaridad</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1EEDA16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VM2.7 Impulso Educativo y Nuevas Vocaciones </w:t>
            </w:r>
          </w:p>
        </w:tc>
        <w:tc>
          <w:tcPr>
            <w:tcW w:w="1191" w:type="pct"/>
            <w:tcBorders>
              <w:top w:val="nil"/>
              <w:left w:val="nil"/>
              <w:bottom w:val="single" w:sz="8" w:space="0" w:color="434343"/>
              <w:right w:val="single" w:sz="8" w:space="0" w:color="434343"/>
            </w:tcBorders>
            <w:shd w:val="clear" w:color="auto" w:fill="auto"/>
            <w:hideMark/>
          </w:tcPr>
          <w:p w14:paraId="1D56885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2.6.1 Promover la realización de Foros orientados a nuevos modelos educativos. </w:t>
            </w:r>
          </w:p>
        </w:tc>
      </w:tr>
      <w:tr w:rsidR="00794EB9" w:rsidRPr="00794EB9" w14:paraId="22854667"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132D4184"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A37180E"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EA2A648"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00D1DFCB"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0E8314BD"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5BF4DA8"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71317D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2.6.2 Alfabetizar a personas para que puedan desarrollarse en el ámbito educativo, </w:t>
            </w:r>
            <w:r w:rsidRPr="00794EB9">
              <w:rPr>
                <w:rFonts w:ascii="Arial" w:hAnsi="Arial" w:cs="Arial"/>
                <w:sz w:val="22"/>
                <w:szCs w:val="22"/>
                <w:lang w:eastAsia="es-MX"/>
              </w:rPr>
              <w:lastRenderedPageBreak/>
              <w:t>laboral y social. (Convenio con INAEBA)</w:t>
            </w:r>
          </w:p>
        </w:tc>
      </w:tr>
      <w:tr w:rsidR="00794EB9" w:rsidRPr="00794EB9" w14:paraId="34F3572B"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DEAADF7"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F20C0AF"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068CDF68"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563467C"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C93FB9C"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4284D1D"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923294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2.6.3 Atender a personas que no asisten a la escuela y que se encuentran en situación de rezago educativo. (Convenio INAEBA)</w:t>
            </w:r>
          </w:p>
        </w:tc>
      </w:tr>
      <w:tr w:rsidR="00794EB9" w:rsidRPr="00794EB9" w14:paraId="790E4CCF"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663E64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610" w:type="pct"/>
            <w:tcBorders>
              <w:top w:val="nil"/>
              <w:left w:val="nil"/>
              <w:bottom w:val="single" w:sz="8" w:space="0" w:color="434343"/>
              <w:right w:val="single" w:sz="8" w:space="0" w:color="434343"/>
            </w:tcBorders>
            <w:shd w:val="clear" w:color="auto" w:fill="auto"/>
            <w:hideMark/>
          </w:tcPr>
          <w:p w14:paraId="71874EC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687" w:type="pct"/>
            <w:tcBorders>
              <w:top w:val="nil"/>
              <w:left w:val="nil"/>
              <w:bottom w:val="single" w:sz="8" w:space="0" w:color="434343"/>
              <w:right w:val="single" w:sz="8" w:space="0" w:color="434343"/>
            </w:tcBorders>
            <w:shd w:val="clear" w:color="auto" w:fill="auto"/>
            <w:hideMark/>
          </w:tcPr>
          <w:p w14:paraId="6EE6C9B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67. Número de Organizaciones de la Sociedad Civil (OSC) por cada 100 mil habitante</w:t>
            </w:r>
          </w:p>
        </w:tc>
        <w:tc>
          <w:tcPr>
            <w:tcW w:w="426" w:type="pct"/>
            <w:tcBorders>
              <w:top w:val="nil"/>
              <w:left w:val="nil"/>
              <w:bottom w:val="single" w:sz="8" w:space="0" w:color="434343"/>
              <w:right w:val="single" w:sz="8" w:space="0" w:color="434343"/>
            </w:tcBorders>
            <w:shd w:val="clear" w:color="auto" w:fill="auto"/>
            <w:hideMark/>
          </w:tcPr>
          <w:p w14:paraId="26D64B9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Colaboración abierta para la resolución de problemas locales</w:t>
            </w:r>
          </w:p>
        </w:tc>
        <w:tc>
          <w:tcPr>
            <w:tcW w:w="1024" w:type="pct"/>
            <w:tcBorders>
              <w:top w:val="nil"/>
              <w:left w:val="nil"/>
              <w:bottom w:val="single" w:sz="8" w:space="0" w:color="434343"/>
              <w:right w:val="single" w:sz="8" w:space="0" w:color="434343"/>
            </w:tcBorders>
            <w:shd w:val="clear" w:color="auto" w:fill="auto"/>
            <w:hideMark/>
          </w:tcPr>
          <w:p w14:paraId="061E203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el laboratorio de innovación pública y social, como un facilitador del proceso de co-creación en proyectos de colaboración con grupos de la sociedad civil</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4CC7BC3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VM2.8 Innovación y Emprendimiento</w:t>
            </w: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258BA38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2.7.1 Impulsar la economía naranja y el desarrollo de Laboratorios de Innovación para el apoyo a jóvenes emprendedores  con énfasis en desarrollo tecnológico.</w:t>
            </w:r>
          </w:p>
        </w:tc>
      </w:tr>
      <w:tr w:rsidR="00794EB9" w:rsidRPr="00794EB9" w14:paraId="5669D669"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34A5935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Entorno para el emprendimiento y </w:t>
            </w:r>
            <w:r w:rsidRPr="00794EB9">
              <w:rPr>
                <w:rFonts w:ascii="Arial" w:hAnsi="Arial" w:cs="Arial"/>
                <w:sz w:val="22"/>
                <w:szCs w:val="22"/>
                <w:lang w:eastAsia="es-MX"/>
              </w:rPr>
              <w:lastRenderedPageBreak/>
              <w:t>la innovación</w:t>
            </w:r>
          </w:p>
        </w:tc>
        <w:tc>
          <w:tcPr>
            <w:tcW w:w="610" w:type="pct"/>
            <w:tcBorders>
              <w:top w:val="nil"/>
              <w:left w:val="nil"/>
              <w:bottom w:val="single" w:sz="8" w:space="0" w:color="434343"/>
              <w:right w:val="single" w:sz="8" w:space="0" w:color="434343"/>
            </w:tcBorders>
            <w:shd w:val="clear" w:color="auto" w:fill="auto"/>
            <w:hideMark/>
          </w:tcPr>
          <w:p w14:paraId="4F11567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Fomentar la inversión en la innovación, el desarrollo </w:t>
            </w:r>
            <w:r w:rsidRPr="00794EB9">
              <w:rPr>
                <w:rFonts w:ascii="Arial" w:hAnsi="Arial" w:cs="Arial"/>
                <w:sz w:val="22"/>
                <w:szCs w:val="22"/>
                <w:lang w:eastAsia="es-MX"/>
              </w:rPr>
              <w:lastRenderedPageBreak/>
              <w:t>tecnológico y el emprendimiento como ente principal de competitividad</w:t>
            </w:r>
          </w:p>
        </w:tc>
        <w:tc>
          <w:tcPr>
            <w:tcW w:w="687" w:type="pct"/>
            <w:tcBorders>
              <w:top w:val="nil"/>
              <w:left w:val="nil"/>
              <w:bottom w:val="single" w:sz="8" w:space="0" w:color="434343"/>
              <w:right w:val="single" w:sz="8" w:space="0" w:color="434343"/>
            </w:tcBorders>
            <w:shd w:val="clear" w:color="auto" w:fill="auto"/>
            <w:hideMark/>
          </w:tcPr>
          <w:p w14:paraId="672F6E2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 37. Posición en la tabla del subíndice de Innovación </w:t>
            </w:r>
          </w:p>
        </w:tc>
        <w:tc>
          <w:tcPr>
            <w:tcW w:w="426" w:type="pct"/>
            <w:tcBorders>
              <w:top w:val="nil"/>
              <w:left w:val="nil"/>
              <w:bottom w:val="single" w:sz="8" w:space="0" w:color="434343"/>
              <w:right w:val="single" w:sz="8" w:space="0" w:color="434343"/>
            </w:tcBorders>
            <w:shd w:val="clear" w:color="auto" w:fill="auto"/>
            <w:hideMark/>
          </w:tcPr>
          <w:p w14:paraId="21A25E6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Fortalecimiento del ecosistema empr</w:t>
            </w:r>
            <w:r w:rsidRPr="00794EB9">
              <w:rPr>
                <w:rFonts w:ascii="Arial" w:hAnsi="Arial" w:cs="Arial"/>
                <w:sz w:val="22"/>
                <w:szCs w:val="22"/>
                <w:lang w:eastAsia="es-MX"/>
              </w:rPr>
              <w:lastRenderedPageBreak/>
              <w:t>endedor</w:t>
            </w:r>
          </w:p>
        </w:tc>
        <w:tc>
          <w:tcPr>
            <w:tcW w:w="1024" w:type="pct"/>
            <w:tcBorders>
              <w:top w:val="nil"/>
              <w:left w:val="nil"/>
              <w:bottom w:val="single" w:sz="8" w:space="0" w:color="434343"/>
              <w:right w:val="single" w:sz="8" w:space="0" w:color="434343"/>
            </w:tcBorders>
            <w:shd w:val="clear" w:color="auto" w:fill="auto"/>
            <w:hideMark/>
          </w:tcPr>
          <w:p w14:paraId="6D0BAB9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Apoyar y acompañar el proceso de emprendimiento desde las fases de ideación, contenido y prototipado </w:t>
            </w:r>
            <w:r w:rsidRPr="00794EB9">
              <w:rPr>
                <w:rFonts w:ascii="Arial" w:hAnsi="Arial" w:cs="Arial"/>
                <w:sz w:val="22"/>
                <w:szCs w:val="22"/>
                <w:lang w:eastAsia="es-MX"/>
              </w:rPr>
              <w:lastRenderedPageBreak/>
              <w:t xml:space="preserve">hasta las fases de vinculación e incubación, con énfasis en las juventudes </w:t>
            </w:r>
          </w:p>
        </w:tc>
        <w:tc>
          <w:tcPr>
            <w:tcW w:w="686" w:type="pct"/>
            <w:vMerge/>
            <w:tcBorders>
              <w:top w:val="nil"/>
              <w:left w:val="single" w:sz="8" w:space="0" w:color="434343"/>
              <w:bottom w:val="single" w:sz="8" w:space="0" w:color="434343"/>
              <w:right w:val="single" w:sz="8" w:space="0" w:color="434343"/>
            </w:tcBorders>
            <w:vAlign w:val="center"/>
            <w:hideMark/>
          </w:tcPr>
          <w:p w14:paraId="73C3BA51" w14:textId="77777777" w:rsidR="00794EB9" w:rsidRPr="00794EB9" w:rsidRDefault="00794EB9" w:rsidP="00C307FB">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36CFA140" w14:textId="77777777" w:rsidR="00794EB9" w:rsidRPr="00794EB9" w:rsidRDefault="00794EB9" w:rsidP="00C307FB">
            <w:pPr>
              <w:rPr>
                <w:rFonts w:ascii="Arial" w:hAnsi="Arial" w:cs="Arial"/>
                <w:sz w:val="22"/>
                <w:szCs w:val="22"/>
                <w:lang w:eastAsia="es-MX"/>
              </w:rPr>
            </w:pPr>
          </w:p>
        </w:tc>
      </w:tr>
      <w:tr w:rsidR="00794EB9" w:rsidRPr="00794EB9" w14:paraId="5B684191"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355362E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D9D9D9" w:themeFill="background1" w:themeFillShade="D9"/>
            <w:noWrap/>
            <w:hideMark/>
          </w:tcPr>
          <w:p w14:paraId="5B05C27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D9D9D9" w:themeFill="background1" w:themeFillShade="D9"/>
            <w:noWrap/>
            <w:hideMark/>
          </w:tcPr>
          <w:p w14:paraId="0702D9F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D9D9D9" w:themeFill="background1" w:themeFillShade="D9"/>
            <w:noWrap/>
            <w:hideMark/>
          </w:tcPr>
          <w:p w14:paraId="137117E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74ADADD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45F3C7A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 3 León 450</w:t>
            </w:r>
          </w:p>
          <w:p w14:paraId="34405AAB"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23E320A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14DD9037"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49A8398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Planeación, anticipación y gestión estratégica</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55B3F8C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el modelo de planeación y anticipación estratégica "León hacia el futuro", articulando los procesos de inteligencia y gestión del desarrollo local</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745C23D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71. Porcentaje de recursos humanos municipales con educación superior en áreas de planeación y gestión territorial</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0DD6D8E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Gestión estratégica del territorio municipal</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064ADC0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Desarrollar esquemas de coordinación y colaboración con municipios de la región, para la atención de temas de interés regional y metropolitano</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00E7931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VM3.1 Visión Metropolitana</w:t>
            </w:r>
          </w:p>
        </w:tc>
        <w:tc>
          <w:tcPr>
            <w:tcW w:w="1191" w:type="pct"/>
            <w:tcBorders>
              <w:top w:val="nil"/>
              <w:left w:val="nil"/>
              <w:bottom w:val="single" w:sz="8" w:space="0" w:color="434343"/>
              <w:right w:val="single" w:sz="8" w:space="0" w:color="434343"/>
            </w:tcBorders>
            <w:shd w:val="clear" w:color="auto" w:fill="auto"/>
            <w:hideMark/>
          </w:tcPr>
          <w:p w14:paraId="4F01D88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3.1.1 Desarrollar estudios y proyectos para la Integración de servicios a nivel metropolitano: Manejo de residuos, Agua y Drenaje, y Movilidad Regional</w:t>
            </w:r>
          </w:p>
        </w:tc>
      </w:tr>
      <w:tr w:rsidR="00794EB9" w:rsidRPr="00794EB9" w14:paraId="45BED8D1"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12F237A5"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14D681D"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1A0230F"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76DE079"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0D495CA0"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273115C"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36DC8D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3.1.2 Desarrollar Programas Parciales de desarrollo urbano para la integración metropolitana  y regional (zonas oriente, poniente, sur y norte) y estudios para control urbano.</w:t>
            </w:r>
          </w:p>
        </w:tc>
      </w:tr>
      <w:tr w:rsidR="00794EB9" w:rsidRPr="00794EB9" w14:paraId="6085BA53" w14:textId="77777777" w:rsidTr="00C307FB">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4590954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56BCA0D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w:t>
            </w:r>
            <w:r w:rsidRPr="00794EB9">
              <w:rPr>
                <w:rFonts w:ascii="Arial" w:hAnsi="Arial" w:cs="Arial"/>
                <w:sz w:val="22"/>
                <w:szCs w:val="22"/>
                <w:lang w:eastAsia="es-MX"/>
              </w:rPr>
              <w:lastRenderedPageBreak/>
              <w:t>s de intermodalidad urbana y metropolitana, que favorezca el ordenamiento territorial</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1D7300D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 21. Porcentaje de accesibilidad en el sistema vial</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5FF5174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Consolidación del sistema vial prima</w:t>
            </w:r>
            <w:r w:rsidRPr="00794EB9">
              <w:rPr>
                <w:rFonts w:ascii="Arial" w:hAnsi="Arial" w:cs="Arial"/>
                <w:sz w:val="22"/>
                <w:szCs w:val="22"/>
                <w:lang w:eastAsia="es-MX"/>
              </w:rPr>
              <w:lastRenderedPageBreak/>
              <w:t>rio y secundario</w:t>
            </w:r>
          </w:p>
        </w:tc>
        <w:tc>
          <w:tcPr>
            <w:tcW w:w="1024" w:type="pct"/>
            <w:tcBorders>
              <w:top w:val="nil"/>
              <w:left w:val="nil"/>
              <w:bottom w:val="single" w:sz="8" w:space="0" w:color="434343"/>
              <w:right w:val="single" w:sz="8" w:space="0" w:color="434343"/>
            </w:tcBorders>
            <w:shd w:val="clear" w:color="auto" w:fill="auto"/>
            <w:hideMark/>
          </w:tcPr>
          <w:p w14:paraId="588B7F7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Consolidar y modernizar la operación del Eje Norte Sur</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7AA7108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VM3.2 Infraestructura Visión León 450</w:t>
            </w:r>
          </w:p>
        </w:tc>
        <w:tc>
          <w:tcPr>
            <w:tcW w:w="1191" w:type="pct"/>
            <w:tcBorders>
              <w:top w:val="nil"/>
              <w:left w:val="nil"/>
              <w:bottom w:val="single" w:sz="8" w:space="0" w:color="434343"/>
              <w:right w:val="single" w:sz="8" w:space="0" w:color="434343"/>
            </w:tcBorders>
            <w:shd w:val="clear" w:color="auto" w:fill="auto"/>
            <w:hideMark/>
          </w:tcPr>
          <w:p w14:paraId="7631689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3.2.1 Desarrollar el Plan Maestro Integral de Zona Oriente y Blvd. Aeropuerto.</w:t>
            </w:r>
          </w:p>
        </w:tc>
      </w:tr>
      <w:tr w:rsidR="00794EB9" w:rsidRPr="00794EB9" w14:paraId="45E1B29D"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549E3CA"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EB4637E"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959D1EE"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5D78CBA" w14:textId="77777777" w:rsidR="00794EB9" w:rsidRPr="00794EB9" w:rsidRDefault="00794EB9" w:rsidP="00C307FB">
            <w:pPr>
              <w:rPr>
                <w:rFonts w:ascii="Arial" w:hAnsi="Arial" w:cs="Arial"/>
                <w:sz w:val="22"/>
                <w:szCs w:val="22"/>
                <w:lang w:eastAsia="es-MX"/>
              </w:rPr>
            </w:pP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293E795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Consolidar el sistema vial primario </w:t>
            </w:r>
            <w:r w:rsidRPr="00794EB9">
              <w:rPr>
                <w:rFonts w:ascii="Arial" w:hAnsi="Arial" w:cs="Arial"/>
                <w:sz w:val="22"/>
                <w:szCs w:val="22"/>
                <w:lang w:eastAsia="es-MX"/>
              </w:rPr>
              <w:lastRenderedPageBreak/>
              <w:t>priorizando el cierre de circuitos</w:t>
            </w:r>
          </w:p>
        </w:tc>
        <w:tc>
          <w:tcPr>
            <w:tcW w:w="686" w:type="pct"/>
            <w:vMerge/>
            <w:tcBorders>
              <w:top w:val="nil"/>
              <w:left w:val="single" w:sz="8" w:space="0" w:color="434343"/>
              <w:bottom w:val="single" w:sz="8" w:space="0" w:color="434343"/>
              <w:right w:val="single" w:sz="8" w:space="0" w:color="434343"/>
            </w:tcBorders>
            <w:vAlign w:val="center"/>
            <w:hideMark/>
          </w:tcPr>
          <w:p w14:paraId="5CC0BF50"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978445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3.2.2 Realizar la construcción del paso a desnivel </w:t>
            </w:r>
            <w:r w:rsidRPr="00794EB9">
              <w:rPr>
                <w:rFonts w:ascii="Arial" w:hAnsi="Arial" w:cs="Arial"/>
                <w:sz w:val="22"/>
                <w:szCs w:val="22"/>
                <w:lang w:eastAsia="es-MX"/>
              </w:rPr>
              <w:lastRenderedPageBreak/>
              <w:t>Blvd. Aeropuerto - Blvd. Siglo XXI.</w:t>
            </w:r>
          </w:p>
        </w:tc>
      </w:tr>
      <w:tr w:rsidR="00794EB9" w:rsidRPr="00794EB9" w14:paraId="2A1F0B75"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E8E0D0B"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2A97614C"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0C7C75A8"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1DBA67BA"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132A1F2B"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1FA6ADE"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EE2B3F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3.2.3 Ejecutar la obra del Puente Blvd. San Nicolás y Circuito Siglo XXI poniente.</w:t>
            </w:r>
          </w:p>
        </w:tc>
      </w:tr>
      <w:tr w:rsidR="00794EB9" w:rsidRPr="00794EB9" w14:paraId="73B1FF35"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4076398"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2A847AC3"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7665BB0"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CD84866"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405E6C9D"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1798ABF"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ECC6E5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3.2.4 Implementar las acciones derivadas del Plan Maestro Integral de Zona Oriente. </w:t>
            </w:r>
          </w:p>
        </w:tc>
      </w:tr>
      <w:tr w:rsidR="00794EB9" w:rsidRPr="00794EB9" w14:paraId="1D53AF00"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E988669"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C692677"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8F55F2D"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85100D0"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1698FFA3"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693BC0D"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CA1FC2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3.2.5 Liberar el Derecho de vía de obras  de infraestructura estratégica</w:t>
            </w:r>
          </w:p>
        </w:tc>
      </w:tr>
      <w:tr w:rsidR="00794EB9" w:rsidRPr="00794EB9" w14:paraId="55E8D603"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E6D6174"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5405970"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00B3DD4E"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0F3DB4FB"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4D54CB23"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901EDC5"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A0B7DD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3.2.6 Realizar la pavimentación de Blvd. Cañaveral tramo Vicente Valtierra - al límite sur de fraccionamiento Mayorca a tramo Blvd. Guanajuato a Bvld. Juan Alonso de Torres ( Eje Metropolitano)</w:t>
            </w:r>
          </w:p>
        </w:tc>
      </w:tr>
      <w:tr w:rsidR="00794EB9" w:rsidRPr="00794EB9" w14:paraId="215B2E2A"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067108C"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CF2B46E"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600DD8B"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5A3FE174" w14:textId="77777777" w:rsidR="00794EB9" w:rsidRPr="00794EB9" w:rsidRDefault="00794EB9" w:rsidP="00C307FB">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5FB915AD"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A817553"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37EC51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3.2.7 Ejecutar las obras del Blvd. Timoteo Lozano (Blvd. S.XXI-Blvd. Mayorazgo).</w:t>
            </w:r>
          </w:p>
        </w:tc>
      </w:tr>
      <w:tr w:rsidR="00794EB9" w:rsidRPr="00794EB9" w14:paraId="10242925"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206C6F1"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90AE28C"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51A1C3EA"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45E5C48B" w14:textId="77777777" w:rsidR="00794EB9" w:rsidRPr="00794EB9" w:rsidRDefault="00794EB9" w:rsidP="00C307FB">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1AB1EED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y modernizar la operación del Eje Norte Sur</w:t>
            </w:r>
          </w:p>
        </w:tc>
        <w:tc>
          <w:tcPr>
            <w:tcW w:w="686" w:type="pct"/>
            <w:vMerge/>
            <w:tcBorders>
              <w:top w:val="nil"/>
              <w:left w:val="single" w:sz="8" w:space="0" w:color="434343"/>
              <w:bottom w:val="single" w:sz="8" w:space="0" w:color="434343"/>
              <w:right w:val="single" w:sz="8" w:space="0" w:color="434343"/>
            </w:tcBorders>
            <w:vAlign w:val="center"/>
            <w:hideMark/>
          </w:tcPr>
          <w:p w14:paraId="3724D951"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BB1D42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3.2.8 Eje Norte- Sur: Ejecutar la primera etapa del mejoramiento de vialidades del Malecón del Río cuerpo Poniente, tramo: Blvd. </w:t>
            </w:r>
            <w:r w:rsidRPr="00794EB9">
              <w:rPr>
                <w:rFonts w:ascii="Arial" w:hAnsi="Arial" w:cs="Arial"/>
                <w:sz w:val="22"/>
                <w:szCs w:val="22"/>
                <w:lang w:eastAsia="es-MX"/>
              </w:rPr>
              <w:lastRenderedPageBreak/>
              <w:t>Insurgentes a Blvd. Torres Landa</w:t>
            </w:r>
          </w:p>
        </w:tc>
      </w:tr>
      <w:tr w:rsidR="00794EB9" w:rsidRPr="00794EB9" w14:paraId="292D57C4" w14:textId="77777777" w:rsidTr="00C307FB">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64B2F88" w14:textId="77777777" w:rsidR="00794EB9" w:rsidRPr="00794EB9" w:rsidRDefault="00794EB9" w:rsidP="00C307FB">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D6B4C00" w14:textId="77777777" w:rsidR="00794EB9" w:rsidRPr="00794EB9" w:rsidRDefault="00794EB9" w:rsidP="00C307FB">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84F5C70" w14:textId="77777777" w:rsidR="00794EB9" w:rsidRPr="00794EB9" w:rsidRDefault="00794EB9" w:rsidP="00C307FB">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579A169E" w14:textId="77777777" w:rsidR="00794EB9" w:rsidRPr="00794EB9" w:rsidRDefault="00794EB9" w:rsidP="00C307FB">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4D6294B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el sistema vial primario priorizando el cierre de circuitos</w:t>
            </w:r>
          </w:p>
        </w:tc>
        <w:tc>
          <w:tcPr>
            <w:tcW w:w="686" w:type="pct"/>
            <w:vMerge/>
            <w:tcBorders>
              <w:top w:val="nil"/>
              <w:left w:val="single" w:sz="8" w:space="0" w:color="434343"/>
              <w:bottom w:val="single" w:sz="8" w:space="0" w:color="434343"/>
              <w:right w:val="single" w:sz="8" w:space="0" w:color="434343"/>
            </w:tcBorders>
            <w:vAlign w:val="center"/>
            <w:hideMark/>
          </w:tcPr>
          <w:p w14:paraId="59F14C0F"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8FFD22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3.2.9. Vía Rápida Blvd. Morelos: Elaborar el Plan Integral de cruceros y pasos a desnivel entre Blvd. Hidalgo y Blvd. Adolfo López Mateos Norte.</w:t>
            </w:r>
          </w:p>
        </w:tc>
      </w:tr>
      <w:tr w:rsidR="00794EB9" w:rsidRPr="00794EB9" w14:paraId="5FDA4CD7"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4B8CC5E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Modelo urbano integrador</w:t>
            </w:r>
          </w:p>
        </w:tc>
        <w:tc>
          <w:tcPr>
            <w:tcW w:w="610" w:type="pct"/>
            <w:tcBorders>
              <w:top w:val="nil"/>
              <w:left w:val="nil"/>
              <w:bottom w:val="single" w:sz="8" w:space="0" w:color="434343"/>
              <w:right w:val="single" w:sz="8" w:space="0" w:color="434343"/>
            </w:tcBorders>
            <w:shd w:val="clear" w:color="auto" w:fill="auto"/>
            <w:hideMark/>
          </w:tcPr>
          <w:p w14:paraId="7290341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infraestructura verde</w:t>
            </w:r>
          </w:p>
        </w:tc>
        <w:tc>
          <w:tcPr>
            <w:tcW w:w="687" w:type="pct"/>
            <w:tcBorders>
              <w:top w:val="nil"/>
              <w:left w:val="nil"/>
              <w:bottom w:val="single" w:sz="8" w:space="0" w:color="434343"/>
              <w:right w:val="single" w:sz="8" w:space="0" w:color="434343"/>
            </w:tcBorders>
            <w:shd w:val="clear" w:color="auto" w:fill="auto"/>
            <w:hideMark/>
          </w:tcPr>
          <w:p w14:paraId="212BFB2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I 24. Superficie de baldíos </w:t>
            </w:r>
            <w:r w:rsidRPr="00794EB9">
              <w:rPr>
                <w:rFonts w:ascii="Arial" w:hAnsi="Arial" w:cs="Arial"/>
                <w:sz w:val="22"/>
                <w:szCs w:val="22"/>
                <w:lang w:eastAsia="es-MX"/>
              </w:rPr>
              <w:br/>
              <w:t>I 25. Densidad de la zona urbana</w:t>
            </w:r>
          </w:p>
        </w:tc>
        <w:tc>
          <w:tcPr>
            <w:tcW w:w="426" w:type="pct"/>
            <w:tcBorders>
              <w:top w:val="nil"/>
              <w:left w:val="nil"/>
              <w:bottom w:val="single" w:sz="8" w:space="0" w:color="434343"/>
              <w:right w:val="single" w:sz="8" w:space="0" w:color="434343"/>
            </w:tcBorders>
            <w:shd w:val="clear" w:color="auto" w:fill="auto"/>
            <w:hideMark/>
          </w:tcPr>
          <w:p w14:paraId="2F4FC17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br/>
              <w:t>Densificación y consolidación urbana</w:t>
            </w:r>
          </w:p>
        </w:tc>
        <w:tc>
          <w:tcPr>
            <w:tcW w:w="1024" w:type="pct"/>
            <w:tcBorders>
              <w:top w:val="nil"/>
              <w:left w:val="nil"/>
              <w:bottom w:val="single" w:sz="8" w:space="0" w:color="434343"/>
              <w:right w:val="single" w:sz="8" w:space="0" w:color="434343"/>
            </w:tcBorders>
            <w:shd w:val="clear" w:color="auto" w:fill="auto"/>
            <w:hideMark/>
          </w:tcPr>
          <w:p w14:paraId="21BED7F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los distritos urbanos y generar centralidades con equipamiento, servicios públicos y usos de suelo mixtos</w:t>
            </w:r>
          </w:p>
        </w:tc>
        <w:tc>
          <w:tcPr>
            <w:tcW w:w="686" w:type="pct"/>
            <w:vMerge/>
            <w:tcBorders>
              <w:top w:val="nil"/>
              <w:left w:val="single" w:sz="8" w:space="0" w:color="434343"/>
              <w:bottom w:val="single" w:sz="8" w:space="0" w:color="434343"/>
              <w:right w:val="single" w:sz="8" w:space="0" w:color="434343"/>
            </w:tcBorders>
            <w:vAlign w:val="center"/>
            <w:hideMark/>
          </w:tcPr>
          <w:p w14:paraId="316EF1DF"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841D02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3.2.10. Realizar el Proyecto Ejecutivo y estudio de factibilidad de la obra del Centro de Gobierno.</w:t>
            </w:r>
          </w:p>
        </w:tc>
      </w:tr>
      <w:tr w:rsidR="00794EB9" w:rsidRPr="00794EB9" w14:paraId="03F9DD31"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4C2BF8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Recreación accesible y de </w:t>
            </w:r>
            <w:r w:rsidRPr="00794EB9">
              <w:rPr>
                <w:rFonts w:ascii="Arial" w:hAnsi="Arial" w:cs="Arial"/>
                <w:sz w:val="22"/>
                <w:szCs w:val="22"/>
                <w:lang w:eastAsia="es-MX"/>
              </w:rPr>
              <w:lastRenderedPageBreak/>
              <w:t>calidad</w:t>
            </w:r>
          </w:p>
        </w:tc>
        <w:tc>
          <w:tcPr>
            <w:tcW w:w="610" w:type="pct"/>
            <w:tcBorders>
              <w:top w:val="nil"/>
              <w:left w:val="nil"/>
              <w:bottom w:val="single" w:sz="8" w:space="0" w:color="434343"/>
              <w:right w:val="single" w:sz="8" w:space="0" w:color="434343"/>
            </w:tcBorders>
            <w:shd w:val="clear" w:color="auto" w:fill="auto"/>
            <w:hideMark/>
          </w:tcPr>
          <w:p w14:paraId="4E3B703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Ampliar la oferta de sitios y opciones de </w:t>
            </w:r>
            <w:r w:rsidRPr="00794EB9">
              <w:rPr>
                <w:rFonts w:ascii="Arial" w:hAnsi="Arial" w:cs="Arial"/>
                <w:sz w:val="22"/>
                <w:szCs w:val="22"/>
                <w:lang w:eastAsia="es-MX"/>
              </w:rPr>
              <w:lastRenderedPageBreak/>
              <w:t>recreación y esparcimiento, con altos estándares de calidad, que sean accesibles para las y los leoneses y visitantes</w:t>
            </w:r>
          </w:p>
        </w:tc>
        <w:tc>
          <w:tcPr>
            <w:tcW w:w="687" w:type="pct"/>
            <w:tcBorders>
              <w:top w:val="nil"/>
              <w:left w:val="nil"/>
              <w:bottom w:val="single" w:sz="8" w:space="0" w:color="434343"/>
              <w:right w:val="single" w:sz="8" w:space="0" w:color="434343"/>
            </w:tcBorders>
            <w:shd w:val="clear" w:color="auto" w:fill="auto"/>
            <w:hideMark/>
          </w:tcPr>
          <w:p w14:paraId="594BFE3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 44. Superficie de espacios públicos </w:t>
            </w:r>
            <w:r w:rsidRPr="00794EB9">
              <w:rPr>
                <w:rFonts w:ascii="Arial" w:hAnsi="Arial" w:cs="Arial"/>
                <w:sz w:val="22"/>
                <w:szCs w:val="22"/>
                <w:lang w:eastAsia="es-MX"/>
              </w:rPr>
              <w:br/>
              <w:t xml:space="preserve">I 45. </w:t>
            </w:r>
            <w:r w:rsidRPr="00794EB9">
              <w:rPr>
                <w:rFonts w:ascii="Arial" w:hAnsi="Arial" w:cs="Arial"/>
                <w:sz w:val="22"/>
                <w:szCs w:val="22"/>
                <w:lang w:eastAsia="es-MX"/>
              </w:rPr>
              <w:lastRenderedPageBreak/>
              <w:t>Porcentaje de cobertura geográfica de los espacios públicos</w:t>
            </w:r>
            <w:r w:rsidRPr="00794EB9">
              <w:rPr>
                <w:rFonts w:ascii="Arial" w:hAnsi="Arial" w:cs="Arial"/>
                <w:sz w:val="22"/>
                <w:szCs w:val="22"/>
                <w:lang w:eastAsia="es-MX"/>
              </w:rPr>
              <w:br/>
              <w:t>I 46. Porcentaje de espacios públicos en buen estado</w:t>
            </w:r>
          </w:p>
        </w:tc>
        <w:tc>
          <w:tcPr>
            <w:tcW w:w="426" w:type="pct"/>
            <w:tcBorders>
              <w:top w:val="nil"/>
              <w:left w:val="nil"/>
              <w:bottom w:val="single" w:sz="8" w:space="0" w:color="434343"/>
              <w:right w:val="single" w:sz="8" w:space="0" w:color="434343"/>
            </w:tcBorders>
            <w:shd w:val="clear" w:color="auto" w:fill="auto"/>
            <w:hideMark/>
          </w:tcPr>
          <w:p w14:paraId="536350F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Promoción de la cultura y la identi</w:t>
            </w:r>
            <w:r w:rsidRPr="00794EB9">
              <w:rPr>
                <w:rFonts w:ascii="Arial" w:hAnsi="Arial" w:cs="Arial"/>
                <w:sz w:val="22"/>
                <w:szCs w:val="22"/>
                <w:lang w:eastAsia="es-MX"/>
              </w:rPr>
              <w:lastRenderedPageBreak/>
              <w:t>dad leonesa</w:t>
            </w:r>
          </w:p>
        </w:tc>
        <w:tc>
          <w:tcPr>
            <w:tcW w:w="1024" w:type="pct"/>
            <w:tcBorders>
              <w:top w:val="nil"/>
              <w:left w:val="nil"/>
              <w:bottom w:val="single" w:sz="8" w:space="0" w:color="434343"/>
              <w:right w:val="single" w:sz="8" w:space="0" w:color="434343"/>
            </w:tcBorders>
            <w:shd w:val="clear" w:color="auto" w:fill="auto"/>
            <w:hideMark/>
          </w:tcPr>
          <w:p w14:paraId="242662F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Impulsar y consolidar el polígono Distrito León MX como espacio para la promoción del </w:t>
            </w:r>
            <w:r w:rsidRPr="00794EB9">
              <w:rPr>
                <w:rFonts w:ascii="Arial" w:hAnsi="Arial" w:cs="Arial"/>
                <w:sz w:val="22"/>
                <w:szCs w:val="22"/>
                <w:lang w:eastAsia="es-MX"/>
              </w:rPr>
              <w:lastRenderedPageBreak/>
              <w:t>desarrollo comercial, económico, cultural y turístico del municipio</w:t>
            </w:r>
          </w:p>
        </w:tc>
        <w:tc>
          <w:tcPr>
            <w:tcW w:w="686" w:type="pct"/>
            <w:vMerge/>
            <w:tcBorders>
              <w:top w:val="nil"/>
              <w:left w:val="single" w:sz="8" w:space="0" w:color="434343"/>
              <w:bottom w:val="single" w:sz="8" w:space="0" w:color="434343"/>
              <w:right w:val="single" w:sz="8" w:space="0" w:color="434343"/>
            </w:tcBorders>
            <w:vAlign w:val="center"/>
            <w:hideMark/>
          </w:tcPr>
          <w:p w14:paraId="6FB0210E"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2F1092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3.2.11 Realizar el Plan Maestro y de Viabilidad para el corredor urbano la Gran Calzada (entre Calzada de </w:t>
            </w:r>
            <w:r w:rsidRPr="00794EB9">
              <w:rPr>
                <w:rFonts w:ascii="Arial" w:hAnsi="Arial" w:cs="Arial"/>
                <w:sz w:val="22"/>
                <w:szCs w:val="22"/>
                <w:lang w:eastAsia="es-MX"/>
              </w:rPr>
              <w:lastRenderedPageBreak/>
              <w:t xml:space="preserve">los Héroes y Distrito León MX)  </w:t>
            </w:r>
          </w:p>
        </w:tc>
      </w:tr>
      <w:tr w:rsidR="00794EB9" w:rsidRPr="00794EB9" w14:paraId="767F5F9C"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3A74C1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Movilidad sustentable e incluyente</w:t>
            </w:r>
          </w:p>
        </w:tc>
        <w:tc>
          <w:tcPr>
            <w:tcW w:w="610" w:type="pct"/>
            <w:tcBorders>
              <w:top w:val="nil"/>
              <w:left w:val="nil"/>
              <w:bottom w:val="single" w:sz="8" w:space="0" w:color="434343"/>
              <w:right w:val="single" w:sz="8" w:space="0" w:color="434343"/>
            </w:tcBorders>
            <w:shd w:val="clear" w:color="auto" w:fill="auto"/>
            <w:hideMark/>
          </w:tcPr>
          <w:p w14:paraId="641FA78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687" w:type="pct"/>
            <w:tcBorders>
              <w:top w:val="nil"/>
              <w:left w:val="nil"/>
              <w:bottom w:val="single" w:sz="8" w:space="0" w:color="434343"/>
              <w:right w:val="single" w:sz="8" w:space="0" w:color="434343"/>
            </w:tcBorders>
            <w:shd w:val="clear" w:color="auto" w:fill="auto"/>
            <w:hideMark/>
          </w:tcPr>
          <w:p w14:paraId="2D6C0D8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20. Porcentaje de cobertura de intermodalidad urbana</w:t>
            </w:r>
            <w:r w:rsidRPr="00794EB9">
              <w:rPr>
                <w:rFonts w:ascii="Arial" w:hAnsi="Arial" w:cs="Arial"/>
                <w:sz w:val="22"/>
                <w:szCs w:val="22"/>
                <w:lang w:eastAsia="es-MX"/>
              </w:rPr>
              <w:br/>
              <w:t>I 21. Porcentaje de accesibilidad en el sistema vial</w:t>
            </w:r>
            <w:r w:rsidRPr="00794EB9">
              <w:rPr>
                <w:rFonts w:ascii="Arial" w:hAnsi="Arial" w:cs="Arial"/>
                <w:sz w:val="22"/>
                <w:szCs w:val="22"/>
                <w:lang w:eastAsia="es-MX"/>
              </w:rPr>
              <w:br/>
              <w:t>I 22. Porcentaje de conectividad de las ciclovías existentes con cierre de circuitos</w:t>
            </w:r>
          </w:p>
        </w:tc>
        <w:tc>
          <w:tcPr>
            <w:tcW w:w="426" w:type="pct"/>
            <w:tcBorders>
              <w:top w:val="nil"/>
              <w:left w:val="nil"/>
              <w:bottom w:val="single" w:sz="8" w:space="0" w:color="434343"/>
              <w:right w:val="single" w:sz="8" w:space="0" w:color="434343"/>
            </w:tcBorders>
            <w:shd w:val="clear" w:color="auto" w:fill="auto"/>
            <w:hideMark/>
          </w:tcPr>
          <w:p w14:paraId="255032E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Innovación en movilidad sustentable</w:t>
            </w:r>
          </w:p>
        </w:tc>
        <w:tc>
          <w:tcPr>
            <w:tcW w:w="1024" w:type="pct"/>
            <w:tcBorders>
              <w:top w:val="nil"/>
              <w:left w:val="nil"/>
              <w:bottom w:val="single" w:sz="8" w:space="0" w:color="434343"/>
              <w:right w:val="single" w:sz="8" w:space="0" w:color="434343"/>
            </w:tcBorders>
            <w:shd w:val="clear" w:color="auto" w:fill="auto"/>
            <w:hideMark/>
          </w:tcPr>
          <w:p w14:paraId="10BCFA7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proyectos y acciones que fomenten la intermodalidad con la integración de los distintos medios de</w:t>
            </w:r>
            <w:r w:rsidRPr="00794EB9">
              <w:rPr>
                <w:rFonts w:ascii="Arial" w:hAnsi="Arial" w:cs="Arial"/>
                <w:sz w:val="22"/>
                <w:szCs w:val="22"/>
                <w:lang w:eastAsia="es-MX"/>
              </w:rPr>
              <w:br/>
              <w:t>movilidad municipal, realizando adecuaciones para la accesibilidad de las personas con diversidad funcional y</w:t>
            </w:r>
            <w:r w:rsidRPr="00794EB9">
              <w:rPr>
                <w:rFonts w:ascii="Arial" w:hAnsi="Arial" w:cs="Arial"/>
                <w:sz w:val="22"/>
                <w:szCs w:val="22"/>
                <w:lang w:eastAsia="es-MX"/>
              </w:rPr>
              <w:br/>
              <w:t>adultos mayores</w:t>
            </w:r>
          </w:p>
        </w:tc>
        <w:tc>
          <w:tcPr>
            <w:tcW w:w="686" w:type="pct"/>
            <w:vMerge/>
            <w:tcBorders>
              <w:top w:val="nil"/>
              <w:left w:val="single" w:sz="8" w:space="0" w:color="434343"/>
              <w:bottom w:val="single" w:sz="8" w:space="0" w:color="434343"/>
              <w:right w:val="single" w:sz="8" w:space="0" w:color="434343"/>
            </w:tcBorders>
            <w:vAlign w:val="center"/>
            <w:hideMark/>
          </w:tcPr>
          <w:p w14:paraId="3CE0A1EF" w14:textId="77777777" w:rsidR="00794EB9" w:rsidRPr="00794EB9" w:rsidRDefault="00794EB9" w:rsidP="00C307FB">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0B1225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3.2.12 Ejecutar las obras de mejoramiento vial, ciclista y peatonal de acuerdo con el Plan Maestro y de Viabilidad.</w:t>
            </w:r>
          </w:p>
        </w:tc>
      </w:tr>
      <w:tr w:rsidR="00794EB9" w:rsidRPr="00794EB9" w14:paraId="5979BD71"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0F83D51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Equidad social</w:t>
            </w:r>
          </w:p>
        </w:tc>
        <w:tc>
          <w:tcPr>
            <w:tcW w:w="610" w:type="pct"/>
            <w:tcBorders>
              <w:top w:val="nil"/>
              <w:left w:val="nil"/>
              <w:bottom w:val="single" w:sz="8" w:space="0" w:color="434343"/>
              <w:right w:val="single" w:sz="8" w:space="0" w:color="434343"/>
            </w:tcBorders>
            <w:shd w:val="clear" w:color="auto" w:fill="auto"/>
            <w:hideMark/>
          </w:tcPr>
          <w:p w14:paraId="4F9393A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Mejorar las condiciones socioeco</w:t>
            </w:r>
            <w:r w:rsidRPr="00794EB9">
              <w:rPr>
                <w:rFonts w:ascii="Arial" w:hAnsi="Arial" w:cs="Arial"/>
                <w:sz w:val="22"/>
                <w:szCs w:val="22"/>
                <w:lang w:eastAsia="es-MX"/>
              </w:rPr>
              <w:lastRenderedPageBreak/>
              <w:t>nómicas de la población en alguna situación de pobreza contribuyendo a la reducción de las desigualdades</w:t>
            </w:r>
          </w:p>
        </w:tc>
        <w:tc>
          <w:tcPr>
            <w:tcW w:w="687" w:type="pct"/>
            <w:tcBorders>
              <w:top w:val="nil"/>
              <w:left w:val="nil"/>
              <w:bottom w:val="single" w:sz="8" w:space="0" w:color="434343"/>
              <w:right w:val="single" w:sz="8" w:space="0" w:color="434343"/>
            </w:tcBorders>
            <w:shd w:val="clear" w:color="auto" w:fill="auto"/>
            <w:hideMark/>
          </w:tcPr>
          <w:p w14:paraId="6B951B0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 49. Porcentaje de hogares que </w:t>
            </w:r>
            <w:r w:rsidRPr="00794EB9">
              <w:rPr>
                <w:rFonts w:ascii="Arial" w:hAnsi="Arial" w:cs="Arial"/>
                <w:sz w:val="22"/>
                <w:szCs w:val="22"/>
                <w:lang w:eastAsia="es-MX"/>
              </w:rPr>
              <w:lastRenderedPageBreak/>
              <w:t>disponen de internet</w:t>
            </w:r>
          </w:p>
        </w:tc>
        <w:tc>
          <w:tcPr>
            <w:tcW w:w="426" w:type="pct"/>
            <w:tcBorders>
              <w:top w:val="nil"/>
              <w:left w:val="nil"/>
              <w:bottom w:val="single" w:sz="8" w:space="0" w:color="434343"/>
              <w:right w:val="single" w:sz="8" w:space="0" w:color="434343"/>
            </w:tcBorders>
            <w:shd w:val="clear" w:color="auto" w:fill="auto"/>
            <w:hideMark/>
          </w:tcPr>
          <w:p w14:paraId="523ACAD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Atención a la población </w:t>
            </w:r>
            <w:r w:rsidRPr="00794EB9">
              <w:rPr>
                <w:rFonts w:ascii="Arial" w:hAnsi="Arial" w:cs="Arial"/>
                <w:sz w:val="22"/>
                <w:szCs w:val="22"/>
                <w:lang w:eastAsia="es-MX"/>
              </w:rPr>
              <w:lastRenderedPageBreak/>
              <w:t>urbana en alguna condición de pobreza</w:t>
            </w:r>
          </w:p>
        </w:tc>
        <w:tc>
          <w:tcPr>
            <w:tcW w:w="1024" w:type="pct"/>
            <w:tcBorders>
              <w:top w:val="nil"/>
              <w:left w:val="nil"/>
              <w:bottom w:val="single" w:sz="8" w:space="0" w:color="434343"/>
              <w:right w:val="single" w:sz="8" w:space="0" w:color="434343"/>
            </w:tcBorders>
            <w:shd w:val="clear" w:color="auto" w:fill="auto"/>
            <w:hideMark/>
          </w:tcPr>
          <w:p w14:paraId="34835D5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Ampliar la cobertura y la calidad del servicio de internet gratuito </w:t>
            </w:r>
            <w:r w:rsidRPr="00794EB9">
              <w:rPr>
                <w:rFonts w:ascii="Arial" w:hAnsi="Arial" w:cs="Arial"/>
                <w:sz w:val="22"/>
                <w:szCs w:val="22"/>
                <w:lang w:eastAsia="es-MX"/>
              </w:rPr>
              <w:lastRenderedPageBreak/>
              <w:t>en espacios públicos.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2EA17D6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VM3.3 Conectividad para todos</w:t>
            </w:r>
          </w:p>
        </w:tc>
        <w:tc>
          <w:tcPr>
            <w:tcW w:w="1191" w:type="pct"/>
            <w:tcBorders>
              <w:top w:val="nil"/>
              <w:left w:val="nil"/>
              <w:bottom w:val="single" w:sz="8" w:space="0" w:color="434343"/>
              <w:right w:val="single" w:sz="8" w:space="0" w:color="434343"/>
            </w:tcBorders>
            <w:shd w:val="clear" w:color="auto" w:fill="auto"/>
            <w:hideMark/>
          </w:tcPr>
          <w:p w14:paraId="04555A6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VM. 3.3.1 Dar mantenimiento a los nodos rurales e instalar nuevos nodos según el </w:t>
            </w:r>
            <w:r w:rsidRPr="00794EB9">
              <w:rPr>
                <w:rFonts w:ascii="Arial" w:hAnsi="Arial" w:cs="Arial"/>
                <w:sz w:val="22"/>
                <w:szCs w:val="22"/>
                <w:lang w:eastAsia="es-MX"/>
              </w:rPr>
              <w:lastRenderedPageBreak/>
              <w:t xml:space="preserve">programa Conectividad para Todos. </w:t>
            </w:r>
          </w:p>
        </w:tc>
      </w:tr>
      <w:tr w:rsidR="00794EB9" w:rsidRPr="00794EB9" w14:paraId="7AF149DE"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E656F5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Tecnología y conectividad digital</w:t>
            </w:r>
          </w:p>
        </w:tc>
        <w:tc>
          <w:tcPr>
            <w:tcW w:w="610" w:type="pct"/>
            <w:tcBorders>
              <w:top w:val="nil"/>
              <w:left w:val="nil"/>
              <w:bottom w:val="single" w:sz="8" w:space="0" w:color="434343"/>
              <w:right w:val="single" w:sz="8" w:space="0" w:color="434343"/>
            </w:tcBorders>
            <w:shd w:val="clear" w:color="auto" w:fill="auto"/>
            <w:hideMark/>
          </w:tcPr>
          <w:p w14:paraId="046D4DE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la cobertura de conectividad digital, favoreciendo la tele gestión y una mayor eficiencia de servicios públicos</w:t>
            </w:r>
          </w:p>
        </w:tc>
        <w:tc>
          <w:tcPr>
            <w:tcW w:w="687" w:type="pct"/>
            <w:tcBorders>
              <w:top w:val="nil"/>
              <w:left w:val="nil"/>
              <w:bottom w:val="single" w:sz="8" w:space="0" w:color="434343"/>
              <w:right w:val="single" w:sz="8" w:space="0" w:color="434343"/>
            </w:tcBorders>
            <w:shd w:val="clear" w:color="auto" w:fill="auto"/>
            <w:hideMark/>
          </w:tcPr>
          <w:p w14:paraId="70523C9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 74. Porcentaje de luminarias integradas al sistema de Tele-gestión</w:t>
            </w:r>
          </w:p>
        </w:tc>
        <w:tc>
          <w:tcPr>
            <w:tcW w:w="426" w:type="pct"/>
            <w:tcBorders>
              <w:top w:val="nil"/>
              <w:left w:val="nil"/>
              <w:bottom w:val="single" w:sz="8" w:space="0" w:color="434343"/>
              <w:right w:val="single" w:sz="8" w:space="0" w:color="434343"/>
            </w:tcBorders>
            <w:shd w:val="clear" w:color="auto" w:fill="auto"/>
            <w:hideMark/>
          </w:tcPr>
          <w:p w14:paraId="1DEBEE2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Conectividad digital y tele gestión de servicios públicos </w:t>
            </w:r>
          </w:p>
        </w:tc>
        <w:tc>
          <w:tcPr>
            <w:tcW w:w="1024" w:type="pct"/>
            <w:tcBorders>
              <w:top w:val="nil"/>
              <w:left w:val="nil"/>
              <w:bottom w:val="single" w:sz="8" w:space="0" w:color="434343"/>
              <w:right w:val="single" w:sz="8" w:space="0" w:color="434343"/>
            </w:tcBorders>
            <w:shd w:val="clear" w:color="auto" w:fill="auto"/>
            <w:hideMark/>
          </w:tcPr>
          <w:p w14:paraId="7F1C6B7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la infraestructura para la prestación y optimización de servicios públicos por medio la tele gestión</w:t>
            </w:r>
          </w:p>
        </w:tc>
        <w:tc>
          <w:tcPr>
            <w:tcW w:w="686" w:type="pct"/>
            <w:vMerge/>
            <w:tcBorders>
              <w:top w:val="nil"/>
              <w:left w:val="single" w:sz="8" w:space="0" w:color="434343"/>
              <w:bottom w:val="single" w:sz="8" w:space="0" w:color="434343"/>
              <w:right w:val="single" w:sz="8" w:space="0" w:color="434343"/>
            </w:tcBorders>
            <w:vAlign w:val="center"/>
            <w:hideMark/>
          </w:tcPr>
          <w:p w14:paraId="0052B202" w14:textId="77777777" w:rsidR="00794EB9" w:rsidRPr="00794EB9" w:rsidRDefault="00794EB9" w:rsidP="00C307FB">
            <w:pPr>
              <w:rPr>
                <w:rFonts w:ascii="Arial" w:hAnsi="Arial" w:cs="Arial"/>
                <w:b/>
                <w:bCs/>
                <w:sz w:val="22"/>
                <w:szCs w:val="22"/>
                <w:lang w:eastAsia="es-MX"/>
              </w:rPr>
            </w:pP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7F83B63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VM. 3.3.2 Dar mantenimiento a 456 sensores y plataforma de big data. Sistema de Inteligencia Municipal</w:t>
            </w:r>
          </w:p>
        </w:tc>
      </w:tr>
      <w:tr w:rsidR="00794EB9" w:rsidRPr="00794EB9" w14:paraId="59E98D85" w14:textId="77777777" w:rsidTr="00C307FB">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15ABD09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Equidad social</w:t>
            </w:r>
          </w:p>
        </w:tc>
        <w:tc>
          <w:tcPr>
            <w:tcW w:w="610" w:type="pct"/>
            <w:tcBorders>
              <w:top w:val="nil"/>
              <w:left w:val="nil"/>
              <w:bottom w:val="single" w:sz="8" w:space="0" w:color="434343"/>
              <w:right w:val="single" w:sz="8" w:space="0" w:color="434343"/>
            </w:tcBorders>
            <w:shd w:val="clear" w:color="auto" w:fill="auto"/>
            <w:hideMark/>
          </w:tcPr>
          <w:p w14:paraId="7B6E364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w:t>
            </w:r>
            <w:r w:rsidRPr="00794EB9">
              <w:rPr>
                <w:rFonts w:ascii="Arial" w:hAnsi="Arial" w:cs="Arial"/>
                <w:sz w:val="22"/>
                <w:szCs w:val="22"/>
                <w:lang w:eastAsia="es-MX"/>
              </w:rPr>
              <w:lastRenderedPageBreak/>
              <w:t>endo a la reducción de las desigualdades</w:t>
            </w:r>
          </w:p>
        </w:tc>
        <w:tc>
          <w:tcPr>
            <w:tcW w:w="687" w:type="pct"/>
            <w:tcBorders>
              <w:top w:val="nil"/>
              <w:left w:val="nil"/>
              <w:bottom w:val="single" w:sz="8" w:space="0" w:color="434343"/>
              <w:right w:val="single" w:sz="8" w:space="0" w:color="434343"/>
            </w:tcBorders>
            <w:shd w:val="clear" w:color="auto" w:fill="auto"/>
            <w:hideMark/>
          </w:tcPr>
          <w:p w14:paraId="4E26151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 47. Porcentaje de población en pobreza </w:t>
            </w:r>
            <w:r w:rsidRPr="00794EB9">
              <w:rPr>
                <w:rFonts w:ascii="Arial" w:hAnsi="Arial" w:cs="Arial"/>
                <w:sz w:val="22"/>
                <w:szCs w:val="22"/>
                <w:lang w:eastAsia="es-MX"/>
              </w:rPr>
              <w:br/>
              <w:t xml:space="preserve">I 48. Porcentaje de población que habita en polígonos </w:t>
            </w:r>
            <w:r w:rsidRPr="00794EB9">
              <w:rPr>
                <w:rFonts w:ascii="Arial" w:hAnsi="Arial" w:cs="Arial"/>
                <w:sz w:val="22"/>
                <w:szCs w:val="22"/>
                <w:lang w:eastAsia="es-MX"/>
              </w:rPr>
              <w:lastRenderedPageBreak/>
              <w:t>de desarrollo</w:t>
            </w:r>
          </w:p>
        </w:tc>
        <w:tc>
          <w:tcPr>
            <w:tcW w:w="426" w:type="pct"/>
            <w:tcBorders>
              <w:top w:val="nil"/>
              <w:left w:val="nil"/>
              <w:bottom w:val="single" w:sz="8" w:space="0" w:color="434343"/>
              <w:right w:val="single" w:sz="8" w:space="0" w:color="434343"/>
            </w:tcBorders>
            <w:shd w:val="clear" w:color="auto" w:fill="auto"/>
            <w:hideMark/>
          </w:tcPr>
          <w:p w14:paraId="2603190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Atención a la población urbana en alguna condición de pobreza</w:t>
            </w:r>
          </w:p>
        </w:tc>
        <w:tc>
          <w:tcPr>
            <w:tcW w:w="1024" w:type="pct"/>
            <w:tcBorders>
              <w:top w:val="nil"/>
              <w:left w:val="nil"/>
              <w:bottom w:val="single" w:sz="8" w:space="0" w:color="434343"/>
              <w:right w:val="single" w:sz="8" w:space="0" w:color="434343"/>
            </w:tcBorders>
            <w:shd w:val="clear" w:color="auto" w:fill="auto"/>
            <w:hideMark/>
          </w:tcPr>
          <w:p w14:paraId="5FE2D71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sitios de conectividad a través de alianzas con el sector social y privado que permitan a la ciudadanía acceder a servicios, información y comunicación digital</w:t>
            </w:r>
          </w:p>
        </w:tc>
        <w:tc>
          <w:tcPr>
            <w:tcW w:w="686" w:type="pct"/>
            <w:vMerge/>
            <w:tcBorders>
              <w:top w:val="nil"/>
              <w:left w:val="single" w:sz="8" w:space="0" w:color="434343"/>
              <w:bottom w:val="single" w:sz="8" w:space="0" w:color="434343"/>
              <w:right w:val="single" w:sz="8" w:space="0" w:color="434343"/>
            </w:tcBorders>
            <w:vAlign w:val="center"/>
            <w:hideMark/>
          </w:tcPr>
          <w:p w14:paraId="1C6248C7" w14:textId="77777777" w:rsidR="00794EB9" w:rsidRPr="00794EB9" w:rsidRDefault="00794EB9" w:rsidP="00C307FB">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018EAF59" w14:textId="77777777" w:rsidR="00794EB9" w:rsidRPr="00794EB9" w:rsidRDefault="00794EB9" w:rsidP="00C307FB">
            <w:pPr>
              <w:rPr>
                <w:rFonts w:ascii="Arial" w:hAnsi="Arial" w:cs="Arial"/>
                <w:sz w:val="22"/>
                <w:szCs w:val="22"/>
                <w:lang w:eastAsia="es-MX"/>
              </w:rPr>
            </w:pPr>
          </w:p>
        </w:tc>
      </w:tr>
    </w:tbl>
    <w:p w14:paraId="6FE71D41" w14:textId="77777777" w:rsidR="00794EB9" w:rsidRPr="00794EB9" w:rsidRDefault="00794EB9" w:rsidP="00794EB9">
      <w:pPr>
        <w:pStyle w:val="TtuloPG2"/>
        <w:ind w:leftChars="0" w:firstLineChars="0" w:firstLine="0"/>
        <w:jc w:val="both"/>
        <w:rPr>
          <w:color w:val="auto"/>
          <w:sz w:val="22"/>
          <w:szCs w:val="22"/>
        </w:rPr>
      </w:pPr>
    </w:p>
    <w:p w14:paraId="105A282C" w14:textId="77777777" w:rsidR="00794EB9" w:rsidRPr="00794EB9" w:rsidRDefault="00794EB9" w:rsidP="00794EB9">
      <w:pPr>
        <w:pStyle w:val="TtuloPG2"/>
        <w:ind w:leftChars="0" w:firstLineChars="0" w:firstLine="0"/>
        <w:jc w:val="both"/>
        <w:rPr>
          <w:color w:val="auto"/>
          <w:sz w:val="22"/>
          <w:szCs w:val="22"/>
        </w:rPr>
      </w:pPr>
    </w:p>
    <w:p w14:paraId="6DC3E6A4" w14:textId="77777777" w:rsidR="00794EB9" w:rsidRPr="00794EB9" w:rsidRDefault="00794EB9" w:rsidP="00794EB9">
      <w:pPr>
        <w:pStyle w:val="TtuloPG2"/>
        <w:ind w:leftChars="0" w:firstLineChars="0" w:firstLine="0"/>
        <w:jc w:val="both"/>
        <w:rPr>
          <w:color w:val="auto"/>
          <w:sz w:val="22"/>
          <w:szCs w:val="22"/>
        </w:rPr>
      </w:pPr>
      <w:r w:rsidRPr="00794EB9">
        <w:rPr>
          <w:color w:val="auto"/>
          <w:sz w:val="22"/>
          <w:szCs w:val="22"/>
        </w:rPr>
        <w:t>II) Alineación de objetivos del Programa de Gobierno con los objetivos de instrumentos superiores de planeación</w:t>
      </w:r>
    </w:p>
    <w:p w14:paraId="0F74066F" w14:textId="77777777" w:rsidR="00794EB9" w:rsidRPr="00794EB9" w:rsidRDefault="00794EB9" w:rsidP="00794EB9">
      <w:pPr>
        <w:pStyle w:val="TtuloPG2"/>
        <w:ind w:left="0"/>
        <w:jc w:val="both"/>
        <w:rPr>
          <w:color w:val="auto"/>
          <w:sz w:val="22"/>
          <w:szCs w:val="22"/>
        </w:rPr>
      </w:pPr>
    </w:p>
    <w:p w14:paraId="712796AE"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A continuación, se muestran los objetivos de cada </w:t>
      </w:r>
      <w:r w:rsidRPr="00794EB9">
        <w:rPr>
          <w:rFonts w:ascii="Arial" w:hAnsi="Arial" w:cs="Arial"/>
          <w:i/>
          <w:sz w:val="22"/>
          <w:szCs w:val="22"/>
        </w:rPr>
        <w:t>Bandera</w:t>
      </w:r>
      <w:r w:rsidRPr="00794EB9">
        <w:rPr>
          <w:rFonts w:ascii="Arial" w:hAnsi="Arial" w:cs="Arial"/>
          <w:sz w:val="22"/>
          <w:szCs w:val="22"/>
        </w:rPr>
        <w:t xml:space="preserve">, los objetivos de cada </w:t>
      </w:r>
      <w:r w:rsidRPr="00794EB9">
        <w:rPr>
          <w:rFonts w:ascii="Arial" w:hAnsi="Arial" w:cs="Arial"/>
          <w:i/>
          <w:sz w:val="22"/>
          <w:szCs w:val="22"/>
        </w:rPr>
        <w:t>Programa</w:t>
      </w:r>
      <w:r w:rsidRPr="00794EB9">
        <w:rPr>
          <w:rFonts w:ascii="Arial" w:hAnsi="Arial" w:cs="Arial"/>
          <w:sz w:val="22"/>
          <w:szCs w:val="22"/>
        </w:rPr>
        <w:t xml:space="preserve">, así como la lista de </w:t>
      </w:r>
      <w:r w:rsidRPr="00794EB9">
        <w:rPr>
          <w:rFonts w:ascii="Arial" w:hAnsi="Arial" w:cs="Arial"/>
          <w:b/>
          <w:i/>
          <w:sz w:val="22"/>
          <w:szCs w:val="22"/>
        </w:rPr>
        <w:t>Objetivos de Desarrollo Sostenible de la Agenda 2030 de la ONU</w:t>
      </w:r>
      <w:r w:rsidRPr="00794EB9">
        <w:rPr>
          <w:rFonts w:ascii="Arial" w:hAnsi="Arial" w:cs="Arial"/>
          <w:sz w:val="22"/>
          <w:szCs w:val="22"/>
        </w:rPr>
        <w:t xml:space="preserve"> y objetivos del </w:t>
      </w:r>
      <w:r w:rsidRPr="00794EB9">
        <w:rPr>
          <w:rFonts w:ascii="Arial" w:hAnsi="Arial" w:cs="Arial"/>
          <w:b/>
          <w:i/>
          <w:sz w:val="22"/>
          <w:szCs w:val="22"/>
        </w:rPr>
        <w:t>Plan Estatal de Desarrollo. Guanajuato 2040</w:t>
      </w:r>
      <w:r w:rsidRPr="00794EB9">
        <w:rPr>
          <w:rFonts w:ascii="Arial" w:hAnsi="Arial" w:cs="Arial"/>
          <w:sz w:val="22"/>
          <w:szCs w:val="22"/>
        </w:rPr>
        <w:t xml:space="preserve"> a los que contribuyen.</w:t>
      </w:r>
    </w:p>
    <w:p w14:paraId="16CC808F" w14:textId="77777777" w:rsidR="00794EB9" w:rsidRPr="00794EB9" w:rsidRDefault="00794EB9" w:rsidP="00794EB9">
      <w:pPr>
        <w:jc w:val="both"/>
        <w:rPr>
          <w:rFonts w:ascii="Arial" w:hAnsi="Arial" w:cs="Arial"/>
          <w:sz w:val="22"/>
          <w:szCs w:val="22"/>
        </w:rPr>
      </w:pPr>
    </w:p>
    <w:p w14:paraId="3E6C9E6E"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A su vez, se enlistan los Pilares y Objetivos del </w:t>
      </w:r>
      <w:r w:rsidRPr="00794EB9">
        <w:rPr>
          <w:rFonts w:ascii="Arial" w:hAnsi="Arial" w:cs="Arial"/>
          <w:b/>
          <w:i/>
          <w:sz w:val="22"/>
          <w:szCs w:val="22"/>
        </w:rPr>
        <w:t>Plan Municipal de Desarrollo, León hacia el futuro. Visión 2045</w:t>
      </w:r>
      <w:r w:rsidRPr="00794EB9">
        <w:rPr>
          <w:rStyle w:val="Ninguno"/>
          <w:rFonts w:ascii="Arial" w:eastAsia="Avenir Book" w:hAnsi="Arial" w:cs="Arial"/>
          <w:sz w:val="22"/>
          <w:szCs w:val="22"/>
        </w:rPr>
        <w:t xml:space="preserve"> </w:t>
      </w:r>
      <w:r w:rsidRPr="00794EB9">
        <w:rPr>
          <w:rFonts w:ascii="Arial" w:hAnsi="Arial" w:cs="Arial"/>
          <w:sz w:val="22"/>
          <w:szCs w:val="22"/>
        </w:rPr>
        <w:t>y se asocian los indicadores estratégicos que serán parte del proceso de monitoreo y evaluación, para conocer en qué medida contribuyen al avance y cumplimiento de los objetivos y metas establecidas por dicho instrumento al año 2030, de conformidad con el artículo 102 de la Ley Orgánica Municipal para el Estado de Guanajuato.</w:t>
      </w:r>
    </w:p>
    <w:p w14:paraId="6806A971" w14:textId="77777777" w:rsidR="00794EB9" w:rsidRPr="00794EB9" w:rsidRDefault="00794EB9" w:rsidP="00794EB9">
      <w:pPr>
        <w:ind w:hanging="2"/>
        <w:jc w:val="both"/>
        <w:rPr>
          <w:rFonts w:ascii="Arial" w:hAnsi="Arial" w:cs="Arial"/>
          <w:b/>
          <w:i/>
          <w:sz w:val="22"/>
          <w:szCs w:val="22"/>
        </w:rPr>
      </w:pPr>
    </w:p>
    <w:p w14:paraId="629F38D4" w14:textId="77777777" w:rsidR="00794EB9" w:rsidRPr="00794EB9" w:rsidRDefault="00794EB9" w:rsidP="00794EB9">
      <w:pPr>
        <w:shd w:val="clear" w:color="auto" w:fill="CDD2DD"/>
        <w:jc w:val="both"/>
        <w:rPr>
          <w:rFonts w:ascii="Arial" w:hAnsi="Arial" w:cs="Arial"/>
          <w:b/>
          <w:bCs/>
          <w:sz w:val="22"/>
          <w:szCs w:val="22"/>
        </w:rPr>
      </w:pPr>
      <w:r w:rsidRPr="00794EB9">
        <w:rPr>
          <w:rFonts w:ascii="Arial" w:hAnsi="Arial" w:cs="Arial"/>
          <w:b/>
          <w:bCs/>
          <w:sz w:val="22"/>
          <w:szCs w:val="22"/>
        </w:rPr>
        <w:t>BANDERA VIVIR TRANQUILO</w:t>
      </w:r>
    </w:p>
    <w:p w14:paraId="1154029F" w14:textId="77777777" w:rsidR="00794EB9" w:rsidRPr="00794EB9" w:rsidRDefault="00794EB9" w:rsidP="00794EB9">
      <w:pPr>
        <w:jc w:val="both"/>
        <w:rPr>
          <w:rFonts w:ascii="Arial" w:hAnsi="Arial" w:cs="Arial"/>
          <w:b/>
          <w:i/>
          <w:sz w:val="22"/>
          <w:szCs w:val="22"/>
          <w:u w:val="single"/>
        </w:rPr>
      </w:pPr>
    </w:p>
    <w:p w14:paraId="5EF54CED"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OBJETIVO GENERAL DE LA BANDERA: </w:t>
      </w:r>
    </w:p>
    <w:p w14:paraId="0394FEA9"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 xml:space="preserve">Generar un conjunto de políticas y proyectos para que todos los leoneses puedan sentirse tranquilos viviendo en León.  </w:t>
      </w:r>
    </w:p>
    <w:p w14:paraId="05FA55B7" w14:textId="77777777" w:rsidR="00794EB9" w:rsidRPr="00794EB9" w:rsidRDefault="00794EB9" w:rsidP="00794EB9">
      <w:pPr>
        <w:ind w:left="1080"/>
        <w:jc w:val="both"/>
        <w:rPr>
          <w:rFonts w:ascii="Arial" w:hAnsi="Arial" w:cs="Arial"/>
          <w:sz w:val="22"/>
          <w:szCs w:val="22"/>
        </w:rPr>
      </w:pPr>
    </w:p>
    <w:p w14:paraId="6FB7096C"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en la que dé gusto vivir, en la que toda persona pueda transitarla cómodamente, convivir con tranquilidad en sus plazas, barrios y colonias y sentirse orgulloso de ser parte de ella. </w:t>
      </w:r>
    </w:p>
    <w:p w14:paraId="5BF15A10" w14:textId="77777777" w:rsidR="00794EB9" w:rsidRPr="00794EB9" w:rsidRDefault="00794EB9" w:rsidP="00794EB9">
      <w:pPr>
        <w:jc w:val="both"/>
        <w:rPr>
          <w:rFonts w:ascii="Arial" w:hAnsi="Arial" w:cs="Arial"/>
          <w:sz w:val="22"/>
          <w:szCs w:val="22"/>
        </w:rPr>
      </w:pPr>
    </w:p>
    <w:p w14:paraId="5518EBF5"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segura y ordenada, donde se respete la ley, se fomente la denuncia y prevalezca una cultura de justicia para todos en la que no quepa la impunidad. </w:t>
      </w:r>
    </w:p>
    <w:p w14:paraId="3820EF2B" w14:textId="77777777" w:rsidR="00794EB9" w:rsidRPr="00794EB9" w:rsidRDefault="00794EB9" w:rsidP="00794EB9">
      <w:pPr>
        <w:jc w:val="both"/>
        <w:rPr>
          <w:rFonts w:ascii="Arial" w:hAnsi="Arial" w:cs="Arial"/>
          <w:sz w:val="22"/>
          <w:szCs w:val="22"/>
        </w:rPr>
      </w:pPr>
    </w:p>
    <w:p w14:paraId="6284244E"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para todos y de todos, que promueva la participación ciudadana responsable, capaz y organizada para atender a los que más lo necesitan, cuidar nuestro patrimonio cultural y natural y fortalecer nuestra identidad y cultura. </w:t>
      </w:r>
    </w:p>
    <w:p w14:paraId="02719C75" w14:textId="77777777" w:rsidR="00794EB9" w:rsidRPr="00794EB9" w:rsidRDefault="00794EB9" w:rsidP="00794EB9">
      <w:pPr>
        <w:jc w:val="both"/>
        <w:rPr>
          <w:rFonts w:ascii="Arial" w:hAnsi="Arial" w:cs="Arial"/>
          <w:sz w:val="22"/>
          <w:szCs w:val="22"/>
        </w:rPr>
      </w:pPr>
    </w:p>
    <w:p w14:paraId="5B8BD8FE"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VT1. Gobierno Cercano 24/7</w:t>
      </w:r>
    </w:p>
    <w:p w14:paraId="1F1073BA"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Desarrollar una forma de gobierno con mayor cercanía con la población que atienda sus demandas y solicitudes basada en trámites digitales, un modelo de delegaciones, presupuesto participativo y una forma de atención ciudadana basada en la excelencia en el trato y el servicio.</w:t>
      </w:r>
    </w:p>
    <w:p w14:paraId="55345CD1" w14:textId="77777777" w:rsidR="00794EB9" w:rsidRPr="00794EB9" w:rsidRDefault="00794EB9" w:rsidP="00794EB9">
      <w:pPr>
        <w:jc w:val="both"/>
        <w:rPr>
          <w:rFonts w:ascii="Arial" w:hAnsi="Arial" w:cs="Arial"/>
          <w:b/>
          <w:sz w:val="22"/>
          <w:szCs w:val="22"/>
        </w:rPr>
      </w:pPr>
    </w:p>
    <w:p w14:paraId="54D9AB3F" w14:textId="77777777" w:rsidR="00794EB9" w:rsidRPr="00794EB9" w:rsidRDefault="00794EB9" w:rsidP="0018463D">
      <w:pPr>
        <w:pStyle w:val="Prrafodelista"/>
        <w:numPr>
          <w:ilvl w:val="0"/>
          <w:numId w:val="18"/>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3D8B6A40"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lastRenderedPageBreak/>
        <w:t>Objetivo 8: Promover el crecimiento económico inclusivo y sostenible, el empleo y el trabajo decente para todos</w:t>
      </w:r>
    </w:p>
    <w:p w14:paraId="2877F557"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 Lograr que las ciudades sean más inclusivas, seguras, resilientes y sostenibles</w:t>
      </w:r>
    </w:p>
    <w:p w14:paraId="1D0BC726"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16: Promover sociedades justas, pacíficas e inclusivas</w:t>
      </w:r>
    </w:p>
    <w:p w14:paraId="67E3CDA6" w14:textId="77777777" w:rsidR="00794EB9" w:rsidRPr="00794EB9" w:rsidRDefault="00794EB9" w:rsidP="00794EB9">
      <w:pPr>
        <w:pStyle w:val="Prrafodelista"/>
        <w:ind w:left="1637"/>
        <w:jc w:val="both"/>
        <w:rPr>
          <w:rFonts w:ascii="Arial" w:hAnsi="Arial" w:cs="Arial"/>
          <w:sz w:val="22"/>
          <w:szCs w:val="22"/>
        </w:rPr>
      </w:pPr>
    </w:p>
    <w:p w14:paraId="29555922" w14:textId="77777777" w:rsidR="00794EB9" w:rsidRPr="00794EB9" w:rsidRDefault="00794EB9" w:rsidP="0018463D">
      <w:pPr>
        <w:pStyle w:val="Prrafodelista"/>
        <w:numPr>
          <w:ilvl w:val="0"/>
          <w:numId w:val="18"/>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4A49428B"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OBJETIVO 2.2.1 Aprovechar las ventajas comparativas, locales y regionales, y activar las cadenas de valor que incluyen a las micro, pequeñas y medianas empresas locales que generan el desarrollo económico y social de sus comunidades</w:t>
      </w:r>
    </w:p>
    <w:p w14:paraId="778ABC7D"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OBJETIVO 3.2.1 Lograr una administración sostenible del territorio, que impulse el desarrollo de comunidades y ciudades humanas y sostenibles</w:t>
      </w:r>
    </w:p>
    <w:p w14:paraId="206DFA21"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OBJETIVO 4.1.1 Incrementar la eficiencia y la eficacia del sector público estatal, con el involucramiento corresponsable de la sociedad</w:t>
      </w:r>
    </w:p>
    <w:p w14:paraId="36217B10"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OBJETIVO 4.1.2 Consolidar una gestión pública abierta, transparente y cercana al ciudadano, sin cabida para la corrupción</w:t>
      </w:r>
    </w:p>
    <w:p w14:paraId="3D7ADBB2"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OBJETIVO 4.1.3 Fortalecer las capacidades institucionales de las administraciones públicas municipales, para que su actuación se conduzca con apego a los procesos de planeación, transparencia y evaluación de resultados que requiere la sociedad</w:t>
      </w:r>
    </w:p>
    <w:p w14:paraId="2D4B0F10" w14:textId="77777777" w:rsidR="00794EB9" w:rsidRPr="00794EB9" w:rsidRDefault="00794EB9" w:rsidP="00794EB9">
      <w:pPr>
        <w:pStyle w:val="Prrafodelista"/>
        <w:ind w:left="1439"/>
        <w:jc w:val="both"/>
        <w:rPr>
          <w:rFonts w:ascii="Arial" w:hAnsi="Arial" w:cs="Arial"/>
          <w:sz w:val="22"/>
          <w:szCs w:val="22"/>
        </w:rPr>
      </w:pPr>
    </w:p>
    <w:p w14:paraId="338D92A9" w14:textId="77777777" w:rsidR="00794EB9" w:rsidRPr="00794EB9" w:rsidRDefault="00794EB9" w:rsidP="0018463D">
      <w:pPr>
        <w:pStyle w:val="Prrafodelista"/>
        <w:numPr>
          <w:ilvl w:val="0"/>
          <w:numId w:val="18"/>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59401990"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1.6 Modelo urbano integrador. Lograr una ciudad incluyente, accesible, consolidada y densificada con procesos de regeneración, ordenamiento e integración entre los sistemas de movilidad e infraestructura verde.</w:t>
      </w:r>
    </w:p>
    <w:p w14:paraId="0B217DAF"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jc w:val="center"/>
        <w:tblCellMar>
          <w:top w:w="57" w:type="dxa"/>
          <w:bottom w:w="57" w:type="dxa"/>
        </w:tblCellMar>
        <w:tblLook w:val="04A0" w:firstRow="1" w:lastRow="0" w:firstColumn="1" w:lastColumn="0" w:noHBand="0" w:noVBand="1"/>
      </w:tblPr>
      <w:tblGrid>
        <w:gridCol w:w="1792"/>
        <w:gridCol w:w="2119"/>
        <w:gridCol w:w="1647"/>
        <w:gridCol w:w="1418"/>
        <w:gridCol w:w="1852"/>
      </w:tblGrid>
      <w:tr w:rsidR="00794EB9" w:rsidRPr="00794EB9" w14:paraId="094725D3" w14:textId="77777777" w:rsidTr="00C307FB">
        <w:trPr>
          <w:trHeight w:val="57"/>
          <w:jc w:val="center"/>
        </w:trPr>
        <w:tc>
          <w:tcPr>
            <w:tcW w:w="950" w:type="pct"/>
            <w:tcBorders>
              <w:top w:val="single" w:sz="4" w:space="0" w:color="auto"/>
            </w:tcBorders>
            <w:shd w:val="clear" w:color="auto" w:fill="E8E7E9"/>
            <w:vAlign w:val="center"/>
          </w:tcPr>
          <w:p w14:paraId="1EDF6A48"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E8E7E9"/>
            <w:vAlign w:val="center"/>
          </w:tcPr>
          <w:p w14:paraId="7BFD1F79"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E8E7E9"/>
            <w:vAlign w:val="center"/>
          </w:tcPr>
          <w:p w14:paraId="38AD6490"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E8E7E9"/>
            <w:vAlign w:val="center"/>
          </w:tcPr>
          <w:p w14:paraId="6EF7A8AC"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84" w:type="pct"/>
            <w:tcBorders>
              <w:top w:val="single" w:sz="4" w:space="0" w:color="auto"/>
            </w:tcBorders>
            <w:shd w:val="clear" w:color="auto" w:fill="E8E7E9"/>
            <w:vAlign w:val="center"/>
          </w:tcPr>
          <w:p w14:paraId="2E0ECFD0"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128011EE" w14:textId="77777777" w:rsidTr="00C307FB">
        <w:trPr>
          <w:trHeight w:val="57"/>
          <w:jc w:val="center"/>
        </w:trPr>
        <w:tc>
          <w:tcPr>
            <w:tcW w:w="950" w:type="pct"/>
            <w:tcBorders>
              <w:top w:val="single" w:sz="4" w:space="0" w:color="auto"/>
            </w:tcBorders>
            <w:vAlign w:val="center"/>
          </w:tcPr>
          <w:p w14:paraId="0982B92B"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 xml:space="preserve">Superficie de baldíos </w:t>
            </w:r>
          </w:p>
        </w:tc>
        <w:tc>
          <w:tcPr>
            <w:tcW w:w="1236" w:type="pct"/>
            <w:tcBorders>
              <w:top w:val="single" w:sz="4" w:space="0" w:color="auto"/>
            </w:tcBorders>
            <w:vAlign w:val="center"/>
          </w:tcPr>
          <w:p w14:paraId="77064BDC"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la extensión  de las zonas no construidas dentro del área urbana.</w:t>
            </w:r>
          </w:p>
        </w:tc>
        <w:tc>
          <w:tcPr>
            <w:tcW w:w="891" w:type="pct"/>
            <w:tcBorders>
              <w:top w:val="single" w:sz="4" w:space="0" w:color="auto"/>
            </w:tcBorders>
            <w:vAlign w:val="center"/>
          </w:tcPr>
          <w:p w14:paraId="47991B5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5 mil 077 hectáreas</w:t>
            </w:r>
          </w:p>
        </w:tc>
        <w:tc>
          <w:tcPr>
            <w:tcW w:w="839" w:type="pct"/>
            <w:tcBorders>
              <w:top w:val="single" w:sz="4" w:space="0" w:color="auto"/>
            </w:tcBorders>
            <w:vAlign w:val="center"/>
          </w:tcPr>
          <w:p w14:paraId="57BA2847"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 xml:space="preserve">IMPLAN </w:t>
            </w:r>
          </w:p>
          <w:p w14:paraId="1BA7FF91"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84" w:type="pct"/>
            <w:tcBorders>
              <w:top w:val="single" w:sz="4" w:space="0" w:color="auto"/>
            </w:tcBorders>
            <w:vAlign w:val="center"/>
          </w:tcPr>
          <w:p w14:paraId="17041400"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 xml:space="preserve">Ocupar 1 mil 300 hectáreas baldías </w:t>
            </w:r>
          </w:p>
        </w:tc>
      </w:tr>
      <w:tr w:rsidR="00794EB9" w:rsidRPr="00794EB9" w14:paraId="63AAB392" w14:textId="77777777" w:rsidTr="00C307FB">
        <w:trPr>
          <w:trHeight w:val="57"/>
          <w:jc w:val="center"/>
        </w:trPr>
        <w:tc>
          <w:tcPr>
            <w:tcW w:w="950" w:type="pct"/>
            <w:vAlign w:val="center"/>
          </w:tcPr>
          <w:p w14:paraId="563C8757"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Densidad de la zona urbana</w:t>
            </w:r>
          </w:p>
        </w:tc>
        <w:tc>
          <w:tcPr>
            <w:tcW w:w="1236" w:type="pct"/>
            <w:vAlign w:val="center"/>
          </w:tcPr>
          <w:p w14:paraId="6B20F111"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la relación entre la zona urbana y el número de personas que la habitan, en este caso, habitantes por hectárea.</w:t>
            </w:r>
          </w:p>
        </w:tc>
        <w:tc>
          <w:tcPr>
            <w:tcW w:w="891" w:type="pct"/>
            <w:vAlign w:val="center"/>
          </w:tcPr>
          <w:p w14:paraId="69CCF88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68.44 habitantes por hectárea</w:t>
            </w:r>
          </w:p>
        </w:tc>
        <w:tc>
          <w:tcPr>
            <w:tcW w:w="839" w:type="pct"/>
            <w:vAlign w:val="center"/>
          </w:tcPr>
          <w:p w14:paraId="776868A0"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 Cálculos propios con información de INEGI. Censo de Población y Vivienda 2020.</w:t>
            </w:r>
          </w:p>
        </w:tc>
        <w:tc>
          <w:tcPr>
            <w:tcW w:w="1084" w:type="pct"/>
            <w:vAlign w:val="center"/>
          </w:tcPr>
          <w:p w14:paraId="7B82CACA"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t>Aumentar a 75 habitantes por hectárea</w:t>
            </w:r>
          </w:p>
        </w:tc>
      </w:tr>
      <w:tr w:rsidR="00794EB9" w:rsidRPr="00794EB9" w14:paraId="69D45AC3" w14:textId="77777777" w:rsidTr="00C307FB">
        <w:trPr>
          <w:trHeight w:val="57"/>
          <w:jc w:val="center"/>
        </w:trPr>
        <w:tc>
          <w:tcPr>
            <w:tcW w:w="950" w:type="pct"/>
            <w:vAlign w:val="center"/>
          </w:tcPr>
          <w:p w14:paraId="26B7E28C"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Asentamientos irregulares con más del 30% de consolidación</w:t>
            </w:r>
          </w:p>
        </w:tc>
        <w:tc>
          <w:tcPr>
            <w:tcW w:w="1236" w:type="pct"/>
            <w:vAlign w:val="center"/>
          </w:tcPr>
          <w:p w14:paraId="777AEE05"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Se refiere a número de asentamientos irregulares con más del 30% de consolidación.</w:t>
            </w:r>
          </w:p>
        </w:tc>
        <w:tc>
          <w:tcPr>
            <w:tcW w:w="891" w:type="pct"/>
            <w:vAlign w:val="center"/>
          </w:tcPr>
          <w:p w14:paraId="420A3BD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113 asentamientos irregulares</w:t>
            </w:r>
          </w:p>
        </w:tc>
        <w:tc>
          <w:tcPr>
            <w:tcW w:w="839" w:type="pct"/>
            <w:vAlign w:val="center"/>
          </w:tcPr>
          <w:p w14:paraId="1DA7657A"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IMUVI</w:t>
            </w:r>
          </w:p>
          <w:p w14:paraId="39ECCB25"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84" w:type="pct"/>
            <w:vAlign w:val="center"/>
          </w:tcPr>
          <w:p w14:paraId="4C3A0B67"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t>Disminuir a 53 asentamientos irregulares</w:t>
            </w:r>
          </w:p>
        </w:tc>
      </w:tr>
    </w:tbl>
    <w:p w14:paraId="12AADDB5"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ab/>
      </w:r>
    </w:p>
    <w:p w14:paraId="40082DB0" w14:textId="77777777" w:rsidR="00794EB9" w:rsidRPr="00794EB9" w:rsidRDefault="00794EB9" w:rsidP="0018463D">
      <w:pPr>
        <w:pStyle w:val="Prrafodelista"/>
        <w:numPr>
          <w:ilvl w:val="1"/>
          <w:numId w:val="18"/>
        </w:numPr>
        <w:suppressAutoHyphens/>
        <w:spacing w:line="276" w:lineRule="auto"/>
        <w:jc w:val="both"/>
        <w:textAlignment w:val="top"/>
        <w:outlineLvl w:val="0"/>
        <w:rPr>
          <w:rFonts w:ascii="Arial" w:hAnsi="Arial" w:cs="Arial"/>
          <w:sz w:val="22"/>
          <w:szCs w:val="22"/>
        </w:rPr>
      </w:pPr>
      <w:r w:rsidRPr="00794EB9">
        <w:rPr>
          <w:rFonts w:ascii="Arial" w:hAnsi="Arial" w:cs="Arial"/>
          <w:sz w:val="22"/>
          <w:szCs w:val="22"/>
        </w:rPr>
        <w:lastRenderedPageBreak/>
        <w:t>Pilar 2.3 Entorno para el emprendimiento y la innovación. Fomentar la inversión en la innovación, el desarrollo tecnológico y el emprendimiento como ente principal de competitividad.</w:t>
      </w:r>
      <w:r w:rsidRPr="00794EB9">
        <w:rPr>
          <w:rFonts w:ascii="Arial" w:hAnsi="Arial" w:cs="Arial"/>
          <w:sz w:val="22"/>
          <w:szCs w:val="22"/>
        </w:rPr>
        <w:tab/>
      </w:r>
    </w:p>
    <w:p w14:paraId="14CD96FA" w14:textId="77777777" w:rsidR="00794EB9" w:rsidRPr="00794EB9" w:rsidRDefault="00794EB9" w:rsidP="00794EB9">
      <w:pPr>
        <w:pStyle w:val="Prrafodelista"/>
        <w:ind w:left="1439"/>
        <w:jc w:val="both"/>
        <w:rPr>
          <w:rFonts w:ascii="Arial" w:hAnsi="Arial" w:cs="Arial"/>
          <w:sz w:val="22"/>
          <w:szCs w:val="22"/>
        </w:rPr>
      </w:pPr>
      <w:r w:rsidRPr="00794EB9">
        <w:rPr>
          <w:rFonts w:ascii="Arial" w:hAnsi="Arial" w:cs="Arial"/>
          <w:sz w:val="22"/>
          <w:szCs w:val="22"/>
        </w:rPr>
        <w:tab/>
      </w:r>
      <w:r w:rsidRPr="00794EB9">
        <w:rPr>
          <w:rFonts w:ascii="Arial" w:hAnsi="Arial" w:cs="Arial"/>
          <w:sz w:val="22"/>
          <w:szCs w:val="22"/>
        </w:rPr>
        <w:tab/>
      </w:r>
      <w:r w:rsidRPr="00794EB9">
        <w:rPr>
          <w:rFonts w:ascii="Arial" w:hAnsi="Arial" w:cs="Arial"/>
          <w:sz w:val="22"/>
          <w:szCs w:val="22"/>
        </w:rPr>
        <w:tab/>
      </w:r>
      <w:r w:rsidRPr="00794EB9">
        <w:rPr>
          <w:rFonts w:ascii="Arial" w:hAnsi="Arial" w:cs="Arial"/>
          <w:sz w:val="22"/>
          <w:szCs w:val="22"/>
        </w:rPr>
        <w:tab/>
      </w:r>
      <w:r w:rsidRPr="00794EB9">
        <w:rPr>
          <w:rFonts w:ascii="Arial" w:hAnsi="Arial" w:cs="Arial"/>
          <w:sz w:val="22"/>
          <w:szCs w:val="22"/>
        </w:rPr>
        <w:tab/>
      </w:r>
    </w:p>
    <w:tbl>
      <w:tblPr>
        <w:tblStyle w:val="Tablaconcuadrcula3"/>
        <w:tblW w:w="5000" w:type="pct"/>
        <w:jc w:val="center"/>
        <w:tblCellMar>
          <w:top w:w="57" w:type="dxa"/>
          <w:bottom w:w="57" w:type="dxa"/>
        </w:tblCellMar>
        <w:tblLook w:val="04A0" w:firstRow="1" w:lastRow="0" w:firstColumn="1" w:lastColumn="0" w:noHBand="0" w:noVBand="1"/>
      </w:tblPr>
      <w:tblGrid>
        <w:gridCol w:w="1689"/>
        <w:gridCol w:w="2155"/>
        <w:gridCol w:w="1435"/>
        <w:gridCol w:w="1733"/>
        <w:gridCol w:w="1816"/>
      </w:tblGrid>
      <w:tr w:rsidR="00794EB9" w:rsidRPr="00794EB9" w14:paraId="7D151653" w14:textId="77777777" w:rsidTr="00C307FB">
        <w:trPr>
          <w:trHeight w:val="57"/>
          <w:jc w:val="center"/>
        </w:trPr>
        <w:tc>
          <w:tcPr>
            <w:tcW w:w="973" w:type="pct"/>
            <w:tcBorders>
              <w:top w:val="single" w:sz="4" w:space="0" w:color="auto"/>
            </w:tcBorders>
            <w:shd w:val="clear" w:color="auto" w:fill="E8E7E9"/>
            <w:vAlign w:val="center"/>
          </w:tcPr>
          <w:p w14:paraId="2E25A6B9"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37" w:type="pct"/>
            <w:tcBorders>
              <w:top w:val="single" w:sz="4" w:space="0" w:color="auto"/>
            </w:tcBorders>
            <w:shd w:val="clear" w:color="auto" w:fill="E8E7E9"/>
            <w:vAlign w:val="center"/>
          </w:tcPr>
          <w:p w14:paraId="7579DFFE"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29" w:type="pct"/>
            <w:tcBorders>
              <w:top w:val="single" w:sz="4" w:space="0" w:color="auto"/>
            </w:tcBorders>
            <w:shd w:val="clear" w:color="auto" w:fill="E8E7E9"/>
            <w:vAlign w:val="center"/>
          </w:tcPr>
          <w:p w14:paraId="5F931CD7"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6" w:type="pct"/>
            <w:tcBorders>
              <w:top w:val="single" w:sz="4" w:space="0" w:color="auto"/>
            </w:tcBorders>
            <w:shd w:val="clear" w:color="auto" w:fill="E8E7E9"/>
            <w:vAlign w:val="center"/>
          </w:tcPr>
          <w:p w14:paraId="29C650D4"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45" w:type="pct"/>
            <w:tcBorders>
              <w:top w:val="single" w:sz="4" w:space="0" w:color="auto"/>
            </w:tcBorders>
            <w:shd w:val="clear" w:color="auto" w:fill="E8E7E9"/>
            <w:vAlign w:val="center"/>
          </w:tcPr>
          <w:p w14:paraId="38179DFF"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271FD254" w14:textId="77777777" w:rsidTr="00C307FB">
        <w:trPr>
          <w:trHeight w:val="57"/>
          <w:jc w:val="center"/>
        </w:trPr>
        <w:tc>
          <w:tcPr>
            <w:tcW w:w="973" w:type="pct"/>
            <w:tcBorders>
              <w:top w:val="single" w:sz="4" w:space="0" w:color="auto"/>
            </w:tcBorders>
            <w:vAlign w:val="center"/>
          </w:tcPr>
          <w:p w14:paraId="2D06746D"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 xml:space="preserve">Posición en la tabla del subíndice de Innovación </w:t>
            </w:r>
          </w:p>
        </w:tc>
        <w:tc>
          <w:tcPr>
            <w:tcW w:w="1237" w:type="pct"/>
            <w:tcBorders>
              <w:top w:val="single" w:sz="4" w:space="0" w:color="auto"/>
            </w:tcBorders>
            <w:vAlign w:val="center"/>
          </w:tcPr>
          <w:p w14:paraId="6BAD4041"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Este indicador es un subíndice del Índice de competitividad Urbana (ICU) que mide la capacidad para competir en sectores de alto valor agregado, intensivos en conocimiento y tecnología de punta. Se considera la habilidad para generar y aplicar conocimiento nuevo.</w:t>
            </w:r>
          </w:p>
        </w:tc>
        <w:tc>
          <w:tcPr>
            <w:tcW w:w="829" w:type="pct"/>
            <w:tcBorders>
              <w:top w:val="single" w:sz="4" w:space="0" w:color="auto"/>
            </w:tcBorders>
            <w:vAlign w:val="center"/>
          </w:tcPr>
          <w:p w14:paraId="7086E277"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Posición 11 de las 15 ciudades con más de un millón de habitantes</w:t>
            </w:r>
          </w:p>
        </w:tc>
        <w:tc>
          <w:tcPr>
            <w:tcW w:w="916" w:type="pct"/>
            <w:tcBorders>
              <w:top w:val="single" w:sz="4" w:space="0" w:color="auto"/>
            </w:tcBorders>
            <w:vAlign w:val="center"/>
          </w:tcPr>
          <w:p w14:paraId="01AADBF5"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Instituto Mexicano para la Competitividad, A.C. 2020</w:t>
            </w:r>
          </w:p>
        </w:tc>
        <w:tc>
          <w:tcPr>
            <w:tcW w:w="1045" w:type="pct"/>
            <w:tcBorders>
              <w:top w:val="single" w:sz="4" w:space="0" w:color="auto"/>
            </w:tcBorders>
            <w:vAlign w:val="center"/>
          </w:tcPr>
          <w:p w14:paraId="12C4E8B3"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posiciones en la tabla para estar en las  primeras 5 de las 15 ciudades con más de un millón de habitantes</w:t>
            </w:r>
          </w:p>
        </w:tc>
      </w:tr>
    </w:tbl>
    <w:p w14:paraId="0AD4ACF2" w14:textId="77777777" w:rsidR="00794EB9" w:rsidRPr="00794EB9" w:rsidRDefault="00794EB9" w:rsidP="00794EB9">
      <w:pPr>
        <w:jc w:val="both"/>
        <w:rPr>
          <w:rFonts w:ascii="Arial" w:hAnsi="Arial" w:cs="Arial"/>
          <w:sz w:val="22"/>
          <w:szCs w:val="22"/>
          <w:lang w:eastAsia="es-MX"/>
        </w:rPr>
      </w:pPr>
    </w:p>
    <w:p w14:paraId="1BFB7DE2" w14:textId="77777777" w:rsidR="00794EB9" w:rsidRPr="00794EB9" w:rsidRDefault="00794EB9" w:rsidP="00794EB9">
      <w:pPr>
        <w:pStyle w:val="Prrafodelista"/>
        <w:ind w:left="719"/>
        <w:jc w:val="both"/>
        <w:rPr>
          <w:rFonts w:ascii="Arial" w:hAnsi="Arial" w:cs="Arial"/>
          <w:sz w:val="22"/>
          <w:szCs w:val="22"/>
        </w:rPr>
      </w:pPr>
    </w:p>
    <w:p w14:paraId="1A1902E6" w14:textId="77777777" w:rsidR="00794EB9" w:rsidRPr="00794EB9" w:rsidRDefault="00794EB9" w:rsidP="0018463D">
      <w:pPr>
        <w:pStyle w:val="Prrafodelista"/>
        <w:numPr>
          <w:ilvl w:val="1"/>
          <w:numId w:val="18"/>
        </w:numPr>
        <w:suppressAutoHyphens/>
        <w:spacing w:line="276" w:lineRule="auto"/>
        <w:jc w:val="both"/>
        <w:textAlignment w:val="top"/>
        <w:outlineLvl w:val="0"/>
        <w:rPr>
          <w:rFonts w:ascii="Arial" w:hAnsi="Arial" w:cs="Arial"/>
          <w:sz w:val="22"/>
          <w:szCs w:val="22"/>
        </w:rPr>
      </w:pPr>
      <w:r w:rsidRPr="00794EB9">
        <w:rPr>
          <w:rFonts w:ascii="Arial" w:hAnsi="Arial" w:cs="Arial"/>
          <w:sz w:val="22"/>
          <w:szCs w:val="22"/>
        </w:rPr>
        <w:t>Pilar 4.3 Gobierno abierto con liderazgo. Fortalecer la confianza de las y los leoneses hacia el gobierno, con mejores condiciones de comunicación, transparencia, rendición de cuentas y acceso a la información.</w:t>
      </w:r>
      <w:r w:rsidRPr="00794EB9">
        <w:rPr>
          <w:rFonts w:ascii="Arial" w:hAnsi="Arial" w:cs="Arial"/>
          <w:sz w:val="22"/>
          <w:szCs w:val="22"/>
        </w:rPr>
        <w:tab/>
      </w:r>
      <w:r w:rsidRPr="00794EB9">
        <w:rPr>
          <w:rFonts w:ascii="Arial" w:hAnsi="Arial" w:cs="Arial"/>
          <w:sz w:val="22"/>
          <w:szCs w:val="22"/>
        </w:rPr>
        <w:tab/>
      </w:r>
      <w:r w:rsidRPr="00794EB9">
        <w:rPr>
          <w:rFonts w:ascii="Arial" w:hAnsi="Arial" w:cs="Arial"/>
          <w:sz w:val="22"/>
          <w:szCs w:val="22"/>
        </w:rPr>
        <w:tab/>
      </w:r>
      <w:r w:rsidRPr="00794EB9">
        <w:rPr>
          <w:rFonts w:ascii="Arial" w:hAnsi="Arial" w:cs="Arial"/>
          <w:sz w:val="22"/>
          <w:szCs w:val="22"/>
        </w:rPr>
        <w:tab/>
      </w:r>
      <w:r w:rsidRPr="00794EB9">
        <w:rPr>
          <w:rFonts w:ascii="Arial" w:hAnsi="Arial" w:cs="Arial"/>
          <w:sz w:val="22"/>
          <w:szCs w:val="22"/>
        </w:rPr>
        <w:tab/>
      </w:r>
      <w:r w:rsidRPr="00794EB9">
        <w:rPr>
          <w:rFonts w:ascii="Arial" w:hAnsi="Arial" w:cs="Arial"/>
          <w:sz w:val="22"/>
          <w:szCs w:val="22"/>
        </w:rPr>
        <w:tab/>
      </w:r>
    </w:p>
    <w:tbl>
      <w:tblPr>
        <w:tblStyle w:val="Tablaconcuadrcula3"/>
        <w:tblW w:w="5000" w:type="pct"/>
        <w:jc w:val="center"/>
        <w:tblLook w:val="04A0" w:firstRow="1" w:lastRow="0" w:firstColumn="1" w:lastColumn="0" w:noHBand="0" w:noVBand="1"/>
      </w:tblPr>
      <w:tblGrid>
        <w:gridCol w:w="1675"/>
        <w:gridCol w:w="2209"/>
        <w:gridCol w:w="1531"/>
        <w:gridCol w:w="1733"/>
        <w:gridCol w:w="1680"/>
      </w:tblGrid>
      <w:tr w:rsidR="00794EB9" w:rsidRPr="00794EB9" w14:paraId="6F057BBB" w14:textId="77777777" w:rsidTr="00C307FB">
        <w:trPr>
          <w:trHeight w:val="57"/>
          <w:jc w:val="center"/>
        </w:trPr>
        <w:tc>
          <w:tcPr>
            <w:tcW w:w="967" w:type="pct"/>
            <w:shd w:val="clear" w:color="auto" w:fill="E8E7E9"/>
            <w:vAlign w:val="center"/>
          </w:tcPr>
          <w:p w14:paraId="4C90E315"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69" w:type="pct"/>
            <w:shd w:val="clear" w:color="auto" w:fill="E8E7E9"/>
            <w:vAlign w:val="center"/>
          </w:tcPr>
          <w:p w14:paraId="6D6478F0"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shd w:val="clear" w:color="auto" w:fill="E8E7E9"/>
            <w:vAlign w:val="center"/>
          </w:tcPr>
          <w:p w14:paraId="428086FF"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0" w:type="pct"/>
            <w:shd w:val="clear" w:color="auto" w:fill="E8E7E9"/>
            <w:vAlign w:val="center"/>
          </w:tcPr>
          <w:p w14:paraId="57C7CF8F"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969" w:type="pct"/>
            <w:shd w:val="clear" w:color="auto" w:fill="E8E7E9"/>
            <w:vAlign w:val="center"/>
          </w:tcPr>
          <w:p w14:paraId="27728282"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5C87290E" w14:textId="77777777" w:rsidTr="00C307FB">
        <w:trPr>
          <w:trHeight w:val="57"/>
          <w:jc w:val="center"/>
        </w:trPr>
        <w:tc>
          <w:tcPr>
            <w:tcW w:w="967" w:type="pct"/>
            <w:vAlign w:val="center"/>
          </w:tcPr>
          <w:p w14:paraId="4068B237"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Porcentaje de población que tiene confianza al gobierno municipal</w:t>
            </w:r>
          </w:p>
        </w:tc>
        <w:tc>
          <w:tcPr>
            <w:tcW w:w="1269" w:type="pct"/>
            <w:vAlign w:val="center"/>
          </w:tcPr>
          <w:p w14:paraId="0B89B66F"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porcentaje de población de 18 años y más que tiene  algo o mucha confianza al gobierno municipal.</w:t>
            </w:r>
          </w:p>
        </w:tc>
        <w:tc>
          <w:tcPr>
            <w:tcW w:w="885" w:type="pct"/>
            <w:vAlign w:val="center"/>
          </w:tcPr>
          <w:p w14:paraId="3D287A9E"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53.80%</w:t>
            </w:r>
          </w:p>
        </w:tc>
        <w:tc>
          <w:tcPr>
            <w:tcW w:w="910" w:type="pct"/>
            <w:vAlign w:val="center"/>
          </w:tcPr>
          <w:p w14:paraId="54F4E560"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Encuesta Nacional de Calidad e Impacto Gubernamental (ENCIG) 2019</w:t>
            </w:r>
          </w:p>
        </w:tc>
        <w:tc>
          <w:tcPr>
            <w:tcW w:w="969" w:type="pct"/>
            <w:vAlign w:val="center"/>
          </w:tcPr>
          <w:p w14:paraId="521075E1"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al 70% la confianza en el gobierno</w:t>
            </w:r>
          </w:p>
        </w:tc>
      </w:tr>
      <w:tr w:rsidR="00794EB9" w:rsidRPr="00794EB9" w14:paraId="47514709" w14:textId="77777777" w:rsidTr="00C307FB">
        <w:trPr>
          <w:trHeight w:val="57"/>
          <w:jc w:val="center"/>
        </w:trPr>
        <w:tc>
          <w:tcPr>
            <w:tcW w:w="967" w:type="pct"/>
            <w:tcBorders>
              <w:bottom w:val="single" w:sz="4" w:space="0" w:color="auto"/>
            </w:tcBorders>
            <w:vAlign w:val="center"/>
          </w:tcPr>
          <w:p w14:paraId="483EE2A4"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Porcentaje de ingresos propios</w:t>
            </w:r>
          </w:p>
        </w:tc>
        <w:tc>
          <w:tcPr>
            <w:tcW w:w="1269" w:type="pct"/>
            <w:tcBorders>
              <w:bottom w:val="single" w:sz="4" w:space="0" w:color="auto"/>
            </w:tcBorders>
            <w:vAlign w:val="center"/>
          </w:tcPr>
          <w:p w14:paraId="2F897E47"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la proporción de ingresos recaudados por el Municipio.</w:t>
            </w:r>
          </w:p>
        </w:tc>
        <w:tc>
          <w:tcPr>
            <w:tcW w:w="885" w:type="pct"/>
            <w:tcBorders>
              <w:bottom w:val="single" w:sz="4" w:space="0" w:color="auto"/>
            </w:tcBorders>
            <w:vAlign w:val="center"/>
          </w:tcPr>
          <w:p w14:paraId="48BE3552"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31%</w:t>
            </w:r>
          </w:p>
        </w:tc>
        <w:tc>
          <w:tcPr>
            <w:tcW w:w="910" w:type="pct"/>
            <w:tcBorders>
              <w:bottom w:val="single" w:sz="4" w:space="0" w:color="auto"/>
            </w:tcBorders>
            <w:vAlign w:val="center"/>
          </w:tcPr>
          <w:p w14:paraId="4410683A"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Cuenta pública municipal de León, 2020</w:t>
            </w:r>
          </w:p>
        </w:tc>
        <w:tc>
          <w:tcPr>
            <w:tcW w:w="969" w:type="pct"/>
            <w:tcBorders>
              <w:bottom w:val="single" w:sz="4" w:space="0" w:color="auto"/>
            </w:tcBorders>
            <w:vAlign w:val="center"/>
          </w:tcPr>
          <w:p w14:paraId="447B3FF4"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35% de ingresos propios</w:t>
            </w:r>
          </w:p>
        </w:tc>
      </w:tr>
      <w:tr w:rsidR="00794EB9" w:rsidRPr="00794EB9" w14:paraId="1DA5FBFA" w14:textId="77777777" w:rsidTr="00C307FB">
        <w:trPr>
          <w:trHeight w:val="57"/>
          <w:jc w:val="center"/>
        </w:trPr>
        <w:tc>
          <w:tcPr>
            <w:tcW w:w="967" w:type="pct"/>
            <w:tcBorders>
              <w:bottom w:val="single" w:sz="4" w:space="0" w:color="auto"/>
            </w:tcBorders>
            <w:vAlign w:val="center"/>
          </w:tcPr>
          <w:p w14:paraId="141F047B"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 xml:space="preserve">Puntuación porcentual en el barómetro de información </w:t>
            </w:r>
            <w:r w:rsidRPr="00794EB9">
              <w:rPr>
                <w:rFonts w:ascii="Arial" w:hAnsi="Arial" w:cs="Arial"/>
                <w:b/>
                <w:bCs/>
                <w:sz w:val="22"/>
                <w:szCs w:val="22"/>
              </w:rPr>
              <w:lastRenderedPageBreak/>
              <w:t>presupuestal municipal</w:t>
            </w:r>
          </w:p>
        </w:tc>
        <w:tc>
          <w:tcPr>
            <w:tcW w:w="1269" w:type="pct"/>
            <w:tcBorders>
              <w:bottom w:val="single" w:sz="4" w:space="0" w:color="auto"/>
            </w:tcBorders>
            <w:vAlign w:val="center"/>
          </w:tcPr>
          <w:p w14:paraId="04FB9EDB"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lastRenderedPageBreak/>
              <w:t xml:space="preserve">Evalúa la calidad de la información de las leyes de ingresos y presupuestos de egresos de una </w:t>
            </w:r>
            <w:r w:rsidRPr="00794EB9">
              <w:rPr>
                <w:rFonts w:ascii="Arial" w:hAnsi="Arial" w:cs="Arial"/>
                <w:sz w:val="22"/>
                <w:szCs w:val="22"/>
              </w:rPr>
              <w:lastRenderedPageBreak/>
              <w:t>muestra representativa de los municipios del país y alcaldías de la Ciudad de México, sobre la base de un catálogo de criterios basados en buenas prácticas en materia de contabilidad gubernamental y transparencia presupuestal.</w:t>
            </w:r>
          </w:p>
        </w:tc>
        <w:tc>
          <w:tcPr>
            <w:tcW w:w="885" w:type="pct"/>
            <w:tcBorders>
              <w:bottom w:val="single" w:sz="4" w:space="0" w:color="auto"/>
            </w:tcBorders>
            <w:vAlign w:val="center"/>
          </w:tcPr>
          <w:p w14:paraId="4409E591"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lastRenderedPageBreak/>
              <w:t>95.29%</w:t>
            </w:r>
          </w:p>
        </w:tc>
        <w:tc>
          <w:tcPr>
            <w:tcW w:w="910" w:type="pct"/>
            <w:tcBorders>
              <w:bottom w:val="single" w:sz="4" w:space="0" w:color="auto"/>
            </w:tcBorders>
            <w:vAlign w:val="center"/>
          </w:tcPr>
          <w:p w14:paraId="4AB8B362"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IMCO. Instituto Mexicano para la Competitividad A.C. 2020</w:t>
            </w:r>
          </w:p>
        </w:tc>
        <w:tc>
          <w:tcPr>
            <w:tcW w:w="969" w:type="pct"/>
            <w:tcBorders>
              <w:bottom w:val="single" w:sz="4" w:space="0" w:color="auto"/>
            </w:tcBorders>
            <w:vAlign w:val="center"/>
          </w:tcPr>
          <w:p w14:paraId="2AC689EC"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Alcanzar y mantener la puntuación del 100%</w:t>
            </w:r>
          </w:p>
        </w:tc>
      </w:tr>
    </w:tbl>
    <w:p w14:paraId="03C0661D" w14:textId="77777777" w:rsidR="00794EB9" w:rsidRPr="00794EB9" w:rsidRDefault="00794EB9" w:rsidP="00794EB9">
      <w:pPr>
        <w:pStyle w:val="INormal"/>
        <w:ind w:left="720"/>
        <w:rPr>
          <w:rFonts w:ascii="Arial" w:eastAsia="Arial" w:hAnsi="Arial"/>
          <w:position w:val="-1"/>
          <w:sz w:val="22"/>
        </w:rPr>
      </w:pPr>
    </w:p>
    <w:p w14:paraId="071A142C" w14:textId="77777777" w:rsidR="00794EB9" w:rsidRPr="00794EB9" w:rsidRDefault="00794EB9" w:rsidP="0018463D">
      <w:pPr>
        <w:pStyle w:val="INormal"/>
        <w:numPr>
          <w:ilvl w:val="0"/>
          <w:numId w:val="29"/>
        </w:numPr>
        <w:spacing w:before="120"/>
        <w:rPr>
          <w:rFonts w:ascii="Arial" w:eastAsia="Arial" w:hAnsi="Arial"/>
          <w:position w:val="-1"/>
          <w:sz w:val="22"/>
        </w:rPr>
      </w:pPr>
      <w:r w:rsidRPr="00794EB9">
        <w:rPr>
          <w:rFonts w:ascii="Arial" w:eastAsia="Arial" w:hAnsi="Arial"/>
          <w:position w:val="-1"/>
          <w:sz w:val="22"/>
        </w:rPr>
        <w:t>Pilar 4.4 Planeación, anticipación y gestión estratégica. Consolidar el modelo de planeación y anticipación estratégica "León hacia el futuro", articulando los procesos de inteligencia y gestión del desarrollo local.</w:t>
      </w:r>
    </w:p>
    <w:p w14:paraId="0E8480DA" w14:textId="77777777" w:rsidR="00794EB9" w:rsidRPr="00794EB9" w:rsidRDefault="00794EB9" w:rsidP="00794EB9">
      <w:pPr>
        <w:pStyle w:val="INormal"/>
        <w:ind w:left="1440"/>
        <w:rPr>
          <w:rFonts w:ascii="Arial" w:eastAsia="Arial" w:hAnsi="Arial"/>
          <w:position w:val="-1"/>
          <w:sz w:val="22"/>
        </w:rPr>
      </w:pPr>
    </w:p>
    <w:tbl>
      <w:tblPr>
        <w:tblStyle w:val="Tablaconcuadrcula32"/>
        <w:tblW w:w="5000" w:type="pct"/>
        <w:tblLook w:val="04A0" w:firstRow="1" w:lastRow="0" w:firstColumn="1" w:lastColumn="0" w:noHBand="0" w:noVBand="1"/>
      </w:tblPr>
      <w:tblGrid>
        <w:gridCol w:w="1555"/>
        <w:gridCol w:w="2058"/>
        <w:gridCol w:w="1419"/>
        <w:gridCol w:w="1745"/>
        <w:gridCol w:w="2051"/>
      </w:tblGrid>
      <w:tr w:rsidR="00794EB9" w:rsidRPr="00794EB9" w14:paraId="091DD67D" w14:textId="77777777" w:rsidTr="00C307FB">
        <w:trPr>
          <w:trHeight w:val="277"/>
        </w:trPr>
        <w:tc>
          <w:tcPr>
            <w:tcW w:w="913" w:type="pct"/>
            <w:tcBorders>
              <w:top w:val="single" w:sz="4" w:space="0" w:color="auto"/>
            </w:tcBorders>
            <w:shd w:val="clear" w:color="auto" w:fill="E8E7E9"/>
            <w:vAlign w:val="center"/>
          </w:tcPr>
          <w:p w14:paraId="0C4FECC3"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Indicadores</w:t>
            </w:r>
          </w:p>
        </w:tc>
        <w:tc>
          <w:tcPr>
            <w:tcW w:w="1198" w:type="pct"/>
            <w:tcBorders>
              <w:top w:val="single" w:sz="4" w:space="0" w:color="auto"/>
            </w:tcBorders>
            <w:shd w:val="clear" w:color="auto" w:fill="E8E7E9"/>
            <w:vAlign w:val="center"/>
          </w:tcPr>
          <w:p w14:paraId="713AA5D7"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Definición del Indicador</w:t>
            </w:r>
          </w:p>
        </w:tc>
        <w:tc>
          <w:tcPr>
            <w:tcW w:w="836" w:type="pct"/>
            <w:tcBorders>
              <w:top w:val="single" w:sz="4" w:space="0" w:color="auto"/>
            </w:tcBorders>
            <w:shd w:val="clear" w:color="auto" w:fill="E8E7E9"/>
            <w:vAlign w:val="center"/>
          </w:tcPr>
          <w:p w14:paraId="71F9215D"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Valor Actual</w:t>
            </w:r>
          </w:p>
        </w:tc>
        <w:tc>
          <w:tcPr>
            <w:tcW w:w="859" w:type="pct"/>
            <w:tcBorders>
              <w:top w:val="single" w:sz="4" w:space="0" w:color="auto"/>
            </w:tcBorders>
            <w:shd w:val="clear" w:color="auto" w:fill="E8E7E9"/>
            <w:vAlign w:val="center"/>
          </w:tcPr>
          <w:p w14:paraId="7D81DB27"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Fuente</w:t>
            </w:r>
          </w:p>
        </w:tc>
        <w:tc>
          <w:tcPr>
            <w:tcW w:w="1194" w:type="pct"/>
            <w:tcBorders>
              <w:top w:val="single" w:sz="4" w:space="0" w:color="auto"/>
            </w:tcBorders>
            <w:shd w:val="clear" w:color="auto" w:fill="E8E7E9"/>
            <w:vAlign w:val="center"/>
          </w:tcPr>
          <w:p w14:paraId="79C1566F"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Meta 2030</w:t>
            </w:r>
          </w:p>
        </w:tc>
      </w:tr>
      <w:tr w:rsidR="00794EB9" w:rsidRPr="00794EB9" w14:paraId="5A219D66" w14:textId="77777777" w:rsidTr="00C307FB">
        <w:trPr>
          <w:trHeight w:val="719"/>
        </w:trPr>
        <w:tc>
          <w:tcPr>
            <w:tcW w:w="913" w:type="pct"/>
            <w:tcBorders>
              <w:top w:val="single" w:sz="4" w:space="0" w:color="auto"/>
            </w:tcBorders>
            <w:vAlign w:val="center"/>
          </w:tcPr>
          <w:p w14:paraId="58BA3E1E"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Porcentaje de recursos humanos municipales con educación superior en áreas de planeación y gestión territorial</w:t>
            </w:r>
          </w:p>
        </w:tc>
        <w:tc>
          <w:tcPr>
            <w:tcW w:w="1198" w:type="pct"/>
            <w:tcBorders>
              <w:top w:val="single" w:sz="4" w:space="0" w:color="auto"/>
            </w:tcBorders>
            <w:vAlign w:val="center"/>
          </w:tcPr>
          <w:p w14:paraId="7BEDF463" w14:textId="77777777" w:rsidR="00794EB9" w:rsidRPr="00794EB9" w:rsidRDefault="00794EB9" w:rsidP="00C307FB">
            <w:pPr>
              <w:ind w:hanging="2"/>
              <w:rPr>
                <w:rFonts w:ascii="Arial" w:hAnsi="Arial" w:cs="Arial"/>
                <w:iCs/>
                <w:sz w:val="22"/>
                <w:szCs w:val="22"/>
              </w:rPr>
            </w:pPr>
            <w:r w:rsidRPr="00794EB9">
              <w:rPr>
                <w:rFonts w:ascii="Arial" w:hAnsi="Arial" w:cs="Arial"/>
                <w:iCs/>
                <w:sz w:val="22"/>
                <w:szCs w:val="22"/>
              </w:rPr>
              <w:t>Mide el porcentaje de recursos humanos municipales con educación superior (licenciatura o posgrado) en áreas de planeación y gestión territorial</w:t>
            </w:r>
          </w:p>
        </w:tc>
        <w:tc>
          <w:tcPr>
            <w:tcW w:w="836" w:type="pct"/>
            <w:tcBorders>
              <w:top w:val="single" w:sz="4" w:space="0" w:color="auto"/>
            </w:tcBorders>
            <w:vAlign w:val="center"/>
          </w:tcPr>
          <w:p w14:paraId="72C584F4" w14:textId="77777777" w:rsidR="00794EB9" w:rsidRPr="00794EB9" w:rsidRDefault="00794EB9" w:rsidP="00C307FB">
            <w:pPr>
              <w:ind w:hanging="2"/>
              <w:jc w:val="center"/>
              <w:rPr>
                <w:rFonts w:ascii="Arial" w:hAnsi="Arial" w:cs="Arial"/>
                <w:iCs/>
                <w:sz w:val="22"/>
                <w:szCs w:val="22"/>
              </w:rPr>
            </w:pPr>
            <w:r w:rsidRPr="00794EB9">
              <w:rPr>
                <w:rFonts w:ascii="Arial" w:hAnsi="Arial" w:cs="Arial"/>
                <w:iCs/>
                <w:sz w:val="22"/>
                <w:szCs w:val="22"/>
              </w:rPr>
              <w:t>71.4%</w:t>
            </w:r>
          </w:p>
        </w:tc>
        <w:tc>
          <w:tcPr>
            <w:tcW w:w="859" w:type="pct"/>
            <w:tcBorders>
              <w:top w:val="single" w:sz="4" w:space="0" w:color="auto"/>
            </w:tcBorders>
            <w:vAlign w:val="center"/>
          </w:tcPr>
          <w:p w14:paraId="1E8A82BF" w14:textId="77777777" w:rsidR="00794EB9" w:rsidRPr="00794EB9" w:rsidRDefault="00794EB9" w:rsidP="00C307FB">
            <w:pPr>
              <w:ind w:hanging="2"/>
              <w:jc w:val="center"/>
              <w:rPr>
                <w:rFonts w:ascii="Arial" w:hAnsi="Arial" w:cs="Arial"/>
                <w:iCs/>
                <w:sz w:val="22"/>
                <w:szCs w:val="22"/>
              </w:rPr>
            </w:pPr>
            <w:r w:rsidRPr="00794EB9">
              <w:rPr>
                <w:rFonts w:ascii="Arial" w:hAnsi="Arial" w:cs="Arial"/>
                <w:iCs/>
                <w:sz w:val="22"/>
                <w:szCs w:val="22"/>
              </w:rPr>
              <w:t>INEGI. Censo Nacional de Gobiernos Municipales y Demarcaciones Territoriales de la Ciudad de México. 2019</w:t>
            </w:r>
          </w:p>
        </w:tc>
        <w:tc>
          <w:tcPr>
            <w:tcW w:w="1194" w:type="pct"/>
            <w:tcBorders>
              <w:top w:val="single" w:sz="4" w:space="0" w:color="auto"/>
            </w:tcBorders>
            <w:vAlign w:val="center"/>
          </w:tcPr>
          <w:p w14:paraId="42C6A7D6"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Aumentar al 80%</w:t>
            </w:r>
          </w:p>
        </w:tc>
      </w:tr>
    </w:tbl>
    <w:p w14:paraId="56A03808" w14:textId="77777777" w:rsidR="00794EB9" w:rsidRPr="00794EB9" w:rsidRDefault="00794EB9" w:rsidP="00794EB9">
      <w:pPr>
        <w:pStyle w:val="INormal"/>
        <w:spacing w:before="0"/>
        <w:rPr>
          <w:rFonts w:ascii="Arial" w:eastAsia="Arial" w:hAnsi="Arial"/>
          <w:position w:val="-1"/>
          <w:sz w:val="22"/>
        </w:rPr>
      </w:pPr>
    </w:p>
    <w:p w14:paraId="5B926CE9" w14:textId="77777777" w:rsidR="00794EB9" w:rsidRPr="00794EB9" w:rsidRDefault="00794EB9" w:rsidP="00794EB9">
      <w:pPr>
        <w:pStyle w:val="INormal"/>
        <w:spacing w:before="0"/>
        <w:rPr>
          <w:rFonts w:ascii="Arial" w:hAnsi="Arial"/>
          <w:b/>
          <w:sz w:val="22"/>
        </w:rPr>
      </w:pPr>
      <w:r w:rsidRPr="00794EB9">
        <w:rPr>
          <w:rFonts w:ascii="Arial" w:hAnsi="Arial"/>
          <w:b/>
          <w:sz w:val="22"/>
        </w:rPr>
        <w:t>Programa VT2. Movilidad Segura</w:t>
      </w:r>
    </w:p>
    <w:p w14:paraId="1B6916F7"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Impulsar de forma integral acciones para mejorar la movilidad urbana de forma sustentable y que se orienten a que los ciudadanos circulen de forma segura y ágil, utilizando racionalmente las herramientas tecnológicas de última generación.</w:t>
      </w:r>
    </w:p>
    <w:p w14:paraId="29A2BFEC" w14:textId="77777777" w:rsidR="00794EB9" w:rsidRPr="00794EB9" w:rsidRDefault="00794EB9" w:rsidP="00794EB9">
      <w:pPr>
        <w:jc w:val="both"/>
        <w:rPr>
          <w:rFonts w:ascii="Arial" w:hAnsi="Arial" w:cs="Arial"/>
          <w:b/>
          <w:sz w:val="22"/>
          <w:szCs w:val="22"/>
        </w:rPr>
      </w:pPr>
    </w:p>
    <w:p w14:paraId="63A9916E"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7B3D1AD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 Lograr que las ciudades sean más inclusivas, seguras, resilientes y sostenibles</w:t>
      </w:r>
    </w:p>
    <w:p w14:paraId="723BFAA1" w14:textId="77777777" w:rsidR="00794EB9" w:rsidRPr="00794EB9" w:rsidRDefault="00794EB9" w:rsidP="00794EB9">
      <w:pPr>
        <w:pStyle w:val="Prrafodelista"/>
        <w:ind w:left="1637"/>
        <w:jc w:val="both"/>
        <w:rPr>
          <w:rFonts w:ascii="Arial" w:hAnsi="Arial" w:cs="Arial"/>
          <w:sz w:val="22"/>
          <w:szCs w:val="22"/>
        </w:rPr>
      </w:pPr>
    </w:p>
    <w:p w14:paraId="020ADFD0"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7638E2A2"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3.2.1 Lograr una administración sostenible del territorio, que impulse el</w:t>
      </w:r>
    </w:p>
    <w:p w14:paraId="7F5B6A45"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desarrollo de comunidades y ciudades humanas y sostenibles</w:t>
      </w:r>
    </w:p>
    <w:p w14:paraId="7108CEED"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3.2.3 Asegurar una movilidad fluida, sostenible y segura para todas las y los guanajuatenses y visitantes a la entidad</w:t>
      </w:r>
    </w:p>
    <w:p w14:paraId="79F74FA8" w14:textId="77777777" w:rsidR="00794EB9" w:rsidRPr="00794EB9" w:rsidRDefault="00794EB9" w:rsidP="00794EB9">
      <w:pPr>
        <w:pStyle w:val="Prrafodelista"/>
        <w:ind w:left="1637"/>
        <w:jc w:val="both"/>
        <w:rPr>
          <w:rFonts w:ascii="Arial" w:hAnsi="Arial" w:cs="Arial"/>
          <w:sz w:val="22"/>
          <w:szCs w:val="22"/>
        </w:rPr>
      </w:pPr>
    </w:p>
    <w:p w14:paraId="1FB7E016"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6C1C6FCD"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1.5 Movilidad sustentable e incluyente. Contar con una movilidad accesible e incluyente, con esquemas de intermodalidad urbana y metropolitana, que favorezca el ordenamiento territorial.</w:t>
      </w:r>
    </w:p>
    <w:p w14:paraId="19F9F413" w14:textId="77777777" w:rsidR="00794EB9" w:rsidRPr="00794EB9" w:rsidRDefault="00794EB9" w:rsidP="00794EB9">
      <w:pPr>
        <w:jc w:val="both"/>
        <w:rPr>
          <w:rFonts w:ascii="Arial" w:hAnsi="Arial" w:cs="Arial"/>
          <w:sz w:val="22"/>
          <w:szCs w:val="22"/>
        </w:rPr>
      </w:pPr>
    </w:p>
    <w:tbl>
      <w:tblPr>
        <w:tblStyle w:val="Tablaconcuadrcula3"/>
        <w:tblW w:w="5000" w:type="pct"/>
        <w:jc w:val="center"/>
        <w:tblCellMar>
          <w:top w:w="57" w:type="dxa"/>
          <w:bottom w:w="57" w:type="dxa"/>
        </w:tblCellMar>
        <w:tblLook w:val="04A0" w:firstRow="1" w:lastRow="0" w:firstColumn="1" w:lastColumn="0" w:noHBand="0" w:noVBand="1"/>
      </w:tblPr>
      <w:tblGrid>
        <w:gridCol w:w="1793"/>
        <w:gridCol w:w="2153"/>
        <w:gridCol w:w="1544"/>
        <w:gridCol w:w="1452"/>
        <w:gridCol w:w="1886"/>
      </w:tblGrid>
      <w:tr w:rsidR="00794EB9" w:rsidRPr="00794EB9" w14:paraId="59134B7C" w14:textId="77777777" w:rsidTr="00C307FB">
        <w:trPr>
          <w:trHeight w:val="57"/>
          <w:jc w:val="center"/>
        </w:trPr>
        <w:tc>
          <w:tcPr>
            <w:tcW w:w="950" w:type="pct"/>
            <w:tcBorders>
              <w:top w:val="single" w:sz="4" w:space="0" w:color="auto"/>
            </w:tcBorders>
            <w:shd w:val="clear" w:color="auto" w:fill="E8E7E9"/>
            <w:vAlign w:val="center"/>
          </w:tcPr>
          <w:p w14:paraId="25154642"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E8E7E9"/>
            <w:vAlign w:val="center"/>
          </w:tcPr>
          <w:p w14:paraId="3C352526"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E8E7E9"/>
            <w:vAlign w:val="center"/>
          </w:tcPr>
          <w:p w14:paraId="5DDEEE1B"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E8E7E9"/>
            <w:vAlign w:val="center"/>
          </w:tcPr>
          <w:p w14:paraId="4C6170B4"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84" w:type="pct"/>
            <w:tcBorders>
              <w:top w:val="single" w:sz="4" w:space="0" w:color="auto"/>
            </w:tcBorders>
            <w:shd w:val="clear" w:color="auto" w:fill="E8E7E9"/>
            <w:vAlign w:val="center"/>
          </w:tcPr>
          <w:p w14:paraId="512D7CA3"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2384EA41" w14:textId="77777777" w:rsidTr="00C307FB">
        <w:trPr>
          <w:trHeight w:val="57"/>
          <w:jc w:val="center"/>
        </w:trPr>
        <w:tc>
          <w:tcPr>
            <w:tcW w:w="950" w:type="pct"/>
            <w:tcBorders>
              <w:top w:val="single" w:sz="4" w:space="0" w:color="auto"/>
            </w:tcBorders>
            <w:vAlign w:val="center"/>
          </w:tcPr>
          <w:p w14:paraId="5443BED2"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bCs/>
                <w:sz w:val="22"/>
                <w:szCs w:val="22"/>
              </w:rPr>
              <w:t>Porcentaje de cobertura de intermodalidad urbana</w:t>
            </w:r>
          </w:p>
        </w:tc>
        <w:tc>
          <w:tcPr>
            <w:tcW w:w="1236" w:type="pct"/>
            <w:tcBorders>
              <w:top w:val="single" w:sz="4" w:space="0" w:color="auto"/>
            </w:tcBorders>
            <w:vAlign w:val="center"/>
          </w:tcPr>
          <w:p w14:paraId="45FC51E9"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el porcentaje de la cobertura con infraestructura que permite la conexión del transporte público y ciclovías dentro del límite urbano.</w:t>
            </w:r>
          </w:p>
        </w:tc>
        <w:tc>
          <w:tcPr>
            <w:tcW w:w="891" w:type="pct"/>
            <w:tcBorders>
              <w:top w:val="single" w:sz="4" w:space="0" w:color="auto"/>
            </w:tcBorders>
            <w:vAlign w:val="center"/>
          </w:tcPr>
          <w:p w14:paraId="7BDF266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6.05%</w:t>
            </w:r>
          </w:p>
        </w:tc>
        <w:tc>
          <w:tcPr>
            <w:tcW w:w="839" w:type="pct"/>
            <w:tcBorders>
              <w:top w:val="single" w:sz="4" w:space="0" w:color="auto"/>
            </w:tcBorders>
            <w:vAlign w:val="center"/>
          </w:tcPr>
          <w:p w14:paraId="3AD0C6D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w:t>
            </w:r>
          </w:p>
          <w:p w14:paraId="7669BB90"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Mayo de 2021</w:t>
            </w:r>
          </w:p>
        </w:tc>
        <w:tc>
          <w:tcPr>
            <w:tcW w:w="1084" w:type="pct"/>
            <w:tcBorders>
              <w:top w:val="single" w:sz="4" w:space="0" w:color="auto"/>
            </w:tcBorders>
            <w:vAlign w:val="center"/>
          </w:tcPr>
          <w:p w14:paraId="514D74C1"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t>Aumentar a 15.5%</w:t>
            </w:r>
          </w:p>
        </w:tc>
      </w:tr>
      <w:tr w:rsidR="00794EB9" w:rsidRPr="00794EB9" w14:paraId="02485E31" w14:textId="77777777" w:rsidTr="00C307FB">
        <w:trPr>
          <w:trHeight w:val="57"/>
          <w:jc w:val="center"/>
        </w:trPr>
        <w:tc>
          <w:tcPr>
            <w:tcW w:w="950" w:type="pct"/>
            <w:tcBorders>
              <w:top w:val="single" w:sz="4" w:space="0" w:color="auto"/>
            </w:tcBorders>
            <w:shd w:val="clear" w:color="auto" w:fill="auto"/>
            <w:vAlign w:val="center"/>
          </w:tcPr>
          <w:p w14:paraId="3D1B86CC"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Porcentaje de accesibilidad en el sistema vial</w:t>
            </w:r>
          </w:p>
        </w:tc>
        <w:tc>
          <w:tcPr>
            <w:tcW w:w="1236" w:type="pct"/>
            <w:tcBorders>
              <w:top w:val="single" w:sz="4" w:space="0" w:color="auto"/>
            </w:tcBorders>
            <w:shd w:val="clear" w:color="auto" w:fill="auto"/>
            <w:vAlign w:val="center"/>
          </w:tcPr>
          <w:p w14:paraId="640F0903"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el porcentaje de vialidades pavimentadas con respecto a la red vial total proyectada dentro del límite urbano.</w:t>
            </w:r>
          </w:p>
        </w:tc>
        <w:tc>
          <w:tcPr>
            <w:tcW w:w="891" w:type="pct"/>
            <w:tcBorders>
              <w:top w:val="single" w:sz="4" w:space="0" w:color="auto"/>
            </w:tcBorders>
            <w:shd w:val="clear" w:color="auto" w:fill="auto"/>
            <w:vAlign w:val="center"/>
          </w:tcPr>
          <w:p w14:paraId="2FD9AE2E"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89.88%</w:t>
            </w:r>
          </w:p>
        </w:tc>
        <w:tc>
          <w:tcPr>
            <w:tcW w:w="839" w:type="pct"/>
            <w:tcBorders>
              <w:top w:val="single" w:sz="4" w:space="0" w:color="auto"/>
            </w:tcBorders>
            <w:shd w:val="clear" w:color="auto" w:fill="auto"/>
            <w:vAlign w:val="center"/>
          </w:tcPr>
          <w:p w14:paraId="4CFBD860"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DGOP</w:t>
            </w:r>
          </w:p>
          <w:p w14:paraId="74A8C785"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Abril de 2021</w:t>
            </w:r>
          </w:p>
        </w:tc>
        <w:tc>
          <w:tcPr>
            <w:tcW w:w="1084" w:type="pct"/>
            <w:tcBorders>
              <w:top w:val="single" w:sz="4" w:space="0" w:color="auto"/>
            </w:tcBorders>
            <w:shd w:val="clear" w:color="auto" w:fill="auto"/>
            <w:vAlign w:val="center"/>
          </w:tcPr>
          <w:p w14:paraId="09FB21B2"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92%</w:t>
            </w:r>
          </w:p>
        </w:tc>
      </w:tr>
      <w:tr w:rsidR="00794EB9" w:rsidRPr="00794EB9" w14:paraId="425BA890" w14:textId="77777777" w:rsidTr="00C307FB">
        <w:trPr>
          <w:trHeight w:val="57"/>
          <w:jc w:val="center"/>
        </w:trPr>
        <w:tc>
          <w:tcPr>
            <w:tcW w:w="950" w:type="pct"/>
            <w:vAlign w:val="center"/>
          </w:tcPr>
          <w:p w14:paraId="2D523DF1"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Porcentaje de conectividad de las ciclovías existentes con cierre de circuitos</w:t>
            </w:r>
          </w:p>
        </w:tc>
        <w:tc>
          <w:tcPr>
            <w:tcW w:w="1236" w:type="pct"/>
            <w:vAlign w:val="center"/>
          </w:tcPr>
          <w:p w14:paraId="471F0C9C"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Se refiere al porcentaje de ciclovías existentes que se conectan entre sí dentro del límite urbano.</w:t>
            </w:r>
          </w:p>
        </w:tc>
        <w:tc>
          <w:tcPr>
            <w:tcW w:w="891" w:type="pct"/>
            <w:vAlign w:val="center"/>
          </w:tcPr>
          <w:p w14:paraId="0D33A726"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91.56 %</w:t>
            </w:r>
          </w:p>
        </w:tc>
        <w:tc>
          <w:tcPr>
            <w:tcW w:w="839" w:type="pct"/>
            <w:vAlign w:val="center"/>
          </w:tcPr>
          <w:p w14:paraId="11A0148E"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w:t>
            </w:r>
          </w:p>
          <w:p w14:paraId="45414475"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Mayo de 2021</w:t>
            </w:r>
          </w:p>
        </w:tc>
        <w:tc>
          <w:tcPr>
            <w:tcW w:w="1084" w:type="pct"/>
            <w:vAlign w:val="center"/>
          </w:tcPr>
          <w:p w14:paraId="73EC112C"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t>Aumentar a 92.9%</w:t>
            </w:r>
          </w:p>
        </w:tc>
      </w:tr>
      <w:tr w:rsidR="00794EB9" w:rsidRPr="00794EB9" w14:paraId="5F01E1DF" w14:textId="77777777" w:rsidTr="00C307FB">
        <w:trPr>
          <w:trHeight w:val="57"/>
          <w:jc w:val="center"/>
        </w:trPr>
        <w:tc>
          <w:tcPr>
            <w:tcW w:w="950" w:type="pct"/>
            <w:tcBorders>
              <w:bottom w:val="single" w:sz="4" w:space="0" w:color="auto"/>
            </w:tcBorders>
            <w:vAlign w:val="center"/>
          </w:tcPr>
          <w:p w14:paraId="515E8596"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Porcentaje de cobertura de transporte público en la zona urbana</w:t>
            </w:r>
          </w:p>
        </w:tc>
        <w:tc>
          <w:tcPr>
            <w:tcW w:w="1236" w:type="pct"/>
            <w:tcBorders>
              <w:bottom w:val="single" w:sz="4" w:space="0" w:color="auto"/>
            </w:tcBorders>
            <w:shd w:val="clear" w:color="auto" w:fill="auto"/>
            <w:vAlign w:val="center"/>
          </w:tcPr>
          <w:p w14:paraId="3237AD33"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el porcentaje de cobertura de la extensión del servicio del transporte público para los usuarios dentro del límite urbano.</w:t>
            </w:r>
          </w:p>
        </w:tc>
        <w:tc>
          <w:tcPr>
            <w:tcW w:w="891" w:type="pct"/>
            <w:tcBorders>
              <w:bottom w:val="single" w:sz="4" w:space="0" w:color="auto"/>
            </w:tcBorders>
            <w:vAlign w:val="center"/>
          </w:tcPr>
          <w:p w14:paraId="1CFC51F9"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98%</w:t>
            </w:r>
          </w:p>
        </w:tc>
        <w:tc>
          <w:tcPr>
            <w:tcW w:w="839" w:type="pct"/>
            <w:tcBorders>
              <w:bottom w:val="single" w:sz="4" w:space="0" w:color="auto"/>
            </w:tcBorders>
            <w:vAlign w:val="center"/>
          </w:tcPr>
          <w:p w14:paraId="16E18C22"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DGMOV</w:t>
            </w:r>
          </w:p>
          <w:p w14:paraId="65C9C38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84" w:type="pct"/>
            <w:tcBorders>
              <w:bottom w:val="single" w:sz="4" w:space="0" w:color="auto"/>
            </w:tcBorders>
            <w:vAlign w:val="center"/>
          </w:tcPr>
          <w:p w14:paraId="085FD1D7"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t>Aumentar a 98.5%</w:t>
            </w:r>
          </w:p>
        </w:tc>
      </w:tr>
    </w:tbl>
    <w:p w14:paraId="66430DC3" w14:textId="77777777" w:rsidR="00794EB9" w:rsidRPr="00794EB9" w:rsidRDefault="00794EB9" w:rsidP="00794EB9">
      <w:pPr>
        <w:pStyle w:val="Prrafodelista"/>
        <w:ind w:left="1439"/>
        <w:jc w:val="both"/>
        <w:rPr>
          <w:rFonts w:ascii="Arial" w:hAnsi="Arial" w:cs="Arial"/>
          <w:sz w:val="22"/>
          <w:szCs w:val="22"/>
        </w:rPr>
      </w:pPr>
    </w:p>
    <w:p w14:paraId="3573E54E" w14:textId="77777777" w:rsidR="00794EB9" w:rsidRPr="00794EB9" w:rsidRDefault="00794EB9" w:rsidP="0018463D">
      <w:pPr>
        <w:pStyle w:val="Prrafodelista"/>
        <w:numPr>
          <w:ilvl w:val="1"/>
          <w:numId w:val="19"/>
        </w:numPr>
        <w:suppressAutoHyphens/>
        <w:spacing w:line="276" w:lineRule="auto"/>
        <w:ind w:left="1637"/>
        <w:jc w:val="both"/>
        <w:textDirection w:val="btLr"/>
        <w:textAlignment w:val="top"/>
        <w:outlineLvl w:val="0"/>
        <w:rPr>
          <w:rFonts w:ascii="Arial" w:hAnsi="Arial" w:cs="Arial"/>
          <w:sz w:val="22"/>
          <w:szCs w:val="22"/>
        </w:rPr>
      </w:pPr>
      <w:r w:rsidRPr="00794EB9">
        <w:rPr>
          <w:rFonts w:ascii="Arial" w:hAnsi="Arial" w:cs="Arial"/>
          <w:sz w:val="22"/>
          <w:szCs w:val="22"/>
        </w:rPr>
        <w:t>Pilar 4.1 Seguridad ciudadana y paz sostenible. Fortalecer la cohesión social consolidando un modelo de seguridad cívica y ciudadana para la prevención, vigilancia y atención de factores de riesgo.</w:t>
      </w:r>
    </w:p>
    <w:p w14:paraId="3A30B7A7" w14:textId="77777777" w:rsidR="00794EB9" w:rsidRPr="00794EB9" w:rsidRDefault="00794EB9" w:rsidP="0018463D">
      <w:pPr>
        <w:pStyle w:val="Prrafodelista"/>
        <w:numPr>
          <w:ilvl w:val="1"/>
          <w:numId w:val="19"/>
        </w:numPr>
        <w:suppressAutoHyphens/>
        <w:spacing w:line="276" w:lineRule="auto"/>
        <w:ind w:left="1637"/>
        <w:jc w:val="both"/>
        <w:textDirection w:val="btLr"/>
        <w:textAlignment w:val="top"/>
        <w:outlineLvl w:val="0"/>
        <w:rPr>
          <w:rFonts w:ascii="Arial" w:hAnsi="Arial" w:cs="Arial"/>
          <w:sz w:val="22"/>
          <w:szCs w:val="22"/>
        </w:rPr>
      </w:pPr>
    </w:p>
    <w:tbl>
      <w:tblPr>
        <w:tblStyle w:val="Tablaconcuadrcula3"/>
        <w:tblW w:w="5000" w:type="pct"/>
        <w:tblLook w:val="04A0" w:firstRow="1" w:lastRow="0" w:firstColumn="1" w:lastColumn="0" w:noHBand="0" w:noVBand="1"/>
      </w:tblPr>
      <w:tblGrid>
        <w:gridCol w:w="1677"/>
        <w:gridCol w:w="2211"/>
        <w:gridCol w:w="1533"/>
        <w:gridCol w:w="1577"/>
        <w:gridCol w:w="1830"/>
      </w:tblGrid>
      <w:tr w:rsidR="00794EB9" w:rsidRPr="00794EB9" w14:paraId="7AD438C8" w14:textId="77777777" w:rsidTr="00C307FB">
        <w:trPr>
          <w:trHeight w:val="57"/>
        </w:trPr>
        <w:tc>
          <w:tcPr>
            <w:tcW w:w="967" w:type="pct"/>
            <w:shd w:val="clear" w:color="auto" w:fill="E8E7E9"/>
            <w:vAlign w:val="center"/>
          </w:tcPr>
          <w:p w14:paraId="7A026518"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69" w:type="pct"/>
            <w:shd w:val="clear" w:color="auto" w:fill="E8E7E9"/>
            <w:vAlign w:val="center"/>
          </w:tcPr>
          <w:p w14:paraId="48ED4B58"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shd w:val="clear" w:color="auto" w:fill="E8E7E9"/>
            <w:vAlign w:val="center"/>
          </w:tcPr>
          <w:p w14:paraId="52705219"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0" w:type="pct"/>
            <w:shd w:val="clear" w:color="auto" w:fill="E8E7E9"/>
            <w:vAlign w:val="center"/>
          </w:tcPr>
          <w:p w14:paraId="3A0A6ED6"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969" w:type="pct"/>
            <w:shd w:val="clear" w:color="auto" w:fill="E8E7E9"/>
            <w:vAlign w:val="center"/>
          </w:tcPr>
          <w:p w14:paraId="3D4AD4D8"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5269AC12" w14:textId="77777777" w:rsidTr="00C307FB">
        <w:trPr>
          <w:trHeight w:val="57"/>
        </w:trPr>
        <w:tc>
          <w:tcPr>
            <w:tcW w:w="967" w:type="pct"/>
            <w:vAlign w:val="center"/>
          </w:tcPr>
          <w:p w14:paraId="3A935A73"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 xml:space="preserve">Porcentaje de población de 18 años y </w:t>
            </w:r>
            <w:r w:rsidRPr="00794EB9">
              <w:rPr>
                <w:rFonts w:ascii="Arial" w:hAnsi="Arial" w:cs="Arial"/>
                <w:b/>
                <w:bCs/>
                <w:sz w:val="22"/>
                <w:szCs w:val="22"/>
              </w:rPr>
              <w:lastRenderedPageBreak/>
              <w:t>más que percibe segura la ciudad</w:t>
            </w:r>
          </w:p>
        </w:tc>
        <w:tc>
          <w:tcPr>
            <w:tcW w:w="1269" w:type="pct"/>
            <w:vAlign w:val="center"/>
          </w:tcPr>
          <w:p w14:paraId="4201C91D"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lastRenderedPageBreak/>
              <w:t xml:space="preserve">Mide el porcentaje de población de 18 años y más que se </w:t>
            </w:r>
            <w:r w:rsidRPr="00794EB9">
              <w:rPr>
                <w:rFonts w:ascii="Arial" w:hAnsi="Arial" w:cs="Arial"/>
                <w:sz w:val="22"/>
                <w:szCs w:val="22"/>
              </w:rPr>
              <w:lastRenderedPageBreak/>
              <w:t>sintió segura en la ciudad de León.</w:t>
            </w:r>
          </w:p>
        </w:tc>
        <w:tc>
          <w:tcPr>
            <w:tcW w:w="885" w:type="pct"/>
            <w:vAlign w:val="center"/>
          </w:tcPr>
          <w:p w14:paraId="598D477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lastRenderedPageBreak/>
              <w:t>16%</w:t>
            </w:r>
          </w:p>
        </w:tc>
        <w:tc>
          <w:tcPr>
            <w:tcW w:w="910" w:type="pct"/>
            <w:vAlign w:val="center"/>
          </w:tcPr>
          <w:p w14:paraId="1BFC33B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 xml:space="preserve">INEGI. Encuesta Nacional de </w:t>
            </w:r>
            <w:r w:rsidRPr="00794EB9">
              <w:rPr>
                <w:rFonts w:ascii="Arial" w:hAnsi="Arial" w:cs="Arial"/>
                <w:sz w:val="22"/>
                <w:szCs w:val="22"/>
              </w:rPr>
              <w:lastRenderedPageBreak/>
              <w:t>Seguridad Pública Urbana (ENSU), cuarto trimestre de 2020</w:t>
            </w:r>
          </w:p>
        </w:tc>
        <w:tc>
          <w:tcPr>
            <w:tcW w:w="969" w:type="pct"/>
            <w:vAlign w:val="center"/>
          </w:tcPr>
          <w:p w14:paraId="3559D5BE"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lastRenderedPageBreak/>
              <w:t>Aumentar a 25%</w:t>
            </w:r>
          </w:p>
        </w:tc>
      </w:tr>
      <w:tr w:rsidR="00794EB9" w:rsidRPr="00794EB9" w14:paraId="575EFF70" w14:textId="77777777" w:rsidTr="00C307FB">
        <w:trPr>
          <w:trHeight w:val="57"/>
        </w:trPr>
        <w:tc>
          <w:tcPr>
            <w:tcW w:w="967" w:type="pct"/>
            <w:vAlign w:val="center"/>
          </w:tcPr>
          <w:p w14:paraId="3AFB0468"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Tasa de incidencia delictiva</w:t>
            </w:r>
          </w:p>
        </w:tc>
        <w:tc>
          <w:tcPr>
            <w:tcW w:w="1269" w:type="pct"/>
            <w:vAlign w:val="center"/>
          </w:tcPr>
          <w:p w14:paraId="4AE4E9C4"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número de presuntos delitos del fuero común por cada 100 mil habitantes denunciados ante las Fiscalías Generales de las entidades federativas.</w:t>
            </w:r>
          </w:p>
        </w:tc>
        <w:tc>
          <w:tcPr>
            <w:tcW w:w="885" w:type="pct"/>
            <w:vAlign w:val="center"/>
          </w:tcPr>
          <w:p w14:paraId="4AE8D1D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 mil 340 delitos por cada 100 mil habitantes</w:t>
            </w:r>
          </w:p>
        </w:tc>
        <w:tc>
          <w:tcPr>
            <w:tcW w:w="910" w:type="pct"/>
            <w:vAlign w:val="center"/>
          </w:tcPr>
          <w:p w14:paraId="60C692B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Secretariado Ejecutivo del Sistema Nacional de Seguridad Pública (SESNSP)</w:t>
            </w:r>
          </w:p>
          <w:p w14:paraId="3CF89655"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p w14:paraId="27AC18C4" w14:textId="77777777" w:rsidR="00794EB9" w:rsidRPr="00794EB9" w:rsidRDefault="00794EB9" w:rsidP="00C307FB">
            <w:pPr>
              <w:ind w:hanging="2"/>
              <w:rPr>
                <w:rFonts w:ascii="Arial" w:hAnsi="Arial" w:cs="Arial"/>
                <w:sz w:val="22"/>
                <w:szCs w:val="22"/>
              </w:rPr>
            </w:pPr>
          </w:p>
        </w:tc>
        <w:tc>
          <w:tcPr>
            <w:tcW w:w="969" w:type="pct"/>
            <w:vAlign w:val="center"/>
          </w:tcPr>
          <w:p w14:paraId="103EE189"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Reducir la tasa en un 25%</w:t>
            </w:r>
          </w:p>
        </w:tc>
      </w:tr>
      <w:tr w:rsidR="00794EB9" w:rsidRPr="00794EB9" w14:paraId="359BD56E" w14:textId="77777777" w:rsidTr="00C307FB">
        <w:trPr>
          <w:trHeight w:val="57"/>
        </w:trPr>
        <w:tc>
          <w:tcPr>
            <w:tcW w:w="967" w:type="pct"/>
            <w:vAlign w:val="center"/>
          </w:tcPr>
          <w:p w14:paraId="727A4E24"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Número de elementos de la policía municipal por cada mil habitantes</w:t>
            </w:r>
          </w:p>
        </w:tc>
        <w:tc>
          <w:tcPr>
            <w:tcW w:w="1269" w:type="pct"/>
            <w:vAlign w:val="center"/>
          </w:tcPr>
          <w:p w14:paraId="5914AED7"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Se refiere al número de elementos activos dentro de la policía municipal por cada mil habitantes.</w:t>
            </w:r>
          </w:p>
        </w:tc>
        <w:tc>
          <w:tcPr>
            <w:tcW w:w="885" w:type="pct"/>
            <w:vAlign w:val="center"/>
          </w:tcPr>
          <w:p w14:paraId="09846060"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1 policía por cada mil habitantes</w:t>
            </w:r>
          </w:p>
        </w:tc>
        <w:tc>
          <w:tcPr>
            <w:tcW w:w="910" w:type="pct"/>
            <w:vAlign w:val="center"/>
          </w:tcPr>
          <w:p w14:paraId="3671F66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Secretaría de Seguridad Pública, febrero 2021</w:t>
            </w:r>
          </w:p>
        </w:tc>
        <w:tc>
          <w:tcPr>
            <w:tcW w:w="969" w:type="pct"/>
            <w:vAlign w:val="center"/>
          </w:tcPr>
          <w:p w14:paraId="4D078C3D"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1.8 policías por cada mil habitantes de acuerdo con estándares internacionales</w:t>
            </w:r>
          </w:p>
        </w:tc>
      </w:tr>
      <w:tr w:rsidR="00794EB9" w:rsidRPr="00794EB9" w14:paraId="773988D2" w14:textId="77777777" w:rsidTr="00C307FB">
        <w:trPr>
          <w:trHeight w:val="57"/>
        </w:trPr>
        <w:tc>
          <w:tcPr>
            <w:tcW w:w="967" w:type="pct"/>
            <w:tcBorders>
              <w:bottom w:val="single" w:sz="4" w:space="0" w:color="auto"/>
            </w:tcBorders>
            <w:vAlign w:val="center"/>
          </w:tcPr>
          <w:p w14:paraId="3657AB90"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Porcentaje de población que percibe que la policía de León está capacitada para acercarse al ciudadano</w:t>
            </w:r>
          </w:p>
        </w:tc>
        <w:tc>
          <w:tcPr>
            <w:tcW w:w="1269" w:type="pct"/>
            <w:tcBorders>
              <w:bottom w:val="single" w:sz="4" w:space="0" w:color="auto"/>
            </w:tcBorders>
            <w:vAlign w:val="center"/>
          </w:tcPr>
          <w:p w14:paraId="5C5D7B8B"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Mide el porcentaje de población de 18 años y más, que considera que la policía municipal está capacitada para acercarse al ciudadano.</w:t>
            </w:r>
          </w:p>
        </w:tc>
        <w:tc>
          <w:tcPr>
            <w:tcW w:w="885" w:type="pct"/>
            <w:tcBorders>
              <w:bottom w:val="single" w:sz="4" w:space="0" w:color="auto"/>
            </w:tcBorders>
            <w:vAlign w:val="center"/>
          </w:tcPr>
          <w:p w14:paraId="0959613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42%</w:t>
            </w:r>
          </w:p>
        </w:tc>
        <w:tc>
          <w:tcPr>
            <w:tcW w:w="910" w:type="pct"/>
            <w:tcBorders>
              <w:bottom w:val="single" w:sz="4" w:space="0" w:color="auto"/>
            </w:tcBorders>
            <w:vAlign w:val="center"/>
          </w:tcPr>
          <w:p w14:paraId="44F3F730"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Secretaría de Seguridad Pública. Encuesta de victimización y percepción de inseguridad en el municipio de León, Guanajuato. Octubre 2020</w:t>
            </w:r>
          </w:p>
        </w:tc>
        <w:tc>
          <w:tcPr>
            <w:tcW w:w="969" w:type="pct"/>
            <w:tcBorders>
              <w:bottom w:val="single" w:sz="4" w:space="0" w:color="auto"/>
            </w:tcBorders>
            <w:vAlign w:val="center"/>
          </w:tcPr>
          <w:p w14:paraId="5E5ED5B6"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52%</w:t>
            </w:r>
          </w:p>
        </w:tc>
      </w:tr>
    </w:tbl>
    <w:p w14:paraId="7542DB18" w14:textId="77777777" w:rsidR="00794EB9" w:rsidRPr="00794EB9" w:rsidRDefault="00794EB9" w:rsidP="00794EB9">
      <w:pPr>
        <w:jc w:val="both"/>
        <w:rPr>
          <w:rFonts w:ascii="Arial" w:hAnsi="Arial" w:cs="Arial"/>
          <w:sz w:val="22"/>
          <w:szCs w:val="22"/>
        </w:rPr>
      </w:pPr>
    </w:p>
    <w:p w14:paraId="20DC1CD5"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VT3. Nuevo Modelo de Seguridad</w:t>
      </w:r>
    </w:p>
    <w:p w14:paraId="374AED9F"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Generar mejoras sustantivas en la eficiencia de la policía para atender sus labores de prevención y acción, con mejores condiciones de preparación, elementos tecnológicos, norma ética de la corporación y colaboración con la ciudadanía, abonando a la cercanía y la capacidad de respuesta más efectiva.</w:t>
      </w:r>
    </w:p>
    <w:p w14:paraId="508AC939" w14:textId="77777777" w:rsidR="00794EB9" w:rsidRPr="00794EB9" w:rsidRDefault="00794EB9" w:rsidP="00794EB9">
      <w:pPr>
        <w:jc w:val="both"/>
        <w:rPr>
          <w:rFonts w:ascii="Arial" w:hAnsi="Arial" w:cs="Arial"/>
          <w:b/>
          <w:sz w:val="22"/>
          <w:szCs w:val="22"/>
        </w:rPr>
      </w:pPr>
    </w:p>
    <w:p w14:paraId="77566F16"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49F0A7F6"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9: Construir infraestructuras resilientes, promover la industrialización sostenible y fomentar la innovación</w:t>
      </w:r>
    </w:p>
    <w:p w14:paraId="306863B5"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 Lograr que las ciudades sean más inclusivas, seguras, resilientes y sostenibles</w:t>
      </w:r>
    </w:p>
    <w:p w14:paraId="2FC5DA57"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16: Promover sociedades justas, pacíficas e inclusivas</w:t>
      </w:r>
    </w:p>
    <w:p w14:paraId="54560F4D" w14:textId="77777777" w:rsidR="00794EB9" w:rsidRPr="00794EB9" w:rsidRDefault="00794EB9" w:rsidP="00794EB9">
      <w:pPr>
        <w:pStyle w:val="Prrafodelista"/>
        <w:ind w:left="1637"/>
        <w:jc w:val="both"/>
        <w:rPr>
          <w:rFonts w:ascii="Arial" w:hAnsi="Arial" w:cs="Arial"/>
          <w:sz w:val="22"/>
          <w:szCs w:val="22"/>
        </w:rPr>
      </w:pPr>
    </w:p>
    <w:p w14:paraId="0495D2B2"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lastRenderedPageBreak/>
        <w:t>Contribución a PED 2040</w:t>
      </w:r>
    </w:p>
    <w:p w14:paraId="02C0A25A"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1.1.1 Abatir la pobreza en todas sus vertientes y desde sus causas</w:t>
      </w:r>
    </w:p>
    <w:p w14:paraId="33210633"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3.2.1 Lograr una administración sostenible del territorio, que impulse el desarrollo de comunidades y ciudades humanas y sostenibles</w:t>
      </w:r>
    </w:p>
    <w:p w14:paraId="14F7B284"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4.1.1 Incrementar la eficiencia y la eficacia del sector público estatal,</w:t>
      </w:r>
    </w:p>
    <w:p w14:paraId="7D883037"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con el involucramiento corresponsable de la sociedad</w:t>
      </w:r>
    </w:p>
    <w:p w14:paraId="6CAEAC02"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4.2.1 Abatir los actos delincuenciales que afectan la seguridad de las y los guanajuatense</w:t>
      </w:r>
    </w:p>
    <w:p w14:paraId="0409B6A6"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4.2.2 Incrementar la efectividad del sistema de justicia penal</w:t>
      </w:r>
    </w:p>
    <w:p w14:paraId="03B0C3C4"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relacionadas con la justicia cotidiana</w:t>
      </w:r>
    </w:p>
    <w:p w14:paraId="2F52F84B" w14:textId="77777777" w:rsidR="00794EB9" w:rsidRPr="00794EB9" w:rsidRDefault="00794EB9" w:rsidP="00794EB9">
      <w:pPr>
        <w:pStyle w:val="Prrafodelista"/>
        <w:ind w:left="1637"/>
        <w:jc w:val="both"/>
        <w:rPr>
          <w:rFonts w:ascii="Arial" w:hAnsi="Arial" w:cs="Arial"/>
          <w:sz w:val="22"/>
          <w:szCs w:val="22"/>
        </w:rPr>
      </w:pPr>
    </w:p>
    <w:p w14:paraId="1D0C10AB"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72E8252B"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4.1 Seguridad ciudadana y paz sostenible. Fortalecer la cohesión social consolidando un modelo de seguridad cívica y ciudadana para la prevención, vigilancia y atención de factores de riesgo.</w:t>
      </w:r>
    </w:p>
    <w:p w14:paraId="4EE6D38A"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Look w:val="04A0" w:firstRow="1" w:lastRow="0" w:firstColumn="1" w:lastColumn="0" w:noHBand="0" w:noVBand="1"/>
      </w:tblPr>
      <w:tblGrid>
        <w:gridCol w:w="1677"/>
        <w:gridCol w:w="2211"/>
        <w:gridCol w:w="1533"/>
        <w:gridCol w:w="1577"/>
        <w:gridCol w:w="1830"/>
      </w:tblGrid>
      <w:tr w:rsidR="00794EB9" w:rsidRPr="00794EB9" w14:paraId="2826C240" w14:textId="77777777" w:rsidTr="00C307FB">
        <w:trPr>
          <w:trHeight w:val="57"/>
        </w:trPr>
        <w:tc>
          <w:tcPr>
            <w:tcW w:w="967" w:type="pct"/>
            <w:shd w:val="clear" w:color="auto" w:fill="E8E7E9"/>
            <w:vAlign w:val="center"/>
          </w:tcPr>
          <w:p w14:paraId="084E24C9"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69" w:type="pct"/>
            <w:shd w:val="clear" w:color="auto" w:fill="E8E7E9"/>
            <w:vAlign w:val="center"/>
          </w:tcPr>
          <w:p w14:paraId="38E5E9B8"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shd w:val="clear" w:color="auto" w:fill="E8E7E9"/>
            <w:vAlign w:val="center"/>
          </w:tcPr>
          <w:p w14:paraId="6744023F"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0" w:type="pct"/>
            <w:shd w:val="clear" w:color="auto" w:fill="E8E7E9"/>
            <w:vAlign w:val="center"/>
          </w:tcPr>
          <w:p w14:paraId="371712E3"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969" w:type="pct"/>
            <w:shd w:val="clear" w:color="auto" w:fill="E8E7E9"/>
            <w:vAlign w:val="center"/>
          </w:tcPr>
          <w:p w14:paraId="0B3C6CCE"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26C15531" w14:textId="77777777" w:rsidTr="00C307FB">
        <w:trPr>
          <w:trHeight w:val="57"/>
        </w:trPr>
        <w:tc>
          <w:tcPr>
            <w:tcW w:w="967" w:type="pct"/>
            <w:vAlign w:val="center"/>
          </w:tcPr>
          <w:p w14:paraId="71F6D98E"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Porcentaje de población de 18 años y más que percibe segura la ciudad</w:t>
            </w:r>
          </w:p>
        </w:tc>
        <w:tc>
          <w:tcPr>
            <w:tcW w:w="1269" w:type="pct"/>
            <w:vAlign w:val="center"/>
          </w:tcPr>
          <w:p w14:paraId="2605014B"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porcentaje de población de 18 años y más que se sintió segura en la ciudad de León.</w:t>
            </w:r>
          </w:p>
        </w:tc>
        <w:tc>
          <w:tcPr>
            <w:tcW w:w="885" w:type="pct"/>
            <w:vAlign w:val="center"/>
          </w:tcPr>
          <w:p w14:paraId="290F5285"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16%</w:t>
            </w:r>
          </w:p>
        </w:tc>
        <w:tc>
          <w:tcPr>
            <w:tcW w:w="910" w:type="pct"/>
            <w:vAlign w:val="center"/>
          </w:tcPr>
          <w:p w14:paraId="4BDD7B9A"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Encuesta Nacional de Seguridad Pública Urbana (ENSU), cuarto trimestre de 2020</w:t>
            </w:r>
          </w:p>
        </w:tc>
        <w:tc>
          <w:tcPr>
            <w:tcW w:w="969" w:type="pct"/>
            <w:vAlign w:val="center"/>
          </w:tcPr>
          <w:p w14:paraId="0ADBA122"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25%</w:t>
            </w:r>
          </w:p>
        </w:tc>
      </w:tr>
      <w:tr w:rsidR="00794EB9" w:rsidRPr="00794EB9" w14:paraId="14A08E66" w14:textId="77777777" w:rsidTr="00C307FB">
        <w:trPr>
          <w:trHeight w:val="57"/>
        </w:trPr>
        <w:tc>
          <w:tcPr>
            <w:tcW w:w="967" w:type="pct"/>
            <w:vAlign w:val="center"/>
          </w:tcPr>
          <w:p w14:paraId="61EE0959"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Tasa de incidencia delictiva</w:t>
            </w:r>
          </w:p>
        </w:tc>
        <w:tc>
          <w:tcPr>
            <w:tcW w:w="1269" w:type="pct"/>
            <w:vAlign w:val="center"/>
          </w:tcPr>
          <w:p w14:paraId="03E97F4A"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número de presuntos delitos del fuero común por cada 100 mil habitantes denunciados ante las Fiscalías Generales de las entidades federativas.</w:t>
            </w:r>
          </w:p>
        </w:tc>
        <w:tc>
          <w:tcPr>
            <w:tcW w:w="885" w:type="pct"/>
            <w:vAlign w:val="center"/>
          </w:tcPr>
          <w:p w14:paraId="2FC4F93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 mil 340 delitos por cada 100 mil habitantes</w:t>
            </w:r>
          </w:p>
        </w:tc>
        <w:tc>
          <w:tcPr>
            <w:tcW w:w="910" w:type="pct"/>
            <w:vAlign w:val="center"/>
          </w:tcPr>
          <w:p w14:paraId="3298DFA9"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Secretariado Ejecutivo del Sistema Nacional de Seguridad Pública (SESNSP)</w:t>
            </w:r>
          </w:p>
          <w:p w14:paraId="2DC930D6"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p w14:paraId="1A633E70" w14:textId="77777777" w:rsidR="00794EB9" w:rsidRPr="00794EB9" w:rsidRDefault="00794EB9" w:rsidP="00C307FB">
            <w:pPr>
              <w:ind w:hanging="2"/>
              <w:rPr>
                <w:rFonts w:ascii="Arial" w:hAnsi="Arial" w:cs="Arial"/>
                <w:sz w:val="22"/>
                <w:szCs w:val="22"/>
              </w:rPr>
            </w:pPr>
          </w:p>
        </w:tc>
        <w:tc>
          <w:tcPr>
            <w:tcW w:w="969" w:type="pct"/>
            <w:vAlign w:val="center"/>
          </w:tcPr>
          <w:p w14:paraId="6C5F071B"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Reducir la tasa en un 25%</w:t>
            </w:r>
          </w:p>
        </w:tc>
      </w:tr>
      <w:tr w:rsidR="00794EB9" w:rsidRPr="00794EB9" w14:paraId="3F09862F" w14:textId="77777777" w:rsidTr="00C307FB">
        <w:trPr>
          <w:trHeight w:val="57"/>
        </w:trPr>
        <w:tc>
          <w:tcPr>
            <w:tcW w:w="967" w:type="pct"/>
            <w:vAlign w:val="center"/>
          </w:tcPr>
          <w:p w14:paraId="6E838EA2"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Número de elementos de la policía municipal por cada mil habitantes</w:t>
            </w:r>
          </w:p>
        </w:tc>
        <w:tc>
          <w:tcPr>
            <w:tcW w:w="1269" w:type="pct"/>
            <w:vAlign w:val="center"/>
          </w:tcPr>
          <w:p w14:paraId="4803C3CE"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Se refiere al número de elementos activos dentro de la policía municipal por cada mil habitantes.</w:t>
            </w:r>
          </w:p>
        </w:tc>
        <w:tc>
          <w:tcPr>
            <w:tcW w:w="885" w:type="pct"/>
            <w:vAlign w:val="center"/>
          </w:tcPr>
          <w:p w14:paraId="537B7F7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1 policía por cada mil habitantes</w:t>
            </w:r>
          </w:p>
        </w:tc>
        <w:tc>
          <w:tcPr>
            <w:tcW w:w="910" w:type="pct"/>
            <w:vAlign w:val="center"/>
          </w:tcPr>
          <w:p w14:paraId="43D6CD7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Secretaría de Seguridad Pública, febrero 2021</w:t>
            </w:r>
          </w:p>
        </w:tc>
        <w:tc>
          <w:tcPr>
            <w:tcW w:w="969" w:type="pct"/>
            <w:vAlign w:val="center"/>
          </w:tcPr>
          <w:p w14:paraId="2294BC53"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1.8 policías por cada mil habitantes de acuerdo con estándares internacionales</w:t>
            </w:r>
          </w:p>
        </w:tc>
      </w:tr>
      <w:tr w:rsidR="00794EB9" w:rsidRPr="00794EB9" w14:paraId="07154DDE" w14:textId="77777777" w:rsidTr="00C307FB">
        <w:trPr>
          <w:trHeight w:val="57"/>
        </w:trPr>
        <w:tc>
          <w:tcPr>
            <w:tcW w:w="967" w:type="pct"/>
            <w:tcBorders>
              <w:bottom w:val="single" w:sz="4" w:space="0" w:color="auto"/>
            </w:tcBorders>
            <w:vAlign w:val="center"/>
          </w:tcPr>
          <w:p w14:paraId="6B6D7E3B"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 xml:space="preserve">Porcentaje de población que percibe que la policía </w:t>
            </w:r>
            <w:r w:rsidRPr="00794EB9">
              <w:rPr>
                <w:rFonts w:ascii="Arial" w:hAnsi="Arial" w:cs="Arial"/>
                <w:b/>
                <w:bCs/>
                <w:sz w:val="22"/>
                <w:szCs w:val="22"/>
              </w:rPr>
              <w:lastRenderedPageBreak/>
              <w:t>de León está capacitada para acercarse al ciudadano</w:t>
            </w:r>
          </w:p>
        </w:tc>
        <w:tc>
          <w:tcPr>
            <w:tcW w:w="1269" w:type="pct"/>
            <w:tcBorders>
              <w:bottom w:val="single" w:sz="4" w:space="0" w:color="auto"/>
            </w:tcBorders>
            <w:vAlign w:val="center"/>
          </w:tcPr>
          <w:p w14:paraId="6290905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lastRenderedPageBreak/>
              <w:t xml:space="preserve">Mide el porcentaje de población de 18 años y más, que considera que la </w:t>
            </w:r>
            <w:r w:rsidRPr="00794EB9">
              <w:rPr>
                <w:rFonts w:ascii="Arial" w:hAnsi="Arial" w:cs="Arial"/>
                <w:sz w:val="22"/>
                <w:szCs w:val="22"/>
              </w:rPr>
              <w:lastRenderedPageBreak/>
              <w:t>policía municipal está capacitada para acercarse al ciudadano.</w:t>
            </w:r>
          </w:p>
        </w:tc>
        <w:tc>
          <w:tcPr>
            <w:tcW w:w="885" w:type="pct"/>
            <w:tcBorders>
              <w:bottom w:val="single" w:sz="4" w:space="0" w:color="auto"/>
            </w:tcBorders>
            <w:vAlign w:val="center"/>
          </w:tcPr>
          <w:p w14:paraId="5EFF7EE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lastRenderedPageBreak/>
              <w:t>42%</w:t>
            </w:r>
          </w:p>
        </w:tc>
        <w:tc>
          <w:tcPr>
            <w:tcW w:w="910" w:type="pct"/>
            <w:tcBorders>
              <w:bottom w:val="single" w:sz="4" w:space="0" w:color="auto"/>
            </w:tcBorders>
            <w:vAlign w:val="center"/>
          </w:tcPr>
          <w:p w14:paraId="0AB531F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 xml:space="preserve">Secretaría de Seguridad Pública. Encuesta de </w:t>
            </w:r>
            <w:r w:rsidRPr="00794EB9">
              <w:rPr>
                <w:rFonts w:ascii="Arial" w:hAnsi="Arial" w:cs="Arial"/>
                <w:sz w:val="22"/>
                <w:szCs w:val="22"/>
              </w:rPr>
              <w:lastRenderedPageBreak/>
              <w:t>victimización y percepción de inseguridad en el municipio de León, Guanajuato. Octubre 2020</w:t>
            </w:r>
          </w:p>
        </w:tc>
        <w:tc>
          <w:tcPr>
            <w:tcW w:w="969" w:type="pct"/>
            <w:tcBorders>
              <w:bottom w:val="single" w:sz="4" w:space="0" w:color="auto"/>
            </w:tcBorders>
            <w:vAlign w:val="center"/>
          </w:tcPr>
          <w:p w14:paraId="644A07AC"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lastRenderedPageBreak/>
              <w:t>Aumentar a 52%</w:t>
            </w:r>
          </w:p>
        </w:tc>
      </w:tr>
    </w:tbl>
    <w:p w14:paraId="57590534" w14:textId="77777777" w:rsidR="00794EB9" w:rsidRPr="00794EB9" w:rsidRDefault="00794EB9" w:rsidP="00794EB9">
      <w:pPr>
        <w:jc w:val="both"/>
        <w:rPr>
          <w:rFonts w:ascii="Arial" w:hAnsi="Arial" w:cs="Arial"/>
          <w:b/>
          <w:sz w:val="22"/>
          <w:szCs w:val="22"/>
        </w:rPr>
      </w:pPr>
    </w:p>
    <w:p w14:paraId="0D2987A4"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4.5 Tecnología y conectividad digital. Ampliar la cobertura de conectividad digital, favoreciendo la tele gestión y una mayor eficiencia de servicios públicos.</w:t>
      </w:r>
    </w:p>
    <w:p w14:paraId="0D4559B3" w14:textId="77777777" w:rsidR="00794EB9" w:rsidRPr="00794EB9" w:rsidRDefault="00794EB9" w:rsidP="00794EB9">
      <w:pPr>
        <w:pStyle w:val="Prrafodelista"/>
        <w:ind w:left="719"/>
        <w:jc w:val="both"/>
        <w:rPr>
          <w:rFonts w:ascii="Arial" w:hAnsi="Arial" w:cs="Arial"/>
          <w:b/>
          <w:sz w:val="22"/>
          <w:szCs w:val="22"/>
        </w:rPr>
      </w:pPr>
    </w:p>
    <w:tbl>
      <w:tblPr>
        <w:tblStyle w:val="Tablaconcuadrcula3"/>
        <w:tblW w:w="5000" w:type="pct"/>
        <w:jc w:val="center"/>
        <w:tblLook w:val="04A0" w:firstRow="1" w:lastRow="0" w:firstColumn="1" w:lastColumn="0" w:noHBand="0" w:noVBand="1"/>
      </w:tblPr>
      <w:tblGrid>
        <w:gridCol w:w="1706"/>
        <w:gridCol w:w="2241"/>
        <w:gridCol w:w="1563"/>
        <w:gridCol w:w="1607"/>
        <w:gridCol w:w="1711"/>
      </w:tblGrid>
      <w:tr w:rsidR="00794EB9" w:rsidRPr="00794EB9" w14:paraId="1DCDFB5F" w14:textId="77777777" w:rsidTr="00C307FB">
        <w:trPr>
          <w:trHeight w:val="57"/>
          <w:jc w:val="center"/>
        </w:trPr>
        <w:tc>
          <w:tcPr>
            <w:tcW w:w="967" w:type="pct"/>
            <w:tcBorders>
              <w:top w:val="single" w:sz="4" w:space="0" w:color="auto"/>
            </w:tcBorders>
            <w:shd w:val="clear" w:color="auto" w:fill="E8E7E9"/>
            <w:vAlign w:val="center"/>
          </w:tcPr>
          <w:p w14:paraId="388EE791"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69" w:type="pct"/>
            <w:tcBorders>
              <w:top w:val="single" w:sz="4" w:space="0" w:color="auto"/>
            </w:tcBorders>
            <w:shd w:val="clear" w:color="auto" w:fill="E8E7E9"/>
            <w:vAlign w:val="center"/>
          </w:tcPr>
          <w:p w14:paraId="5D5680B6"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tcBorders>
              <w:top w:val="single" w:sz="4" w:space="0" w:color="auto"/>
            </w:tcBorders>
            <w:shd w:val="clear" w:color="auto" w:fill="E8E7E9"/>
            <w:vAlign w:val="center"/>
          </w:tcPr>
          <w:p w14:paraId="5A94BA8E"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0" w:type="pct"/>
            <w:tcBorders>
              <w:top w:val="single" w:sz="4" w:space="0" w:color="auto"/>
            </w:tcBorders>
            <w:shd w:val="clear" w:color="auto" w:fill="E8E7E9"/>
            <w:vAlign w:val="center"/>
          </w:tcPr>
          <w:p w14:paraId="16C5BDC5"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969" w:type="pct"/>
            <w:tcBorders>
              <w:top w:val="single" w:sz="4" w:space="0" w:color="auto"/>
            </w:tcBorders>
            <w:shd w:val="clear" w:color="auto" w:fill="E8E7E9"/>
            <w:vAlign w:val="center"/>
          </w:tcPr>
          <w:p w14:paraId="3B0DDC6C"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04A1F0A1" w14:textId="77777777" w:rsidTr="00C307FB">
        <w:trPr>
          <w:trHeight w:val="57"/>
          <w:jc w:val="center"/>
        </w:trPr>
        <w:tc>
          <w:tcPr>
            <w:tcW w:w="967" w:type="pct"/>
            <w:tcBorders>
              <w:top w:val="single" w:sz="4" w:space="0" w:color="auto"/>
            </w:tcBorders>
            <w:vAlign w:val="center"/>
          </w:tcPr>
          <w:p w14:paraId="023120B7"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Promedio semanal de usuarios conectados a la red internet del transporte público</w:t>
            </w:r>
          </w:p>
        </w:tc>
        <w:tc>
          <w:tcPr>
            <w:tcW w:w="1269" w:type="pct"/>
            <w:tcBorders>
              <w:top w:val="single" w:sz="4" w:space="0" w:color="auto"/>
            </w:tcBorders>
            <w:vAlign w:val="center"/>
          </w:tcPr>
          <w:p w14:paraId="31C0BE9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Es el promedio usuarios que se conectan entre semana a la red de internet del trasporte público de León llamado “wiwi todos conectados”</w:t>
            </w:r>
          </w:p>
        </w:tc>
        <w:tc>
          <w:tcPr>
            <w:tcW w:w="885" w:type="pct"/>
            <w:tcBorders>
              <w:top w:val="single" w:sz="4" w:space="0" w:color="auto"/>
            </w:tcBorders>
            <w:vAlign w:val="center"/>
          </w:tcPr>
          <w:p w14:paraId="4A5D2E01"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57,249</w:t>
            </w:r>
          </w:p>
          <w:p w14:paraId="73BACA35"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usuarios conectados</w:t>
            </w:r>
          </w:p>
        </w:tc>
        <w:tc>
          <w:tcPr>
            <w:tcW w:w="910" w:type="pct"/>
            <w:tcBorders>
              <w:top w:val="single" w:sz="4" w:space="0" w:color="auto"/>
            </w:tcBorders>
            <w:vAlign w:val="center"/>
          </w:tcPr>
          <w:p w14:paraId="5FEC3808"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Dirección General de Movilidad. Julio 2021</w:t>
            </w:r>
          </w:p>
        </w:tc>
        <w:tc>
          <w:tcPr>
            <w:tcW w:w="969" w:type="pct"/>
            <w:tcBorders>
              <w:top w:val="single" w:sz="4" w:space="0" w:color="auto"/>
            </w:tcBorders>
            <w:vAlign w:val="center"/>
          </w:tcPr>
          <w:p w14:paraId="042E7097"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 xml:space="preserve">Aumentar a 100 mil usuarios en promedio mensual </w:t>
            </w:r>
          </w:p>
        </w:tc>
      </w:tr>
      <w:tr w:rsidR="00794EB9" w:rsidRPr="00794EB9" w14:paraId="4D021C00" w14:textId="77777777" w:rsidTr="00C307FB">
        <w:trPr>
          <w:trHeight w:val="57"/>
          <w:jc w:val="center"/>
        </w:trPr>
        <w:tc>
          <w:tcPr>
            <w:tcW w:w="967" w:type="pct"/>
            <w:tcBorders>
              <w:top w:val="single" w:sz="4" w:space="0" w:color="auto"/>
            </w:tcBorders>
            <w:vAlign w:val="center"/>
          </w:tcPr>
          <w:p w14:paraId="53990490"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Porcentaje de luminarias integradas al sistema de Tele-gestión</w:t>
            </w:r>
          </w:p>
        </w:tc>
        <w:tc>
          <w:tcPr>
            <w:tcW w:w="1269" w:type="pct"/>
            <w:tcBorders>
              <w:top w:val="single" w:sz="4" w:space="0" w:color="auto"/>
            </w:tcBorders>
            <w:vAlign w:val="center"/>
          </w:tcPr>
          <w:p w14:paraId="3050EB5E"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Es el porcentaje del número de luminarias del Sistema Vial Primario que cuentan con sistema de tele gestión</w:t>
            </w:r>
          </w:p>
        </w:tc>
        <w:tc>
          <w:tcPr>
            <w:tcW w:w="885" w:type="pct"/>
            <w:tcBorders>
              <w:top w:val="single" w:sz="4" w:space="0" w:color="auto"/>
            </w:tcBorders>
            <w:vAlign w:val="center"/>
          </w:tcPr>
          <w:p w14:paraId="2B6253E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41% de las luminarias del Sistema Vial Primario</w:t>
            </w:r>
          </w:p>
        </w:tc>
        <w:tc>
          <w:tcPr>
            <w:tcW w:w="910" w:type="pct"/>
            <w:tcBorders>
              <w:top w:val="single" w:sz="4" w:space="0" w:color="auto"/>
            </w:tcBorders>
            <w:vAlign w:val="center"/>
          </w:tcPr>
          <w:p w14:paraId="763AC90B"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Dirección General de Obra Pública. 2020</w:t>
            </w:r>
          </w:p>
        </w:tc>
        <w:tc>
          <w:tcPr>
            <w:tcW w:w="969" w:type="pct"/>
            <w:tcBorders>
              <w:top w:val="single" w:sz="4" w:space="0" w:color="auto"/>
            </w:tcBorders>
            <w:vAlign w:val="center"/>
          </w:tcPr>
          <w:p w14:paraId="483FA74D"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al 100% de las luminarias del Sistema Vial Primario</w:t>
            </w:r>
          </w:p>
        </w:tc>
      </w:tr>
    </w:tbl>
    <w:p w14:paraId="64F8FC79" w14:textId="77777777" w:rsidR="00794EB9" w:rsidRPr="00794EB9" w:rsidRDefault="00794EB9" w:rsidP="00794EB9">
      <w:pPr>
        <w:jc w:val="both"/>
        <w:rPr>
          <w:rFonts w:ascii="Arial" w:hAnsi="Arial" w:cs="Arial"/>
          <w:sz w:val="22"/>
          <w:szCs w:val="22"/>
        </w:rPr>
      </w:pPr>
    </w:p>
    <w:p w14:paraId="3EFA8AF2"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VT4. León Ciudad Emoción</w:t>
      </w:r>
    </w:p>
    <w:p w14:paraId="2CB1295A"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Desarrollar una intensa promoción de actividades artísticas, culturales y científicas en colaboración con la iniciativa privada y organizaciones sociales, que ayuden a mejorar las condiciones de convivencia social, la conservación del patrimonio cultural y el fortalecimiento de la identidad local.</w:t>
      </w:r>
    </w:p>
    <w:p w14:paraId="238C2775" w14:textId="77777777" w:rsidR="00794EB9" w:rsidRPr="00794EB9" w:rsidRDefault="00794EB9" w:rsidP="00794EB9">
      <w:pPr>
        <w:pStyle w:val="TtuloPG2"/>
        <w:ind w:left="0"/>
        <w:jc w:val="both"/>
        <w:rPr>
          <w:b w:val="0"/>
          <w:color w:val="auto"/>
          <w:sz w:val="22"/>
          <w:szCs w:val="22"/>
        </w:rPr>
      </w:pPr>
    </w:p>
    <w:p w14:paraId="52D26B1A" w14:textId="77777777" w:rsidR="00794EB9" w:rsidRPr="00794EB9" w:rsidRDefault="00794EB9" w:rsidP="0018463D">
      <w:pPr>
        <w:pStyle w:val="Prrafodelista"/>
        <w:numPr>
          <w:ilvl w:val="0"/>
          <w:numId w:val="19"/>
        </w:numPr>
        <w:suppressAutoHyphens/>
        <w:ind w:hanging="357"/>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6D6395BD" w14:textId="77777777" w:rsidR="00794EB9" w:rsidRPr="00794EB9" w:rsidRDefault="00794EB9" w:rsidP="0018463D">
      <w:pPr>
        <w:pStyle w:val="Prrafodelista"/>
        <w:numPr>
          <w:ilvl w:val="1"/>
          <w:numId w:val="19"/>
        </w:numPr>
        <w:suppressAutoHyphens/>
        <w:ind w:left="1637" w:hanging="357"/>
        <w:jc w:val="both"/>
        <w:textDirection w:val="btLr"/>
        <w:textAlignment w:val="top"/>
        <w:outlineLvl w:val="0"/>
        <w:rPr>
          <w:rFonts w:ascii="Arial" w:hAnsi="Arial" w:cs="Arial"/>
          <w:sz w:val="22"/>
          <w:szCs w:val="22"/>
        </w:rPr>
      </w:pPr>
      <w:r w:rsidRPr="00794EB9">
        <w:rPr>
          <w:rFonts w:ascii="Arial" w:hAnsi="Arial" w:cs="Arial"/>
          <w:sz w:val="22"/>
          <w:szCs w:val="22"/>
        </w:rPr>
        <w:t>Objetivo 2: Poner fin al hambre</w:t>
      </w:r>
    </w:p>
    <w:p w14:paraId="207476F0" w14:textId="77777777" w:rsidR="00794EB9" w:rsidRPr="00794EB9" w:rsidRDefault="00794EB9" w:rsidP="0018463D">
      <w:pPr>
        <w:pStyle w:val="Prrafodelista"/>
        <w:numPr>
          <w:ilvl w:val="1"/>
          <w:numId w:val="19"/>
        </w:numPr>
        <w:suppressAutoHyphens/>
        <w:ind w:left="1637" w:hanging="357"/>
        <w:jc w:val="both"/>
        <w:textDirection w:val="btLr"/>
        <w:textAlignment w:val="top"/>
        <w:outlineLvl w:val="0"/>
        <w:rPr>
          <w:rFonts w:ascii="Arial" w:hAnsi="Arial" w:cs="Arial"/>
          <w:sz w:val="22"/>
          <w:szCs w:val="22"/>
        </w:rPr>
      </w:pPr>
      <w:r w:rsidRPr="00794EB9">
        <w:rPr>
          <w:rFonts w:ascii="Arial" w:hAnsi="Arial" w:cs="Arial"/>
          <w:sz w:val="22"/>
          <w:szCs w:val="22"/>
        </w:rPr>
        <w:t>Objetivo 4: Garantizar una educación inclusiva, equitativa y de calidad y promover oportunidades de aprendizaje durante toda la vida para todos</w:t>
      </w:r>
    </w:p>
    <w:p w14:paraId="2F0391A8" w14:textId="77777777" w:rsidR="00794EB9" w:rsidRPr="00794EB9" w:rsidRDefault="00794EB9" w:rsidP="0018463D">
      <w:pPr>
        <w:pStyle w:val="Prrafodelista"/>
        <w:numPr>
          <w:ilvl w:val="1"/>
          <w:numId w:val="19"/>
        </w:numPr>
        <w:suppressAutoHyphens/>
        <w:ind w:left="1637" w:hanging="357"/>
        <w:jc w:val="both"/>
        <w:textDirection w:val="btLr"/>
        <w:textAlignment w:val="top"/>
        <w:outlineLvl w:val="0"/>
        <w:rPr>
          <w:rFonts w:ascii="Arial" w:hAnsi="Arial" w:cs="Arial"/>
          <w:sz w:val="22"/>
          <w:szCs w:val="22"/>
        </w:rPr>
      </w:pPr>
      <w:r w:rsidRPr="00794EB9">
        <w:rPr>
          <w:rFonts w:ascii="Arial" w:hAnsi="Arial" w:cs="Arial"/>
          <w:sz w:val="22"/>
          <w:szCs w:val="22"/>
        </w:rPr>
        <w:t>Objetivo 8: Promover el crecimiento económico inclusivo y sostenible, el empleo y el trabajo decente para todos</w:t>
      </w:r>
    </w:p>
    <w:p w14:paraId="36F7A3E9" w14:textId="77777777" w:rsidR="00794EB9" w:rsidRPr="00794EB9" w:rsidRDefault="00794EB9" w:rsidP="0018463D">
      <w:pPr>
        <w:pStyle w:val="Prrafodelista"/>
        <w:numPr>
          <w:ilvl w:val="1"/>
          <w:numId w:val="19"/>
        </w:numPr>
        <w:suppressAutoHyphens/>
        <w:ind w:left="1637" w:hanging="357"/>
        <w:jc w:val="both"/>
        <w:textDirection w:val="btLr"/>
        <w:textAlignment w:val="top"/>
        <w:outlineLvl w:val="0"/>
        <w:rPr>
          <w:rFonts w:ascii="Arial" w:hAnsi="Arial" w:cs="Arial"/>
          <w:sz w:val="22"/>
          <w:szCs w:val="22"/>
        </w:rPr>
      </w:pPr>
      <w:r w:rsidRPr="00794EB9">
        <w:rPr>
          <w:rFonts w:ascii="Arial" w:hAnsi="Arial" w:cs="Arial"/>
          <w:sz w:val="22"/>
          <w:szCs w:val="22"/>
        </w:rPr>
        <w:t>Objetivo 11: Lograr que las ciudades sean más inclusivas, seguras, resilientes y sostenibles</w:t>
      </w:r>
    </w:p>
    <w:p w14:paraId="5557FF3B" w14:textId="77777777" w:rsidR="00794EB9" w:rsidRPr="00794EB9" w:rsidRDefault="00794EB9" w:rsidP="00794EB9">
      <w:pPr>
        <w:pStyle w:val="Prrafodelista"/>
        <w:ind w:left="1637"/>
        <w:jc w:val="both"/>
        <w:rPr>
          <w:rFonts w:ascii="Arial" w:hAnsi="Arial" w:cs="Arial"/>
          <w:sz w:val="22"/>
          <w:szCs w:val="22"/>
        </w:rPr>
      </w:pPr>
    </w:p>
    <w:p w14:paraId="2BE74F41" w14:textId="77777777" w:rsidR="00794EB9" w:rsidRPr="00794EB9" w:rsidRDefault="00794EB9" w:rsidP="0018463D">
      <w:pPr>
        <w:pStyle w:val="Prrafodelista"/>
        <w:numPr>
          <w:ilvl w:val="0"/>
          <w:numId w:val="19"/>
        </w:numPr>
        <w:suppressAutoHyphens/>
        <w:ind w:hanging="357"/>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63D83BC4" w14:textId="77777777" w:rsidR="00794EB9" w:rsidRPr="00794EB9" w:rsidRDefault="00794EB9" w:rsidP="0018463D">
      <w:pPr>
        <w:pStyle w:val="Prrafodelista"/>
        <w:numPr>
          <w:ilvl w:val="1"/>
          <w:numId w:val="19"/>
        </w:numPr>
        <w:suppressAutoHyphens/>
        <w:ind w:left="1637" w:hanging="357"/>
        <w:jc w:val="both"/>
        <w:textDirection w:val="btLr"/>
        <w:textAlignment w:val="top"/>
        <w:outlineLvl w:val="0"/>
        <w:rPr>
          <w:rFonts w:ascii="Arial" w:hAnsi="Arial" w:cs="Arial"/>
          <w:sz w:val="22"/>
          <w:szCs w:val="22"/>
        </w:rPr>
      </w:pPr>
      <w:r w:rsidRPr="00794EB9">
        <w:rPr>
          <w:rFonts w:ascii="Arial" w:hAnsi="Arial" w:cs="Arial"/>
          <w:sz w:val="22"/>
          <w:szCs w:val="22"/>
        </w:rPr>
        <w:t>OBJETIVO 1.2.3 Potenciar a la cultura y al deporte como elementos del desarrollo integral de las personas y las comunidades</w:t>
      </w:r>
    </w:p>
    <w:p w14:paraId="7979AF28" w14:textId="77777777" w:rsidR="00794EB9" w:rsidRPr="00794EB9" w:rsidRDefault="00794EB9" w:rsidP="0018463D">
      <w:pPr>
        <w:pStyle w:val="Prrafodelista"/>
        <w:numPr>
          <w:ilvl w:val="1"/>
          <w:numId w:val="19"/>
        </w:numPr>
        <w:suppressAutoHyphens/>
        <w:ind w:left="1637" w:hanging="357"/>
        <w:jc w:val="both"/>
        <w:textDirection w:val="btLr"/>
        <w:textAlignment w:val="top"/>
        <w:outlineLvl w:val="0"/>
        <w:rPr>
          <w:rFonts w:ascii="Arial" w:hAnsi="Arial" w:cs="Arial"/>
          <w:sz w:val="22"/>
          <w:szCs w:val="22"/>
        </w:rPr>
      </w:pPr>
      <w:r w:rsidRPr="00794EB9">
        <w:rPr>
          <w:rFonts w:ascii="Arial" w:hAnsi="Arial" w:cs="Arial"/>
          <w:sz w:val="22"/>
          <w:szCs w:val="22"/>
        </w:rPr>
        <w:lastRenderedPageBreak/>
        <w:t>OBJETIVO 1.3.1 Asegurar las condiciones para el desarrollo pleno e igualitario de los grupos prioritarios del estado</w:t>
      </w:r>
    </w:p>
    <w:p w14:paraId="4C419362" w14:textId="77777777" w:rsidR="00794EB9" w:rsidRPr="00794EB9" w:rsidRDefault="00794EB9" w:rsidP="0018463D">
      <w:pPr>
        <w:pStyle w:val="Prrafodelista"/>
        <w:numPr>
          <w:ilvl w:val="1"/>
          <w:numId w:val="19"/>
        </w:numPr>
        <w:suppressAutoHyphens/>
        <w:ind w:left="1637" w:hanging="357"/>
        <w:jc w:val="both"/>
        <w:textDirection w:val="btLr"/>
        <w:textAlignment w:val="top"/>
        <w:outlineLvl w:val="0"/>
        <w:rPr>
          <w:rFonts w:ascii="Arial" w:hAnsi="Arial" w:cs="Arial"/>
          <w:sz w:val="22"/>
          <w:szCs w:val="22"/>
        </w:rPr>
      </w:pPr>
      <w:r w:rsidRPr="00794EB9">
        <w:rPr>
          <w:rFonts w:ascii="Arial" w:hAnsi="Arial" w:cs="Arial"/>
          <w:sz w:val="22"/>
          <w:szCs w:val="22"/>
        </w:rPr>
        <w:t>OBJETIVO 2.3.1 Consolidar el potencial turístico de Guanajuato e impulsarlo a ser uno de los principales destinos turísticos a nivel nacional, con posicionamiento internacional</w:t>
      </w:r>
    </w:p>
    <w:p w14:paraId="0ABFE834" w14:textId="77777777" w:rsidR="00794EB9" w:rsidRPr="00794EB9" w:rsidRDefault="00794EB9" w:rsidP="0018463D">
      <w:pPr>
        <w:pStyle w:val="Prrafodelista"/>
        <w:numPr>
          <w:ilvl w:val="1"/>
          <w:numId w:val="19"/>
        </w:numPr>
        <w:suppressAutoHyphens/>
        <w:ind w:left="1637" w:hanging="357"/>
        <w:jc w:val="both"/>
        <w:textDirection w:val="btLr"/>
        <w:textAlignment w:val="top"/>
        <w:outlineLvl w:val="0"/>
        <w:rPr>
          <w:rFonts w:ascii="Arial" w:hAnsi="Arial" w:cs="Arial"/>
          <w:sz w:val="22"/>
          <w:szCs w:val="22"/>
        </w:rPr>
      </w:pPr>
      <w:r w:rsidRPr="00794EB9">
        <w:rPr>
          <w:rFonts w:ascii="Arial" w:hAnsi="Arial" w:cs="Arial"/>
          <w:sz w:val="22"/>
          <w:szCs w:val="22"/>
        </w:rPr>
        <w:t>OBJETIVO 2.4.1 Consolidar un sector agroalimentario productivo, que garantice la seguridad alimentaria en el estado</w:t>
      </w:r>
    </w:p>
    <w:p w14:paraId="7F3BBEF2" w14:textId="77777777" w:rsidR="00794EB9" w:rsidRPr="00794EB9" w:rsidRDefault="00794EB9" w:rsidP="0018463D">
      <w:pPr>
        <w:pStyle w:val="Prrafodelista"/>
        <w:numPr>
          <w:ilvl w:val="1"/>
          <w:numId w:val="19"/>
        </w:numPr>
        <w:suppressAutoHyphens/>
        <w:ind w:left="1637" w:hanging="357"/>
        <w:jc w:val="both"/>
        <w:textDirection w:val="btLr"/>
        <w:textAlignment w:val="top"/>
        <w:outlineLvl w:val="0"/>
        <w:rPr>
          <w:rFonts w:ascii="Arial" w:hAnsi="Arial" w:cs="Arial"/>
          <w:sz w:val="22"/>
          <w:szCs w:val="22"/>
        </w:rPr>
      </w:pPr>
      <w:r w:rsidRPr="00794EB9">
        <w:rPr>
          <w:rFonts w:ascii="Arial" w:hAnsi="Arial" w:cs="Arial"/>
          <w:sz w:val="22"/>
          <w:szCs w:val="22"/>
        </w:rPr>
        <w:t>OBJETIVO 3.2.1 Lograr una administración sostenible del territorio, que impulse el desarrollo de comunidades y ciudades humanas y sostenibles</w:t>
      </w:r>
    </w:p>
    <w:p w14:paraId="321942A0" w14:textId="77777777" w:rsidR="00794EB9" w:rsidRPr="00794EB9" w:rsidRDefault="00794EB9" w:rsidP="00794EB9">
      <w:pPr>
        <w:pStyle w:val="Prrafodelista"/>
        <w:ind w:left="1637"/>
        <w:jc w:val="both"/>
        <w:rPr>
          <w:rFonts w:ascii="Arial" w:hAnsi="Arial" w:cs="Arial"/>
          <w:sz w:val="22"/>
          <w:szCs w:val="22"/>
        </w:rPr>
      </w:pPr>
    </w:p>
    <w:p w14:paraId="0E1DBF95" w14:textId="77777777" w:rsidR="00794EB9" w:rsidRPr="00794EB9" w:rsidRDefault="00794EB9" w:rsidP="0018463D">
      <w:pPr>
        <w:pStyle w:val="Prrafodelista"/>
        <w:numPr>
          <w:ilvl w:val="0"/>
          <w:numId w:val="19"/>
        </w:numPr>
        <w:suppressAutoHyphens/>
        <w:ind w:hanging="357"/>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264B673C" w14:textId="77777777" w:rsidR="00794EB9" w:rsidRPr="00794EB9" w:rsidRDefault="00794EB9" w:rsidP="0018463D">
      <w:pPr>
        <w:pStyle w:val="Prrafodelista"/>
        <w:numPr>
          <w:ilvl w:val="1"/>
          <w:numId w:val="18"/>
        </w:numPr>
        <w:suppressAutoHyphens/>
        <w:ind w:hanging="357"/>
        <w:jc w:val="both"/>
        <w:textAlignment w:val="top"/>
        <w:outlineLvl w:val="0"/>
        <w:rPr>
          <w:rFonts w:ascii="Arial" w:hAnsi="Arial" w:cs="Arial"/>
          <w:sz w:val="22"/>
          <w:szCs w:val="22"/>
        </w:rPr>
      </w:pPr>
      <w:r w:rsidRPr="00794EB9">
        <w:rPr>
          <w:rFonts w:ascii="Arial" w:hAnsi="Arial" w:cs="Arial"/>
          <w:sz w:val="22"/>
          <w:szCs w:val="22"/>
        </w:rPr>
        <w:t>Pilar 1.6 Modelo urbano integrador. Lograr una ciudad incluyente, accesible, consolidada y densificada con procesos de regeneración, ordenamiento e integración entre los sistemas de movilidad e infraestructura verde.</w:t>
      </w:r>
    </w:p>
    <w:p w14:paraId="35C433CD"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jc w:val="center"/>
        <w:tblCellMar>
          <w:top w:w="57" w:type="dxa"/>
          <w:bottom w:w="57" w:type="dxa"/>
        </w:tblCellMar>
        <w:tblLook w:val="04A0" w:firstRow="1" w:lastRow="0" w:firstColumn="1" w:lastColumn="0" w:noHBand="0" w:noVBand="1"/>
      </w:tblPr>
      <w:tblGrid>
        <w:gridCol w:w="1818"/>
        <w:gridCol w:w="2090"/>
        <w:gridCol w:w="1708"/>
        <w:gridCol w:w="1389"/>
        <w:gridCol w:w="1823"/>
      </w:tblGrid>
      <w:tr w:rsidR="00794EB9" w:rsidRPr="00794EB9" w14:paraId="32C45B95" w14:textId="77777777" w:rsidTr="00C307FB">
        <w:trPr>
          <w:trHeight w:val="57"/>
          <w:jc w:val="center"/>
        </w:trPr>
        <w:tc>
          <w:tcPr>
            <w:tcW w:w="950" w:type="pct"/>
            <w:tcBorders>
              <w:top w:val="single" w:sz="4" w:space="0" w:color="auto"/>
            </w:tcBorders>
            <w:shd w:val="clear" w:color="auto" w:fill="E8E7E9"/>
            <w:vAlign w:val="center"/>
          </w:tcPr>
          <w:p w14:paraId="4304127E"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E8E7E9"/>
            <w:vAlign w:val="center"/>
          </w:tcPr>
          <w:p w14:paraId="0E464F82"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E8E7E9"/>
            <w:vAlign w:val="center"/>
          </w:tcPr>
          <w:p w14:paraId="3A64D8A3"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E8E7E9"/>
            <w:vAlign w:val="center"/>
          </w:tcPr>
          <w:p w14:paraId="49D7B7B6"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84" w:type="pct"/>
            <w:tcBorders>
              <w:top w:val="single" w:sz="4" w:space="0" w:color="auto"/>
            </w:tcBorders>
            <w:shd w:val="clear" w:color="auto" w:fill="E8E7E9"/>
            <w:vAlign w:val="center"/>
          </w:tcPr>
          <w:p w14:paraId="73AF9A6E"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7AA20705" w14:textId="77777777" w:rsidTr="00C307FB">
        <w:trPr>
          <w:trHeight w:val="57"/>
          <w:jc w:val="center"/>
        </w:trPr>
        <w:tc>
          <w:tcPr>
            <w:tcW w:w="950" w:type="pct"/>
            <w:vAlign w:val="center"/>
          </w:tcPr>
          <w:p w14:paraId="31FA3314"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Densidad de la zona urbana</w:t>
            </w:r>
          </w:p>
        </w:tc>
        <w:tc>
          <w:tcPr>
            <w:tcW w:w="1236" w:type="pct"/>
            <w:vAlign w:val="center"/>
          </w:tcPr>
          <w:p w14:paraId="668658D6"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la relación entre la zona urbana y el número de personas que la habitan, en este caso, habitantes por hectárea.</w:t>
            </w:r>
          </w:p>
        </w:tc>
        <w:tc>
          <w:tcPr>
            <w:tcW w:w="891" w:type="pct"/>
            <w:vAlign w:val="center"/>
          </w:tcPr>
          <w:p w14:paraId="4B0AEA06"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68.44 habitantes por hectárea</w:t>
            </w:r>
          </w:p>
        </w:tc>
        <w:tc>
          <w:tcPr>
            <w:tcW w:w="839" w:type="pct"/>
            <w:vAlign w:val="center"/>
          </w:tcPr>
          <w:p w14:paraId="7CC0D1A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 Cálculos propios con información de INEGI. Censo de Población y Vivienda 2020.</w:t>
            </w:r>
          </w:p>
        </w:tc>
        <w:tc>
          <w:tcPr>
            <w:tcW w:w="1084" w:type="pct"/>
            <w:vAlign w:val="center"/>
          </w:tcPr>
          <w:p w14:paraId="0C38D076"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t>Aumentar a 75 habitantes por hectárea</w:t>
            </w:r>
          </w:p>
        </w:tc>
      </w:tr>
      <w:tr w:rsidR="00794EB9" w:rsidRPr="00794EB9" w14:paraId="283C3799" w14:textId="77777777" w:rsidTr="00C307FB">
        <w:trPr>
          <w:trHeight w:val="820"/>
          <w:jc w:val="center"/>
        </w:trPr>
        <w:tc>
          <w:tcPr>
            <w:tcW w:w="950" w:type="pct"/>
            <w:vAlign w:val="center"/>
          </w:tcPr>
          <w:p w14:paraId="34F447F3"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Porcentaje de acciones implementadas para la infraestructura verde</w:t>
            </w:r>
          </w:p>
          <w:p w14:paraId="1A78F5F1" w14:textId="77777777" w:rsidR="00794EB9" w:rsidRPr="00794EB9" w:rsidRDefault="00794EB9" w:rsidP="00C307FB">
            <w:pPr>
              <w:ind w:hanging="2"/>
              <w:jc w:val="center"/>
              <w:rPr>
                <w:rFonts w:ascii="Arial" w:hAnsi="Arial" w:cs="Arial"/>
                <w:b/>
                <w:iCs/>
                <w:sz w:val="22"/>
                <w:szCs w:val="22"/>
              </w:rPr>
            </w:pPr>
          </w:p>
        </w:tc>
        <w:tc>
          <w:tcPr>
            <w:tcW w:w="1236" w:type="pct"/>
            <w:vAlign w:val="center"/>
          </w:tcPr>
          <w:p w14:paraId="2D7FEF06"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Porcentaje de programas implementados para la infraestructura verde, conformada por nodos primarios - parques metropolitanos, secundarios - parques urbanos y jardines públicos, conectores fluviales - parques lineales, no fluviales - ciclovías y andadores peatonales.</w:t>
            </w:r>
          </w:p>
        </w:tc>
        <w:tc>
          <w:tcPr>
            <w:tcW w:w="891" w:type="pct"/>
            <w:vAlign w:val="center"/>
          </w:tcPr>
          <w:p w14:paraId="2001962B"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50%</w:t>
            </w:r>
          </w:p>
          <w:p w14:paraId="77EAB30E"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 xml:space="preserve">Programas implementados </w:t>
            </w:r>
          </w:p>
        </w:tc>
        <w:tc>
          <w:tcPr>
            <w:tcW w:w="839" w:type="pct"/>
            <w:vAlign w:val="center"/>
          </w:tcPr>
          <w:p w14:paraId="01E40C36"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w:t>
            </w:r>
          </w:p>
          <w:p w14:paraId="24B52B4A"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84" w:type="pct"/>
            <w:vAlign w:val="center"/>
          </w:tcPr>
          <w:p w14:paraId="554A8E26"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t>Conformar y consolidar la red de infraestructura verde a través de 10 programas, con un planteamiento de diseño y planificación basada en los ecosistemas naturales - urbanismo ecológico.</w:t>
            </w:r>
          </w:p>
        </w:tc>
      </w:tr>
    </w:tbl>
    <w:p w14:paraId="292DC2B9" w14:textId="77777777" w:rsidR="00794EB9" w:rsidRPr="00794EB9" w:rsidRDefault="00794EB9" w:rsidP="00794EB9">
      <w:pPr>
        <w:jc w:val="both"/>
        <w:rPr>
          <w:rFonts w:ascii="Arial" w:hAnsi="Arial" w:cs="Arial"/>
          <w:sz w:val="22"/>
          <w:szCs w:val="22"/>
        </w:rPr>
      </w:pPr>
    </w:p>
    <w:p w14:paraId="5B93FA63"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2.2 Desarrollo rural sustentable. Aumentar la productividad y la eficiencia del sector agroalimentario, consolidando un modelo de desarrollo rural sostenible, incluyente y articulado.</w:t>
      </w:r>
    </w:p>
    <w:p w14:paraId="56F9973B"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CellMar>
          <w:top w:w="57" w:type="dxa"/>
          <w:bottom w:w="57" w:type="dxa"/>
        </w:tblCellMar>
        <w:tblLook w:val="04A0" w:firstRow="1" w:lastRow="0" w:firstColumn="1" w:lastColumn="0" w:noHBand="0" w:noVBand="1"/>
      </w:tblPr>
      <w:tblGrid>
        <w:gridCol w:w="1708"/>
        <w:gridCol w:w="2124"/>
        <w:gridCol w:w="1429"/>
        <w:gridCol w:w="1757"/>
        <w:gridCol w:w="1810"/>
      </w:tblGrid>
      <w:tr w:rsidR="00794EB9" w:rsidRPr="00794EB9" w14:paraId="7CDCC189" w14:textId="77777777" w:rsidTr="00C307FB">
        <w:trPr>
          <w:trHeight w:val="57"/>
        </w:trPr>
        <w:tc>
          <w:tcPr>
            <w:tcW w:w="973" w:type="pct"/>
            <w:tcBorders>
              <w:top w:val="single" w:sz="4" w:space="0" w:color="auto"/>
            </w:tcBorders>
            <w:shd w:val="clear" w:color="auto" w:fill="E8E7E9"/>
            <w:vAlign w:val="center"/>
          </w:tcPr>
          <w:p w14:paraId="402BA885"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37" w:type="pct"/>
            <w:tcBorders>
              <w:top w:val="single" w:sz="4" w:space="0" w:color="auto"/>
            </w:tcBorders>
            <w:shd w:val="clear" w:color="auto" w:fill="E8E7E9"/>
            <w:vAlign w:val="center"/>
          </w:tcPr>
          <w:p w14:paraId="65ECDA58"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29" w:type="pct"/>
            <w:tcBorders>
              <w:top w:val="single" w:sz="4" w:space="0" w:color="auto"/>
            </w:tcBorders>
            <w:shd w:val="clear" w:color="auto" w:fill="E8E7E9"/>
            <w:vAlign w:val="center"/>
          </w:tcPr>
          <w:p w14:paraId="4A814E9D"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6" w:type="pct"/>
            <w:tcBorders>
              <w:top w:val="single" w:sz="4" w:space="0" w:color="auto"/>
            </w:tcBorders>
            <w:shd w:val="clear" w:color="auto" w:fill="E8E7E9"/>
            <w:vAlign w:val="center"/>
          </w:tcPr>
          <w:p w14:paraId="5DB1C569"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45" w:type="pct"/>
            <w:tcBorders>
              <w:top w:val="single" w:sz="4" w:space="0" w:color="auto"/>
            </w:tcBorders>
            <w:shd w:val="clear" w:color="auto" w:fill="E8E7E9"/>
            <w:vAlign w:val="center"/>
          </w:tcPr>
          <w:p w14:paraId="07EF27F6"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Meta 2030</w:t>
            </w:r>
          </w:p>
        </w:tc>
      </w:tr>
      <w:tr w:rsidR="00794EB9" w:rsidRPr="00794EB9" w14:paraId="61306E98" w14:textId="77777777" w:rsidTr="00C307FB">
        <w:trPr>
          <w:trHeight w:val="57"/>
        </w:trPr>
        <w:tc>
          <w:tcPr>
            <w:tcW w:w="973" w:type="pct"/>
            <w:tcBorders>
              <w:top w:val="single" w:sz="4" w:space="0" w:color="auto"/>
            </w:tcBorders>
            <w:vAlign w:val="center"/>
          </w:tcPr>
          <w:p w14:paraId="3BF99550"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bCs/>
                <w:sz w:val="22"/>
                <w:szCs w:val="22"/>
              </w:rPr>
              <w:t>Valor de la producción agrícola de riego</w:t>
            </w:r>
          </w:p>
        </w:tc>
        <w:tc>
          <w:tcPr>
            <w:tcW w:w="1237" w:type="pct"/>
            <w:tcBorders>
              <w:top w:val="single" w:sz="4" w:space="0" w:color="auto"/>
            </w:tcBorders>
            <w:vAlign w:val="center"/>
          </w:tcPr>
          <w:p w14:paraId="70E1F14E"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valor de la producción agrícola de riego de un año.</w:t>
            </w:r>
          </w:p>
        </w:tc>
        <w:tc>
          <w:tcPr>
            <w:tcW w:w="829" w:type="pct"/>
            <w:tcBorders>
              <w:top w:val="single" w:sz="4" w:space="0" w:color="auto"/>
            </w:tcBorders>
            <w:vAlign w:val="center"/>
          </w:tcPr>
          <w:p w14:paraId="26F335F9"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543 millones 514 mil 800 pesos</w:t>
            </w:r>
          </w:p>
        </w:tc>
        <w:tc>
          <w:tcPr>
            <w:tcW w:w="916" w:type="pct"/>
            <w:tcBorders>
              <w:top w:val="single" w:sz="4" w:space="0" w:color="auto"/>
            </w:tcBorders>
            <w:vAlign w:val="center"/>
          </w:tcPr>
          <w:p w14:paraId="5B6A560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SAGARPA. Sistema de Información Agroalimentaria y Pesquera. 2019</w:t>
            </w:r>
          </w:p>
        </w:tc>
        <w:tc>
          <w:tcPr>
            <w:tcW w:w="1045" w:type="pct"/>
            <w:tcBorders>
              <w:top w:val="single" w:sz="4" w:space="0" w:color="auto"/>
            </w:tcBorders>
            <w:vAlign w:val="center"/>
          </w:tcPr>
          <w:p w14:paraId="1972B903"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585 millones de pesos</w:t>
            </w:r>
          </w:p>
        </w:tc>
      </w:tr>
      <w:tr w:rsidR="00794EB9" w:rsidRPr="00794EB9" w14:paraId="30DD70A4" w14:textId="77777777" w:rsidTr="00C307FB">
        <w:trPr>
          <w:trHeight w:val="57"/>
        </w:trPr>
        <w:tc>
          <w:tcPr>
            <w:tcW w:w="973" w:type="pct"/>
            <w:tcBorders>
              <w:bottom w:val="single" w:sz="4" w:space="0" w:color="auto"/>
            </w:tcBorders>
            <w:vAlign w:val="center"/>
          </w:tcPr>
          <w:p w14:paraId="1A0FBA80"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bCs/>
                <w:sz w:val="22"/>
                <w:szCs w:val="22"/>
              </w:rPr>
              <w:t>Valor de las exportaciones del sector agroindustrial</w:t>
            </w:r>
          </w:p>
        </w:tc>
        <w:tc>
          <w:tcPr>
            <w:tcW w:w="1237" w:type="pct"/>
            <w:tcBorders>
              <w:bottom w:val="single" w:sz="4" w:space="0" w:color="auto"/>
            </w:tcBorders>
            <w:vAlign w:val="center"/>
          </w:tcPr>
          <w:p w14:paraId="68728EF3"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Monto de las exportaciones del sector agroindustrial.</w:t>
            </w:r>
          </w:p>
        </w:tc>
        <w:tc>
          <w:tcPr>
            <w:tcW w:w="829" w:type="pct"/>
            <w:tcBorders>
              <w:bottom w:val="single" w:sz="4" w:space="0" w:color="auto"/>
            </w:tcBorders>
            <w:vAlign w:val="center"/>
          </w:tcPr>
          <w:p w14:paraId="0DE2E0F0"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13.3 millones de dólares</w:t>
            </w:r>
          </w:p>
        </w:tc>
        <w:tc>
          <w:tcPr>
            <w:tcW w:w="916" w:type="pct"/>
            <w:tcBorders>
              <w:bottom w:val="single" w:sz="4" w:space="0" w:color="auto"/>
            </w:tcBorders>
            <w:vAlign w:val="center"/>
          </w:tcPr>
          <w:p w14:paraId="53DC16C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Coordinadora de Fomento al Comercio Exterior. Primer semestre 2020</w:t>
            </w:r>
          </w:p>
        </w:tc>
        <w:tc>
          <w:tcPr>
            <w:tcW w:w="1045" w:type="pct"/>
            <w:tcBorders>
              <w:bottom w:val="single" w:sz="4" w:space="0" w:color="auto"/>
            </w:tcBorders>
            <w:vAlign w:val="center"/>
          </w:tcPr>
          <w:p w14:paraId="3D63987B"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19 millones de dólares</w:t>
            </w:r>
          </w:p>
        </w:tc>
      </w:tr>
      <w:tr w:rsidR="00794EB9" w:rsidRPr="00794EB9" w14:paraId="0A505497" w14:textId="77777777" w:rsidTr="00C307FB">
        <w:trPr>
          <w:trHeight w:val="57"/>
        </w:trPr>
        <w:tc>
          <w:tcPr>
            <w:tcW w:w="973" w:type="pct"/>
            <w:tcBorders>
              <w:bottom w:val="single" w:sz="4" w:space="0" w:color="auto"/>
            </w:tcBorders>
            <w:vAlign w:val="center"/>
          </w:tcPr>
          <w:p w14:paraId="3A3701C5"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bCs/>
                <w:sz w:val="22"/>
                <w:szCs w:val="22"/>
              </w:rPr>
              <w:t>Valor de la producción de carne en canal y otros productos de origen animal</w:t>
            </w:r>
          </w:p>
        </w:tc>
        <w:tc>
          <w:tcPr>
            <w:tcW w:w="1237" w:type="pct"/>
            <w:tcBorders>
              <w:bottom w:val="single" w:sz="4" w:space="0" w:color="auto"/>
            </w:tcBorders>
            <w:vAlign w:val="center"/>
          </w:tcPr>
          <w:p w14:paraId="6B4BB343"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valor de la producción de carne en canal de bovino, porcino, ovino, caprino y aves, además de leche, huevo y miel, de un año.</w:t>
            </w:r>
          </w:p>
        </w:tc>
        <w:tc>
          <w:tcPr>
            <w:tcW w:w="829" w:type="pct"/>
            <w:tcBorders>
              <w:bottom w:val="single" w:sz="4" w:space="0" w:color="auto"/>
            </w:tcBorders>
            <w:vAlign w:val="center"/>
          </w:tcPr>
          <w:p w14:paraId="5229033B"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706 millones 969 mil 400 pesos</w:t>
            </w:r>
          </w:p>
        </w:tc>
        <w:tc>
          <w:tcPr>
            <w:tcW w:w="916" w:type="pct"/>
            <w:tcBorders>
              <w:bottom w:val="single" w:sz="4" w:space="0" w:color="auto"/>
            </w:tcBorders>
            <w:vAlign w:val="center"/>
          </w:tcPr>
          <w:p w14:paraId="0A6DCBD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SAGARPA. Sistema de Información Agroalimentaria y Pesquera. 2019</w:t>
            </w:r>
          </w:p>
        </w:tc>
        <w:tc>
          <w:tcPr>
            <w:tcW w:w="1045" w:type="pct"/>
            <w:tcBorders>
              <w:bottom w:val="single" w:sz="4" w:space="0" w:color="auto"/>
            </w:tcBorders>
            <w:vAlign w:val="center"/>
          </w:tcPr>
          <w:p w14:paraId="3132F0E5"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830 millones de pesos</w:t>
            </w:r>
          </w:p>
        </w:tc>
      </w:tr>
    </w:tbl>
    <w:p w14:paraId="46C9DEB3" w14:textId="77777777" w:rsidR="00794EB9" w:rsidRPr="00794EB9" w:rsidRDefault="00794EB9" w:rsidP="00794EB9">
      <w:pPr>
        <w:jc w:val="both"/>
        <w:rPr>
          <w:rFonts w:ascii="Arial" w:hAnsi="Arial" w:cs="Arial"/>
          <w:sz w:val="22"/>
          <w:szCs w:val="22"/>
        </w:rPr>
      </w:pPr>
    </w:p>
    <w:p w14:paraId="49715B8F"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2.4 Fortalecimiento de sectores estratégicos y de la economía local. Impulsar los sectores que muestran un alto potencial de desarrollo favoreciendo la diversificación y el fortalecimiento de la economía local.</w:t>
      </w:r>
    </w:p>
    <w:p w14:paraId="1CD25152"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CellMar>
          <w:top w:w="57" w:type="dxa"/>
          <w:bottom w:w="57" w:type="dxa"/>
        </w:tblCellMar>
        <w:tblLook w:val="04A0" w:firstRow="1" w:lastRow="0" w:firstColumn="1" w:lastColumn="0" w:noHBand="0" w:noVBand="1"/>
      </w:tblPr>
      <w:tblGrid>
        <w:gridCol w:w="1718"/>
        <w:gridCol w:w="2184"/>
        <w:gridCol w:w="1464"/>
        <w:gridCol w:w="1617"/>
        <w:gridCol w:w="1845"/>
      </w:tblGrid>
      <w:tr w:rsidR="00794EB9" w:rsidRPr="00794EB9" w14:paraId="5C5B4EFE" w14:textId="77777777" w:rsidTr="00C307FB">
        <w:trPr>
          <w:trHeight w:val="57"/>
        </w:trPr>
        <w:tc>
          <w:tcPr>
            <w:tcW w:w="973" w:type="pct"/>
            <w:tcBorders>
              <w:top w:val="single" w:sz="4" w:space="0" w:color="auto"/>
            </w:tcBorders>
            <w:shd w:val="clear" w:color="auto" w:fill="E8E7E9"/>
            <w:vAlign w:val="center"/>
          </w:tcPr>
          <w:p w14:paraId="4B867E7F"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37" w:type="pct"/>
            <w:tcBorders>
              <w:top w:val="single" w:sz="4" w:space="0" w:color="auto"/>
            </w:tcBorders>
            <w:shd w:val="clear" w:color="auto" w:fill="E8E7E9"/>
            <w:vAlign w:val="center"/>
          </w:tcPr>
          <w:p w14:paraId="01AFA176"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29" w:type="pct"/>
            <w:tcBorders>
              <w:top w:val="single" w:sz="4" w:space="0" w:color="auto"/>
            </w:tcBorders>
            <w:shd w:val="clear" w:color="auto" w:fill="E8E7E9"/>
            <w:vAlign w:val="center"/>
          </w:tcPr>
          <w:p w14:paraId="49D1DEBE"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6" w:type="pct"/>
            <w:tcBorders>
              <w:top w:val="single" w:sz="4" w:space="0" w:color="auto"/>
            </w:tcBorders>
            <w:shd w:val="clear" w:color="auto" w:fill="E8E7E9"/>
            <w:vAlign w:val="center"/>
          </w:tcPr>
          <w:p w14:paraId="135B05AE"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45" w:type="pct"/>
            <w:tcBorders>
              <w:top w:val="single" w:sz="4" w:space="0" w:color="auto"/>
            </w:tcBorders>
            <w:shd w:val="clear" w:color="auto" w:fill="E8E7E9"/>
            <w:vAlign w:val="center"/>
          </w:tcPr>
          <w:p w14:paraId="25F5A8D9"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6DEA9E3B" w14:textId="77777777" w:rsidTr="00C307FB">
        <w:trPr>
          <w:trHeight w:val="57"/>
        </w:trPr>
        <w:tc>
          <w:tcPr>
            <w:tcW w:w="973" w:type="pct"/>
            <w:vAlign w:val="center"/>
          </w:tcPr>
          <w:p w14:paraId="35F24F06"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bCs/>
                <w:sz w:val="22"/>
                <w:szCs w:val="22"/>
              </w:rPr>
              <w:t>Derrama económica del sector turismo</w:t>
            </w:r>
          </w:p>
        </w:tc>
        <w:tc>
          <w:tcPr>
            <w:tcW w:w="1237" w:type="pct"/>
            <w:vAlign w:val="center"/>
          </w:tcPr>
          <w:p w14:paraId="2BCE7079"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el valor promedio (en pesos corrientes) de los gastos que son realizados por los visitantes al municipio.</w:t>
            </w:r>
          </w:p>
        </w:tc>
        <w:tc>
          <w:tcPr>
            <w:tcW w:w="829" w:type="pct"/>
            <w:vAlign w:val="center"/>
          </w:tcPr>
          <w:p w14:paraId="29BD9CE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 mil 854 millones de pesos</w:t>
            </w:r>
          </w:p>
        </w:tc>
        <w:tc>
          <w:tcPr>
            <w:tcW w:w="916" w:type="pct"/>
            <w:vAlign w:val="center"/>
          </w:tcPr>
          <w:p w14:paraId="6A387C8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Observatorio Turístico del Estado de Guanajuato. Perfil del visitante. 2019</w:t>
            </w:r>
          </w:p>
        </w:tc>
        <w:tc>
          <w:tcPr>
            <w:tcW w:w="1045" w:type="pct"/>
            <w:vAlign w:val="center"/>
          </w:tcPr>
          <w:p w14:paraId="140DBBCF"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27 mil millones de pesos</w:t>
            </w:r>
          </w:p>
        </w:tc>
      </w:tr>
    </w:tbl>
    <w:p w14:paraId="5CC539D0" w14:textId="77777777" w:rsidR="00794EB9" w:rsidRPr="00794EB9" w:rsidRDefault="00794EB9" w:rsidP="00794EB9">
      <w:pPr>
        <w:jc w:val="both"/>
        <w:rPr>
          <w:rFonts w:ascii="Arial" w:hAnsi="Arial" w:cs="Arial"/>
          <w:sz w:val="22"/>
          <w:szCs w:val="22"/>
        </w:rPr>
      </w:pPr>
    </w:p>
    <w:p w14:paraId="1547CE7C"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3.1 Recreación accesible y de calidad. Ampliar la oferta de sitios y opciones de recreación y esparcimiento, con altos estándares de calidad, que sean accesibles para las y los leoneses y visitantes.</w:t>
      </w:r>
    </w:p>
    <w:p w14:paraId="7EC9306D"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08E4FF7D" w14:textId="77777777" w:rsidTr="00C307FB">
        <w:trPr>
          <w:trHeight w:val="57"/>
        </w:trPr>
        <w:tc>
          <w:tcPr>
            <w:tcW w:w="1048" w:type="pct"/>
            <w:tcBorders>
              <w:bottom w:val="single" w:sz="4" w:space="0" w:color="auto"/>
            </w:tcBorders>
            <w:shd w:val="clear" w:color="auto" w:fill="E8E7E9"/>
            <w:vAlign w:val="center"/>
          </w:tcPr>
          <w:p w14:paraId="0753CD72"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tcBorders>
              <w:bottom w:val="single" w:sz="4" w:space="0" w:color="auto"/>
            </w:tcBorders>
            <w:shd w:val="clear" w:color="auto" w:fill="E8E7E9"/>
            <w:vAlign w:val="center"/>
          </w:tcPr>
          <w:p w14:paraId="34FD4E07"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tcBorders>
              <w:bottom w:val="single" w:sz="4" w:space="0" w:color="auto"/>
            </w:tcBorders>
            <w:shd w:val="clear" w:color="auto" w:fill="E8E7E9"/>
            <w:vAlign w:val="center"/>
          </w:tcPr>
          <w:p w14:paraId="74A7448C"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50" w:type="pct"/>
            <w:tcBorders>
              <w:bottom w:val="single" w:sz="4" w:space="0" w:color="auto"/>
            </w:tcBorders>
            <w:shd w:val="clear" w:color="auto" w:fill="E8E7E9"/>
            <w:vAlign w:val="center"/>
          </w:tcPr>
          <w:p w14:paraId="4FFD9F2D"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07" w:type="pct"/>
            <w:tcBorders>
              <w:bottom w:val="single" w:sz="4" w:space="0" w:color="auto"/>
            </w:tcBorders>
            <w:shd w:val="clear" w:color="auto" w:fill="E8E7E9"/>
            <w:vAlign w:val="center"/>
          </w:tcPr>
          <w:p w14:paraId="4FD065FA"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284230B4" w14:textId="77777777" w:rsidTr="00C307FB">
        <w:trPr>
          <w:trHeight w:val="57"/>
        </w:trPr>
        <w:tc>
          <w:tcPr>
            <w:tcW w:w="1048" w:type="pct"/>
            <w:tcBorders>
              <w:bottom w:val="single" w:sz="4" w:space="0" w:color="auto"/>
            </w:tcBorders>
            <w:shd w:val="clear" w:color="auto" w:fill="auto"/>
            <w:vAlign w:val="center"/>
          </w:tcPr>
          <w:p w14:paraId="542A25D1"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 xml:space="preserve">Superficie de espacios públicos </w:t>
            </w:r>
          </w:p>
        </w:tc>
        <w:tc>
          <w:tcPr>
            <w:tcW w:w="1246" w:type="pct"/>
            <w:tcBorders>
              <w:bottom w:val="single" w:sz="4" w:space="0" w:color="auto"/>
            </w:tcBorders>
            <w:shd w:val="clear" w:color="auto" w:fill="auto"/>
            <w:vAlign w:val="center"/>
          </w:tcPr>
          <w:p w14:paraId="6FF9A0BC" w14:textId="77777777" w:rsidR="00794EB9" w:rsidRPr="00794EB9" w:rsidRDefault="00794EB9" w:rsidP="00C307FB">
            <w:pPr>
              <w:ind w:hanging="2"/>
              <w:rPr>
                <w:rFonts w:ascii="Arial" w:hAnsi="Arial" w:cs="Arial"/>
                <w:b/>
                <w:bCs/>
                <w:sz w:val="22"/>
                <w:szCs w:val="22"/>
              </w:rPr>
            </w:pPr>
            <w:r w:rsidRPr="00794EB9">
              <w:rPr>
                <w:rFonts w:ascii="Arial" w:hAnsi="Arial" w:cs="Arial"/>
                <w:sz w:val="22"/>
                <w:szCs w:val="22"/>
              </w:rPr>
              <w:t xml:space="preserve">Es la suma conformada por los espacios públicos </w:t>
            </w:r>
            <w:r w:rsidRPr="00794EB9">
              <w:rPr>
                <w:rFonts w:ascii="Arial" w:hAnsi="Arial" w:cs="Arial"/>
                <w:sz w:val="22"/>
                <w:szCs w:val="22"/>
              </w:rPr>
              <w:lastRenderedPageBreak/>
              <w:t>como áreas verdes, parques, parques lineales y plazas que se encuentran dentro de la zona urbana y prestan un beneficio para el intercambio del tejido social.</w:t>
            </w:r>
          </w:p>
        </w:tc>
        <w:tc>
          <w:tcPr>
            <w:tcW w:w="849" w:type="pct"/>
            <w:tcBorders>
              <w:bottom w:val="single" w:sz="4" w:space="0" w:color="auto"/>
            </w:tcBorders>
            <w:shd w:val="clear" w:color="auto" w:fill="auto"/>
            <w:vAlign w:val="center"/>
          </w:tcPr>
          <w:p w14:paraId="56983605" w14:textId="77777777" w:rsidR="00794EB9" w:rsidRPr="00794EB9" w:rsidRDefault="00794EB9" w:rsidP="00C307FB">
            <w:pPr>
              <w:ind w:hanging="2"/>
              <w:jc w:val="center"/>
              <w:rPr>
                <w:rFonts w:ascii="Arial" w:hAnsi="Arial" w:cs="Arial"/>
                <w:b/>
                <w:bCs/>
                <w:sz w:val="22"/>
                <w:szCs w:val="22"/>
              </w:rPr>
            </w:pPr>
            <w:r w:rsidRPr="00794EB9">
              <w:rPr>
                <w:rFonts w:ascii="Arial" w:hAnsi="Arial" w:cs="Arial"/>
                <w:sz w:val="22"/>
                <w:szCs w:val="22"/>
              </w:rPr>
              <w:lastRenderedPageBreak/>
              <w:t>816.1 Hectáreas</w:t>
            </w:r>
          </w:p>
        </w:tc>
        <w:tc>
          <w:tcPr>
            <w:tcW w:w="850" w:type="pct"/>
            <w:tcBorders>
              <w:bottom w:val="single" w:sz="4" w:space="0" w:color="auto"/>
            </w:tcBorders>
            <w:shd w:val="clear" w:color="auto" w:fill="auto"/>
            <w:vAlign w:val="center"/>
          </w:tcPr>
          <w:p w14:paraId="285D430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w:t>
            </w:r>
          </w:p>
          <w:p w14:paraId="1CE1E60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07" w:type="pct"/>
            <w:tcBorders>
              <w:bottom w:val="single" w:sz="4" w:space="0" w:color="auto"/>
            </w:tcBorders>
            <w:shd w:val="clear" w:color="auto" w:fill="auto"/>
            <w:vAlign w:val="center"/>
          </w:tcPr>
          <w:p w14:paraId="2143272A"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 xml:space="preserve">Incrementar a 827 Hectáreas la superficie </w:t>
            </w:r>
            <w:r w:rsidRPr="00794EB9">
              <w:rPr>
                <w:rFonts w:ascii="Arial" w:hAnsi="Arial" w:cs="Arial"/>
                <w:b/>
                <w:bCs/>
                <w:sz w:val="22"/>
                <w:szCs w:val="22"/>
              </w:rPr>
              <w:lastRenderedPageBreak/>
              <w:t>de espacios públicos</w:t>
            </w:r>
          </w:p>
        </w:tc>
      </w:tr>
      <w:tr w:rsidR="00794EB9" w:rsidRPr="00794EB9" w14:paraId="32F91EDC" w14:textId="77777777" w:rsidTr="00C307FB">
        <w:trPr>
          <w:trHeight w:val="57"/>
        </w:trPr>
        <w:tc>
          <w:tcPr>
            <w:tcW w:w="1048" w:type="pct"/>
            <w:tcBorders>
              <w:bottom w:val="single" w:sz="4" w:space="0" w:color="auto"/>
            </w:tcBorders>
            <w:shd w:val="clear" w:color="auto" w:fill="auto"/>
            <w:vAlign w:val="center"/>
          </w:tcPr>
          <w:p w14:paraId="0E5336F2"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lastRenderedPageBreak/>
              <w:t>Porcentaje de cobertura geográfica de los espacios públicos</w:t>
            </w:r>
          </w:p>
          <w:p w14:paraId="296F9551" w14:textId="77777777" w:rsidR="00794EB9" w:rsidRPr="00794EB9" w:rsidRDefault="00794EB9" w:rsidP="00C307FB">
            <w:pPr>
              <w:ind w:hanging="2"/>
              <w:jc w:val="center"/>
              <w:rPr>
                <w:rFonts w:ascii="Arial" w:hAnsi="Arial" w:cs="Arial"/>
                <w:b/>
                <w:bCs/>
                <w:sz w:val="22"/>
                <w:szCs w:val="22"/>
              </w:rPr>
            </w:pPr>
          </w:p>
        </w:tc>
        <w:tc>
          <w:tcPr>
            <w:tcW w:w="1246" w:type="pct"/>
            <w:tcBorders>
              <w:bottom w:val="single" w:sz="4" w:space="0" w:color="auto"/>
            </w:tcBorders>
            <w:shd w:val="clear" w:color="auto" w:fill="auto"/>
            <w:vAlign w:val="center"/>
          </w:tcPr>
          <w:p w14:paraId="38C00F21" w14:textId="77777777" w:rsidR="00794EB9" w:rsidRPr="00794EB9" w:rsidRDefault="00794EB9" w:rsidP="00C307FB">
            <w:pPr>
              <w:ind w:hanging="2"/>
              <w:rPr>
                <w:rFonts w:ascii="Arial" w:hAnsi="Arial" w:cs="Arial"/>
                <w:b/>
                <w:bCs/>
                <w:sz w:val="22"/>
                <w:szCs w:val="22"/>
              </w:rPr>
            </w:pPr>
            <w:r w:rsidRPr="00794EB9">
              <w:rPr>
                <w:rFonts w:ascii="Arial" w:hAnsi="Arial" w:cs="Arial"/>
                <w:sz w:val="22"/>
                <w:szCs w:val="22"/>
              </w:rPr>
              <w:t xml:space="preserve">Es el porcentaje de cobertura geográfica de los espacios públicos como áreas verdes, parques, parques lineales y plazas en un radio de 400 metros </w:t>
            </w:r>
            <w:r w:rsidRPr="00794EB9">
              <w:rPr>
                <w:rFonts w:ascii="Arial" w:hAnsi="Arial" w:cs="Arial"/>
                <w:bCs/>
                <w:sz w:val="22"/>
                <w:szCs w:val="22"/>
              </w:rPr>
              <w:t xml:space="preserve"> de su perímetro en relación al área dentro del límite urbano</w:t>
            </w:r>
            <w:r w:rsidRPr="00794EB9">
              <w:rPr>
                <w:rFonts w:ascii="Arial" w:hAnsi="Arial" w:cs="Arial"/>
                <w:b/>
                <w:bCs/>
                <w:sz w:val="22"/>
                <w:szCs w:val="22"/>
              </w:rPr>
              <w:t>.</w:t>
            </w:r>
          </w:p>
        </w:tc>
        <w:tc>
          <w:tcPr>
            <w:tcW w:w="849" w:type="pct"/>
            <w:tcBorders>
              <w:bottom w:val="single" w:sz="4" w:space="0" w:color="auto"/>
            </w:tcBorders>
            <w:shd w:val="clear" w:color="auto" w:fill="auto"/>
            <w:vAlign w:val="center"/>
          </w:tcPr>
          <w:p w14:paraId="3B114280" w14:textId="77777777" w:rsidR="00794EB9" w:rsidRPr="00794EB9" w:rsidRDefault="00794EB9" w:rsidP="00C307FB">
            <w:pPr>
              <w:ind w:hanging="2"/>
              <w:jc w:val="center"/>
              <w:rPr>
                <w:rFonts w:ascii="Arial" w:hAnsi="Arial" w:cs="Arial"/>
                <w:b/>
                <w:bCs/>
                <w:sz w:val="22"/>
                <w:szCs w:val="22"/>
              </w:rPr>
            </w:pPr>
            <w:r w:rsidRPr="00794EB9">
              <w:rPr>
                <w:rFonts w:ascii="Arial" w:hAnsi="Arial" w:cs="Arial"/>
                <w:sz w:val="22"/>
                <w:szCs w:val="22"/>
              </w:rPr>
              <w:t xml:space="preserve">82.20% de cobertura geográfica de espacios públicos </w:t>
            </w:r>
          </w:p>
        </w:tc>
        <w:tc>
          <w:tcPr>
            <w:tcW w:w="850" w:type="pct"/>
            <w:tcBorders>
              <w:bottom w:val="single" w:sz="4" w:space="0" w:color="auto"/>
            </w:tcBorders>
            <w:shd w:val="clear" w:color="auto" w:fill="auto"/>
            <w:vAlign w:val="center"/>
          </w:tcPr>
          <w:p w14:paraId="2030F65A"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w:t>
            </w:r>
          </w:p>
          <w:p w14:paraId="1167A9F9"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07" w:type="pct"/>
            <w:tcBorders>
              <w:bottom w:val="single" w:sz="4" w:space="0" w:color="auto"/>
            </w:tcBorders>
            <w:shd w:val="clear" w:color="auto" w:fill="auto"/>
            <w:vAlign w:val="center"/>
          </w:tcPr>
          <w:p w14:paraId="50F06FAD"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85%</w:t>
            </w:r>
          </w:p>
        </w:tc>
      </w:tr>
      <w:tr w:rsidR="00794EB9" w:rsidRPr="00794EB9" w14:paraId="2A86348A" w14:textId="77777777" w:rsidTr="00C307FB">
        <w:trPr>
          <w:trHeight w:val="57"/>
        </w:trPr>
        <w:tc>
          <w:tcPr>
            <w:tcW w:w="1048" w:type="pct"/>
            <w:tcBorders>
              <w:bottom w:val="single" w:sz="4" w:space="0" w:color="auto"/>
            </w:tcBorders>
            <w:shd w:val="clear" w:color="auto" w:fill="auto"/>
            <w:vAlign w:val="center"/>
          </w:tcPr>
          <w:p w14:paraId="1A219DB0"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Porcentaje de espacios públicos en buen estado</w:t>
            </w:r>
          </w:p>
        </w:tc>
        <w:tc>
          <w:tcPr>
            <w:tcW w:w="1246" w:type="pct"/>
            <w:tcBorders>
              <w:bottom w:val="single" w:sz="4" w:space="0" w:color="auto"/>
            </w:tcBorders>
            <w:shd w:val="clear" w:color="auto" w:fill="auto"/>
            <w:vAlign w:val="center"/>
          </w:tcPr>
          <w:p w14:paraId="16AB3285" w14:textId="77777777" w:rsidR="00794EB9" w:rsidRPr="00794EB9" w:rsidRDefault="00794EB9" w:rsidP="00C307FB">
            <w:pPr>
              <w:ind w:hanging="2"/>
              <w:rPr>
                <w:rFonts w:ascii="Arial" w:hAnsi="Arial" w:cs="Arial"/>
                <w:b/>
                <w:bCs/>
                <w:sz w:val="22"/>
                <w:szCs w:val="22"/>
              </w:rPr>
            </w:pPr>
            <w:r w:rsidRPr="00794EB9">
              <w:rPr>
                <w:rFonts w:ascii="Arial" w:hAnsi="Arial" w:cs="Arial"/>
                <w:sz w:val="22"/>
                <w:szCs w:val="22"/>
              </w:rPr>
              <w:t>Es el porcentaje de espacios públicos como áreas verdes, parques, parques lineales y plazas, con condiciones físicas en buen estado.</w:t>
            </w:r>
          </w:p>
        </w:tc>
        <w:tc>
          <w:tcPr>
            <w:tcW w:w="849" w:type="pct"/>
            <w:tcBorders>
              <w:bottom w:val="single" w:sz="4" w:space="0" w:color="auto"/>
            </w:tcBorders>
            <w:shd w:val="clear" w:color="auto" w:fill="auto"/>
            <w:vAlign w:val="center"/>
          </w:tcPr>
          <w:p w14:paraId="40BDDA07" w14:textId="77777777" w:rsidR="00794EB9" w:rsidRPr="00794EB9" w:rsidRDefault="00794EB9" w:rsidP="00C307FB">
            <w:pPr>
              <w:ind w:hanging="2"/>
              <w:jc w:val="center"/>
              <w:rPr>
                <w:rFonts w:ascii="Arial" w:hAnsi="Arial" w:cs="Arial"/>
                <w:b/>
                <w:bCs/>
                <w:sz w:val="22"/>
                <w:szCs w:val="22"/>
              </w:rPr>
            </w:pPr>
            <w:r w:rsidRPr="00794EB9">
              <w:rPr>
                <w:rFonts w:ascii="Arial" w:hAnsi="Arial" w:cs="Arial"/>
                <w:sz w:val="22"/>
                <w:szCs w:val="22"/>
              </w:rPr>
              <w:t>74.89% espacios en buenas condiciones</w:t>
            </w:r>
          </w:p>
        </w:tc>
        <w:tc>
          <w:tcPr>
            <w:tcW w:w="850" w:type="pct"/>
            <w:tcBorders>
              <w:bottom w:val="single" w:sz="4" w:space="0" w:color="auto"/>
            </w:tcBorders>
            <w:shd w:val="clear" w:color="auto" w:fill="auto"/>
            <w:vAlign w:val="center"/>
          </w:tcPr>
          <w:p w14:paraId="4E6223D8"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w:t>
            </w:r>
          </w:p>
          <w:p w14:paraId="2606057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07" w:type="pct"/>
            <w:tcBorders>
              <w:bottom w:val="single" w:sz="4" w:space="0" w:color="auto"/>
            </w:tcBorders>
            <w:shd w:val="clear" w:color="auto" w:fill="auto"/>
            <w:vAlign w:val="center"/>
          </w:tcPr>
          <w:p w14:paraId="500D5517"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78%</w:t>
            </w:r>
          </w:p>
        </w:tc>
      </w:tr>
    </w:tbl>
    <w:p w14:paraId="799A5C29" w14:textId="77777777" w:rsidR="00794EB9" w:rsidRPr="00794EB9" w:rsidRDefault="00794EB9" w:rsidP="00794EB9">
      <w:pPr>
        <w:pStyle w:val="Prrafodelista"/>
        <w:ind w:left="1439"/>
        <w:jc w:val="both"/>
        <w:rPr>
          <w:rFonts w:ascii="Arial" w:hAnsi="Arial" w:cs="Arial"/>
          <w:sz w:val="22"/>
          <w:szCs w:val="22"/>
        </w:rPr>
      </w:pPr>
    </w:p>
    <w:p w14:paraId="31CE7C6B"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3.4 Estilos de vida saludable. Consolidar una cultura de prevención, auto cuidado y hábitos saludables para la reducción de enfermedades crónico-degenerativas y psicosociales.</w:t>
      </w:r>
    </w:p>
    <w:p w14:paraId="5987E186"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4A571CD6" w14:textId="77777777" w:rsidTr="00C307FB">
        <w:trPr>
          <w:trHeight w:val="57"/>
        </w:trPr>
        <w:tc>
          <w:tcPr>
            <w:tcW w:w="1048" w:type="pct"/>
            <w:tcBorders>
              <w:top w:val="single" w:sz="4" w:space="0" w:color="auto"/>
            </w:tcBorders>
            <w:shd w:val="clear" w:color="auto" w:fill="E8E7E9"/>
            <w:vAlign w:val="center"/>
          </w:tcPr>
          <w:p w14:paraId="4CE3A48D"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tcBorders>
              <w:top w:val="single" w:sz="4" w:space="0" w:color="auto"/>
            </w:tcBorders>
            <w:shd w:val="clear" w:color="auto" w:fill="E8E7E9"/>
            <w:vAlign w:val="center"/>
          </w:tcPr>
          <w:p w14:paraId="542C8B04"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tcBorders>
              <w:top w:val="single" w:sz="4" w:space="0" w:color="auto"/>
            </w:tcBorders>
            <w:shd w:val="clear" w:color="auto" w:fill="E8E7E9"/>
            <w:vAlign w:val="center"/>
          </w:tcPr>
          <w:p w14:paraId="4BDDF178"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50" w:type="pct"/>
            <w:tcBorders>
              <w:top w:val="single" w:sz="4" w:space="0" w:color="auto"/>
            </w:tcBorders>
            <w:shd w:val="clear" w:color="auto" w:fill="E8E7E9"/>
            <w:vAlign w:val="center"/>
          </w:tcPr>
          <w:p w14:paraId="1C855A58"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07" w:type="pct"/>
            <w:tcBorders>
              <w:top w:val="single" w:sz="4" w:space="0" w:color="auto"/>
            </w:tcBorders>
            <w:shd w:val="clear" w:color="auto" w:fill="E8E7E9"/>
            <w:vAlign w:val="center"/>
          </w:tcPr>
          <w:p w14:paraId="42E79BF7"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4B616211" w14:textId="77777777" w:rsidTr="00C307FB">
        <w:trPr>
          <w:trHeight w:val="57"/>
        </w:trPr>
        <w:tc>
          <w:tcPr>
            <w:tcW w:w="1048" w:type="pct"/>
            <w:tcBorders>
              <w:top w:val="single" w:sz="4" w:space="0" w:color="auto"/>
            </w:tcBorders>
            <w:vAlign w:val="center"/>
          </w:tcPr>
          <w:p w14:paraId="0AFA09DF"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Porcentaje de muertes por enfermedades crónico degenerativas</w:t>
            </w:r>
          </w:p>
        </w:tc>
        <w:tc>
          <w:tcPr>
            <w:tcW w:w="1246" w:type="pct"/>
            <w:tcBorders>
              <w:top w:val="single" w:sz="4" w:space="0" w:color="auto"/>
            </w:tcBorders>
            <w:vAlign w:val="center"/>
          </w:tcPr>
          <w:p w14:paraId="35597878"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porcentaje de defunciones registradas de la población con residencia habitual en León, por diabetes mellitus o por enfermedades del corazón o por obesidad.</w:t>
            </w:r>
          </w:p>
        </w:tc>
        <w:tc>
          <w:tcPr>
            <w:tcW w:w="849" w:type="pct"/>
            <w:tcBorders>
              <w:top w:val="single" w:sz="4" w:space="0" w:color="auto"/>
            </w:tcBorders>
            <w:vAlign w:val="center"/>
          </w:tcPr>
          <w:p w14:paraId="446F5FD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35.90%</w:t>
            </w:r>
          </w:p>
        </w:tc>
        <w:tc>
          <w:tcPr>
            <w:tcW w:w="850" w:type="pct"/>
            <w:tcBorders>
              <w:top w:val="single" w:sz="4" w:space="0" w:color="auto"/>
            </w:tcBorders>
            <w:vAlign w:val="center"/>
          </w:tcPr>
          <w:p w14:paraId="7FBDC467"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Estadísticas Vitales, 2019</w:t>
            </w:r>
          </w:p>
        </w:tc>
        <w:tc>
          <w:tcPr>
            <w:tcW w:w="1007" w:type="pct"/>
            <w:tcBorders>
              <w:top w:val="single" w:sz="4" w:space="0" w:color="auto"/>
            </w:tcBorders>
            <w:vAlign w:val="center"/>
          </w:tcPr>
          <w:p w14:paraId="2E248DD1"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30%</w:t>
            </w:r>
          </w:p>
        </w:tc>
      </w:tr>
      <w:tr w:rsidR="00794EB9" w:rsidRPr="00794EB9" w14:paraId="56B0D3EB" w14:textId="77777777" w:rsidTr="00C307FB">
        <w:trPr>
          <w:trHeight w:val="57"/>
        </w:trPr>
        <w:tc>
          <w:tcPr>
            <w:tcW w:w="1048" w:type="pct"/>
            <w:vAlign w:val="center"/>
          </w:tcPr>
          <w:p w14:paraId="71FC0987"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lastRenderedPageBreak/>
              <w:t>Tasa de mortalidad por suicidio</w:t>
            </w:r>
          </w:p>
        </w:tc>
        <w:tc>
          <w:tcPr>
            <w:tcW w:w="1246" w:type="pct"/>
            <w:vAlign w:val="center"/>
          </w:tcPr>
          <w:p w14:paraId="6D067AB3"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número de muertes por suicidio por cada 100 mil habitantes.</w:t>
            </w:r>
          </w:p>
        </w:tc>
        <w:tc>
          <w:tcPr>
            <w:tcW w:w="849" w:type="pct"/>
            <w:vAlign w:val="center"/>
          </w:tcPr>
          <w:p w14:paraId="2C9E0C35"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8.3 por cada 100 mil habitantes</w:t>
            </w:r>
          </w:p>
        </w:tc>
        <w:tc>
          <w:tcPr>
            <w:tcW w:w="850" w:type="pct"/>
            <w:vAlign w:val="center"/>
          </w:tcPr>
          <w:p w14:paraId="46470560"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Estadísticas Vitales, 2019</w:t>
            </w:r>
          </w:p>
        </w:tc>
        <w:tc>
          <w:tcPr>
            <w:tcW w:w="1007" w:type="pct"/>
            <w:vAlign w:val="center"/>
          </w:tcPr>
          <w:p w14:paraId="2DA60F97"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5.2 por cada 100 mil habitantes</w:t>
            </w:r>
          </w:p>
        </w:tc>
      </w:tr>
    </w:tbl>
    <w:p w14:paraId="58BEC3D3" w14:textId="77777777" w:rsidR="00794EB9" w:rsidRPr="00794EB9" w:rsidRDefault="00794EB9" w:rsidP="00794EB9">
      <w:pPr>
        <w:jc w:val="both"/>
        <w:rPr>
          <w:rFonts w:ascii="Arial" w:hAnsi="Arial" w:cs="Arial"/>
          <w:sz w:val="22"/>
          <w:szCs w:val="22"/>
        </w:rPr>
      </w:pPr>
    </w:p>
    <w:p w14:paraId="296B4D3F"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Pilar 4.2 Co-creación: colaboración y participación ciudadana. Generar canales de innovación pública y social para el involucramiento efectivo de la ciudadanía y de las juventudes, en el proceso de cambio y en la toma de decisiones de interés colectivo.</w:t>
      </w:r>
    </w:p>
    <w:p w14:paraId="147F2A54" w14:textId="77777777" w:rsidR="00794EB9" w:rsidRPr="00794EB9" w:rsidRDefault="00794EB9" w:rsidP="00794EB9">
      <w:pPr>
        <w:jc w:val="both"/>
        <w:rPr>
          <w:rFonts w:ascii="Arial" w:hAnsi="Arial" w:cs="Arial"/>
          <w:sz w:val="22"/>
          <w:szCs w:val="22"/>
        </w:rPr>
      </w:pPr>
    </w:p>
    <w:tbl>
      <w:tblPr>
        <w:tblStyle w:val="Tablaconcuadrcula3"/>
        <w:tblW w:w="5000" w:type="pct"/>
        <w:tblLook w:val="04A0" w:firstRow="1" w:lastRow="0" w:firstColumn="1" w:lastColumn="0" w:noHBand="0" w:noVBand="1"/>
      </w:tblPr>
      <w:tblGrid>
        <w:gridCol w:w="1686"/>
        <w:gridCol w:w="2220"/>
        <w:gridCol w:w="1542"/>
        <w:gridCol w:w="1586"/>
        <w:gridCol w:w="1794"/>
      </w:tblGrid>
      <w:tr w:rsidR="00794EB9" w:rsidRPr="00794EB9" w14:paraId="0507F175" w14:textId="77777777" w:rsidTr="00C307FB">
        <w:trPr>
          <w:trHeight w:val="57"/>
        </w:trPr>
        <w:tc>
          <w:tcPr>
            <w:tcW w:w="967" w:type="pct"/>
            <w:tcBorders>
              <w:top w:val="single" w:sz="4" w:space="0" w:color="auto"/>
            </w:tcBorders>
            <w:shd w:val="clear" w:color="auto" w:fill="E8E7E9"/>
            <w:vAlign w:val="center"/>
          </w:tcPr>
          <w:p w14:paraId="6D879415"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69" w:type="pct"/>
            <w:tcBorders>
              <w:top w:val="single" w:sz="4" w:space="0" w:color="auto"/>
            </w:tcBorders>
            <w:shd w:val="clear" w:color="auto" w:fill="E8E7E9"/>
            <w:vAlign w:val="center"/>
          </w:tcPr>
          <w:p w14:paraId="0548D2FB"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tcBorders>
              <w:top w:val="single" w:sz="4" w:space="0" w:color="auto"/>
            </w:tcBorders>
            <w:shd w:val="clear" w:color="auto" w:fill="E8E7E9"/>
            <w:vAlign w:val="center"/>
          </w:tcPr>
          <w:p w14:paraId="55D2A9A5"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0" w:type="pct"/>
            <w:tcBorders>
              <w:top w:val="single" w:sz="4" w:space="0" w:color="auto"/>
            </w:tcBorders>
            <w:shd w:val="clear" w:color="auto" w:fill="E8E7E9"/>
            <w:vAlign w:val="center"/>
          </w:tcPr>
          <w:p w14:paraId="0DC2FD34"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969" w:type="pct"/>
            <w:tcBorders>
              <w:top w:val="single" w:sz="4" w:space="0" w:color="auto"/>
            </w:tcBorders>
            <w:shd w:val="clear" w:color="auto" w:fill="E8E7E9"/>
            <w:vAlign w:val="center"/>
          </w:tcPr>
          <w:p w14:paraId="0C787AB4"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3C4B8E41" w14:textId="77777777" w:rsidTr="00C307FB">
        <w:trPr>
          <w:trHeight w:val="57"/>
        </w:trPr>
        <w:tc>
          <w:tcPr>
            <w:tcW w:w="967" w:type="pct"/>
            <w:vAlign w:val="center"/>
          </w:tcPr>
          <w:p w14:paraId="1CC6D379"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Porcentaje de consejos ciudadanos con consejeras y consejeros jóvenes</w:t>
            </w:r>
          </w:p>
        </w:tc>
        <w:tc>
          <w:tcPr>
            <w:tcW w:w="1269" w:type="pct"/>
            <w:vAlign w:val="center"/>
          </w:tcPr>
          <w:p w14:paraId="12AB84C1"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Mide el porcentaje de Consejos Consultivos y Directivos que cuentan con un par de consejeras y consejeros juveniles.</w:t>
            </w:r>
          </w:p>
        </w:tc>
        <w:tc>
          <w:tcPr>
            <w:tcW w:w="885" w:type="pct"/>
            <w:vAlign w:val="center"/>
          </w:tcPr>
          <w:p w14:paraId="591091A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88% de los consejos ciudadanos cuentan con consejeras y consejeros jóvenes</w:t>
            </w:r>
          </w:p>
        </w:tc>
        <w:tc>
          <w:tcPr>
            <w:tcW w:w="910" w:type="pct"/>
            <w:vAlign w:val="center"/>
          </w:tcPr>
          <w:p w14:paraId="6BB01CE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Instituto Municipal de la Juventud de León</w:t>
            </w:r>
          </w:p>
          <w:p w14:paraId="5E512846"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Mayo 2021</w:t>
            </w:r>
          </w:p>
        </w:tc>
        <w:tc>
          <w:tcPr>
            <w:tcW w:w="969" w:type="pct"/>
            <w:vAlign w:val="center"/>
          </w:tcPr>
          <w:p w14:paraId="6A82F05A"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94% de los consejos ciudadanos con representantes juveniles</w:t>
            </w:r>
          </w:p>
        </w:tc>
      </w:tr>
    </w:tbl>
    <w:p w14:paraId="399D1A1F" w14:textId="77777777" w:rsidR="00794EB9" w:rsidRPr="00794EB9" w:rsidRDefault="00794EB9" w:rsidP="00794EB9">
      <w:pPr>
        <w:jc w:val="both"/>
        <w:rPr>
          <w:rFonts w:ascii="Arial" w:hAnsi="Arial" w:cs="Arial"/>
          <w:sz w:val="22"/>
          <w:szCs w:val="22"/>
        </w:rPr>
      </w:pPr>
    </w:p>
    <w:p w14:paraId="5AFFEE2D" w14:textId="77777777" w:rsidR="00794EB9" w:rsidRPr="00794EB9" w:rsidRDefault="00794EB9" w:rsidP="00794EB9">
      <w:pPr>
        <w:jc w:val="both"/>
        <w:rPr>
          <w:rFonts w:ascii="Arial" w:hAnsi="Arial" w:cs="Arial"/>
          <w:sz w:val="22"/>
          <w:szCs w:val="22"/>
        </w:rPr>
      </w:pPr>
    </w:p>
    <w:p w14:paraId="2761292A" w14:textId="77777777" w:rsidR="00794EB9" w:rsidRPr="00794EB9" w:rsidRDefault="00794EB9" w:rsidP="00794EB9">
      <w:pPr>
        <w:shd w:val="clear" w:color="auto" w:fill="A6A6A6" w:themeFill="background1" w:themeFillShade="A6"/>
        <w:jc w:val="both"/>
        <w:rPr>
          <w:rFonts w:ascii="Arial" w:hAnsi="Arial" w:cs="Arial"/>
          <w:b/>
          <w:bCs/>
          <w:sz w:val="22"/>
          <w:szCs w:val="22"/>
        </w:rPr>
      </w:pPr>
      <w:r w:rsidRPr="00794EB9">
        <w:rPr>
          <w:rFonts w:ascii="Arial" w:hAnsi="Arial" w:cs="Arial"/>
          <w:b/>
          <w:bCs/>
          <w:sz w:val="22"/>
          <w:szCs w:val="22"/>
        </w:rPr>
        <w:t>BANDERA VIVIR SANO</w:t>
      </w:r>
    </w:p>
    <w:p w14:paraId="5574EA8D" w14:textId="77777777" w:rsidR="00794EB9" w:rsidRPr="00794EB9" w:rsidRDefault="00794EB9" w:rsidP="00794EB9">
      <w:pPr>
        <w:jc w:val="both"/>
        <w:rPr>
          <w:rFonts w:ascii="Arial" w:hAnsi="Arial" w:cs="Arial"/>
          <w:sz w:val="22"/>
          <w:szCs w:val="22"/>
        </w:rPr>
      </w:pPr>
    </w:p>
    <w:p w14:paraId="01570934"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OBJETIVO GENERAL DE LA BANDERA: </w:t>
      </w:r>
    </w:p>
    <w:p w14:paraId="0308CB8A"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Promover estilos de vida y servicios para que los para los leoneses puedan vivir más sanos.</w:t>
      </w:r>
    </w:p>
    <w:p w14:paraId="037510BB" w14:textId="77777777" w:rsidR="00794EB9" w:rsidRPr="00794EB9" w:rsidRDefault="00794EB9" w:rsidP="00794EB9">
      <w:pPr>
        <w:jc w:val="both"/>
        <w:rPr>
          <w:rFonts w:ascii="Arial" w:hAnsi="Arial" w:cs="Arial"/>
          <w:sz w:val="22"/>
          <w:szCs w:val="22"/>
        </w:rPr>
      </w:pPr>
    </w:p>
    <w:p w14:paraId="3D0F7943"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de gente sana que cuente con programas de promoción de la salud y prevención de la enfermedad, atención digna y oportuna con servicios médicos de calidad para todos. </w:t>
      </w:r>
    </w:p>
    <w:p w14:paraId="15ABC7B2" w14:textId="77777777" w:rsidR="00794EB9" w:rsidRPr="00794EB9" w:rsidRDefault="00794EB9" w:rsidP="00794EB9">
      <w:pPr>
        <w:jc w:val="both"/>
        <w:rPr>
          <w:rFonts w:ascii="Arial" w:hAnsi="Arial" w:cs="Arial"/>
          <w:sz w:val="22"/>
          <w:szCs w:val="22"/>
        </w:rPr>
      </w:pPr>
    </w:p>
    <w:p w14:paraId="7A18B58D"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responsable con el entorno, donde el agua, medio ambiente y seres vivos sean conservados e integrados armónicamente. </w:t>
      </w:r>
    </w:p>
    <w:p w14:paraId="20F9E3C7" w14:textId="77777777" w:rsidR="00794EB9" w:rsidRPr="00794EB9" w:rsidRDefault="00794EB9" w:rsidP="00794EB9">
      <w:pPr>
        <w:jc w:val="both"/>
        <w:rPr>
          <w:rFonts w:ascii="Arial" w:hAnsi="Arial" w:cs="Arial"/>
          <w:sz w:val="22"/>
          <w:szCs w:val="22"/>
        </w:rPr>
      </w:pPr>
    </w:p>
    <w:p w14:paraId="2DA3FF05"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Una ciudad incluyente y respetuosa, que considera a las personas iguales ante la ley, respeta sus diferencias y cuida a sus mujeres, abuelos, niñas y niños.</w:t>
      </w:r>
    </w:p>
    <w:p w14:paraId="077B1F5D" w14:textId="77777777" w:rsidR="00794EB9" w:rsidRPr="00794EB9" w:rsidRDefault="00794EB9" w:rsidP="00794EB9">
      <w:pPr>
        <w:jc w:val="both"/>
        <w:rPr>
          <w:rFonts w:ascii="Arial" w:hAnsi="Arial" w:cs="Arial"/>
          <w:sz w:val="22"/>
          <w:szCs w:val="22"/>
        </w:rPr>
      </w:pPr>
    </w:p>
    <w:p w14:paraId="196EDD46" w14:textId="77777777" w:rsidR="00794EB9" w:rsidRPr="00794EB9" w:rsidRDefault="00794EB9" w:rsidP="00794EB9">
      <w:pPr>
        <w:jc w:val="both"/>
        <w:rPr>
          <w:rFonts w:ascii="Arial" w:hAnsi="Arial" w:cs="Arial"/>
          <w:sz w:val="22"/>
          <w:szCs w:val="22"/>
        </w:rPr>
      </w:pPr>
    </w:p>
    <w:p w14:paraId="4D2B7988"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VS1. León Verde</w:t>
      </w:r>
    </w:p>
    <w:p w14:paraId="17E22B9A"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Lograr que León sea referente como Ciudad Sostenible por la Red de Parques Urbanos e Infraestructura Verde, sus Parques Metropolitanos, el rescate de sus espacios públicos, la protección a mascotas y fauna, la gestión del agua y el manejo integral de los residuos sólidos, con una base fuerte de colaboración ciudadana.</w:t>
      </w:r>
    </w:p>
    <w:p w14:paraId="5AAF7A93" w14:textId="77777777" w:rsidR="00794EB9" w:rsidRPr="00794EB9" w:rsidRDefault="00794EB9" w:rsidP="00794EB9">
      <w:pPr>
        <w:jc w:val="both"/>
        <w:rPr>
          <w:rFonts w:ascii="Arial" w:hAnsi="Arial" w:cs="Arial"/>
          <w:b/>
          <w:sz w:val="22"/>
          <w:szCs w:val="22"/>
        </w:rPr>
      </w:pPr>
    </w:p>
    <w:p w14:paraId="18FE4C1F"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6EBAF842"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 Garantizar una vida sana y promover el bienestar para todos en todas las edades</w:t>
      </w:r>
    </w:p>
    <w:p w14:paraId="15D2E242"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6: Garantizar la disponibilidad de agua y su gestión sostenible y el saneamiento, para todos</w:t>
      </w:r>
    </w:p>
    <w:p w14:paraId="563EAF34"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lastRenderedPageBreak/>
        <w:t>Objetivo 8: Promover el crecimiento económico inclusivo y sostenible, el empleo y el trabajo decente para todos</w:t>
      </w:r>
    </w:p>
    <w:p w14:paraId="3DD444B1"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 xml:space="preserve">Objetivo 12: Garantizar modalidades de consumo y producción sostenible </w:t>
      </w:r>
    </w:p>
    <w:p w14:paraId="135C1C3C"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 Lograr que las ciudades sean más inclusivas, seguras, resilientes y sostenibles</w:t>
      </w:r>
    </w:p>
    <w:p w14:paraId="4FB3ECC8"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13: Adoptar medidas urgentes para combatir el cambio climático y sus efectos</w:t>
      </w:r>
    </w:p>
    <w:p w14:paraId="448F9D55"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15: Gestionar sosteniblemente los bosques, luchar contra la desertificación, detener e invertir la degradación de las tierras, detener la pérdida de biodiversidad</w:t>
      </w:r>
    </w:p>
    <w:p w14:paraId="54939633" w14:textId="77777777" w:rsidR="00794EB9" w:rsidRPr="00794EB9" w:rsidRDefault="00794EB9" w:rsidP="00794EB9">
      <w:pPr>
        <w:pStyle w:val="Prrafodelista"/>
        <w:ind w:left="1637"/>
        <w:jc w:val="both"/>
        <w:rPr>
          <w:rFonts w:ascii="Arial" w:hAnsi="Arial" w:cs="Arial"/>
          <w:sz w:val="22"/>
          <w:szCs w:val="22"/>
        </w:rPr>
      </w:pPr>
    </w:p>
    <w:p w14:paraId="3CF617F1"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4801443A"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1.1.1 Abatir la pobreza en todas sus vertientes y desde sus causas</w:t>
      </w:r>
    </w:p>
    <w:p w14:paraId="73A35071"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1.1.2 Otorgar servicios de salud oportunos, con altos estándares de calidad y seguridad para las y los pacientes</w:t>
      </w:r>
    </w:p>
    <w:p w14:paraId="5B51E40E"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3.1.1 Garantizar la disponibilidad y calidad del agua de acuerdo con sus diferentes destinos</w:t>
      </w:r>
    </w:p>
    <w:p w14:paraId="6FA6C13A"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3.1.2 Lograr una adecuada gestión del medio ambiente que favorezca el aprovechamiento racional y sustentable de los recursos naturales</w:t>
      </w:r>
    </w:p>
    <w:p w14:paraId="6B4FCD9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3.1.3 Desarrollar entre los diferentes sectores de la sociedad las capacidades para la mitigación y adaptación al cambio climático</w:t>
      </w:r>
    </w:p>
    <w:p w14:paraId="6F8F466A"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3.2.1 Lograr una administración sostenible del territorio, que impulse el desarrollo de comunidades y ciudades humanas y sostenibles</w:t>
      </w:r>
    </w:p>
    <w:p w14:paraId="668D36A2" w14:textId="77777777" w:rsidR="00794EB9" w:rsidRPr="00794EB9" w:rsidRDefault="00794EB9" w:rsidP="00794EB9">
      <w:pPr>
        <w:pStyle w:val="Prrafodelista"/>
        <w:ind w:left="1637"/>
        <w:jc w:val="both"/>
        <w:rPr>
          <w:rFonts w:ascii="Arial" w:hAnsi="Arial" w:cs="Arial"/>
          <w:sz w:val="22"/>
          <w:szCs w:val="22"/>
        </w:rPr>
      </w:pPr>
    </w:p>
    <w:p w14:paraId="5275D4DE"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0D7437B2"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1.1 Acceso y sostenibilidad del agua, con una sociedad sensible para su uso y cuidado. Garantizar el acceso eficiente al agua, asequible en cantidad y calidad, requerida para los sectores doméstico, industrial, comercial, servicios y agrícola.</w:t>
      </w:r>
    </w:p>
    <w:p w14:paraId="3E89627C"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jc w:val="center"/>
        <w:tblCellMar>
          <w:top w:w="57" w:type="dxa"/>
          <w:bottom w:w="57" w:type="dxa"/>
        </w:tblCellMar>
        <w:tblLook w:val="04A0" w:firstRow="1" w:lastRow="0" w:firstColumn="1" w:lastColumn="0" w:noHBand="0" w:noVBand="1"/>
      </w:tblPr>
      <w:tblGrid>
        <w:gridCol w:w="1678"/>
        <w:gridCol w:w="2182"/>
        <w:gridCol w:w="1573"/>
        <w:gridCol w:w="1481"/>
        <w:gridCol w:w="1914"/>
      </w:tblGrid>
      <w:tr w:rsidR="00794EB9" w:rsidRPr="00794EB9" w14:paraId="08F29DC6" w14:textId="77777777" w:rsidTr="00C307FB">
        <w:trPr>
          <w:trHeight w:val="57"/>
          <w:jc w:val="center"/>
        </w:trPr>
        <w:tc>
          <w:tcPr>
            <w:tcW w:w="950" w:type="pct"/>
            <w:tcBorders>
              <w:top w:val="single" w:sz="4" w:space="0" w:color="auto"/>
            </w:tcBorders>
            <w:shd w:val="clear" w:color="auto" w:fill="E8E7E9"/>
            <w:vAlign w:val="center"/>
          </w:tcPr>
          <w:p w14:paraId="3793F914"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E8E7E9"/>
            <w:vAlign w:val="center"/>
          </w:tcPr>
          <w:p w14:paraId="42C7396D"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E8E7E9"/>
            <w:vAlign w:val="center"/>
          </w:tcPr>
          <w:p w14:paraId="6FF2D72C"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E8E7E9"/>
            <w:vAlign w:val="center"/>
          </w:tcPr>
          <w:p w14:paraId="5235A540"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Fuente</w:t>
            </w:r>
          </w:p>
        </w:tc>
        <w:tc>
          <w:tcPr>
            <w:tcW w:w="1084" w:type="pct"/>
            <w:tcBorders>
              <w:top w:val="single" w:sz="4" w:space="0" w:color="auto"/>
            </w:tcBorders>
            <w:shd w:val="clear" w:color="auto" w:fill="E8E7E9"/>
            <w:vAlign w:val="center"/>
          </w:tcPr>
          <w:p w14:paraId="6F11623D"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Meta 2030</w:t>
            </w:r>
          </w:p>
        </w:tc>
      </w:tr>
      <w:tr w:rsidR="00794EB9" w:rsidRPr="00794EB9" w14:paraId="0675A87D" w14:textId="77777777" w:rsidTr="00C307FB">
        <w:trPr>
          <w:trHeight w:val="57"/>
          <w:jc w:val="center"/>
        </w:trPr>
        <w:tc>
          <w:tcPr>
            <w:tcW w:w="950" w:type="pct"/>
            <w:vAlign w:val="center"/>
          </w:tcPr>
          <w:p w14:paraId="5E9B5FB6" w14:textId="77777777" w:rsidR="00794EB9" w:rsidRPr="00794EB9" w:rsidRDefault="00794EB9" w:rsidP="00C307FB">
            <w:pPr>
              <w:ind w:hanging="2"/>
              <w:jc w:val="center"/>
              <w:rPr>
                <w:rFonts w:ascii="Arial" w:hAnsi="Arial" w:cs="Arial"/>
                <w:b/>
                <w:sz w:val="22"/>
                <w:szCs w:val="22"/>
              </w:rPr>
            </w:pPr>
            <w:r w:rsidRPr="00794EB9">
              <w:rPr>
                <w:rFonts w:ascii="Arial" w:hAnsi="Arial" w:cs="Arial"/>
                <w:b/>
                <w:iCs/>
                <w:sz w:val="22"/>
                <w:szCs w:val="22"/>
              </w:rPr>
              <w:t>Volumen de extracción de agua subterránea y superficial</w:t>
            </w:r>
          </w:p>
        </w:tc>
        <w:tc>
          <w:tcPr>
            <w:tcW w:w="1236" w:type="pct"/>
            <w:vAlign w:val="center"/>
          </w:tcPr>
          <w:p w14:paraId="09B3BE75" w14:textId="77777777" w:rsidR="00794EB9" w:rsidRPr="00794EB9" w:rsidRDefault="00794EB9" w:rsidP="00C307FB">
            <w:pPr>
              <w:ind w:hanging="2"/>
              <w:rPr>
                <w:rFonts w:ascii="Arial" w:hAnsi="Arial" w:cs="Arial"/>
                <w:iCs/>
                <w:sz w:val="22"/>
                <w:szCs w:val="22"/>
              </w:rPr>
            </w:pPr>
            <w:r w:rsidRPr="00794EB9">
              <w:rPr>
                <w:rFonts w:ascii="Arial" w:hAnsi="Arial" w:cs="Arial"/>
                <w:iCs/>
                <w:sz w:val="22"/>
                <w:szCs w:val="22"/>
              </w:rPr>
              <w:t>Es la suma del volumen de extracción anual de agua subterránea más superficial.</w:t>
            </w:r>
          </w:p>
        </w:tc>
        <w:tc>
          <w:tcPr>
            <w:tcW w:w="891" w:type="pct"/>
            <w:vAlign w:val="center"/>
          </w:tcPr>
          <w:p w14:paraId="4F9E5336"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85 millones 074 mil 064 m</w:t>
            </w:r>
            <w:r w:rsidRPr="00794EB9">
              <w:rPr>
                <w:rFonts w:ascii="Arial" w:hAnsi="Arial" w:cs="Arial"/>
                <w:sz w:val="22"/>
                <w:szCs w:val="22"/>
                <w:vertAlign w:val="superscript"/>
              </w:rPr>
              <w:t>3</w:t>
            </w:r>
          </w:p>
        </w:tc>
        <w:tc>
          <w:tcPr>
            <w:tcW w:w="839" w:type="pct"/>
            <w:vAlign w:val="center"/>
          </w:tcPr>
          <w:p w14:paraId="07EB2E1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SAPAL</w:t>
            </w:r>
          </w:p>
          <w:p w14:paraId="6454CCC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84" w:type="pct"/>
            <w:vAlign w:val="center"/>
          </w:tcPr>
          <w:p w14:paraId="2441AC24"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t>Disminuir en 8 millones 507 mil 406 m</w:t>
            </w:r>
            <w:r w:rsidRPr="00794EB9">
              <w:rPr>
                <w:rFonts w:ascii="Arial" w:hAnsi="Arial" w:cs="Arial"/>
                <w:b/>
                <w:bCs/>
                <w:sz w:val="22"/>
                <w:szCs w:val="22"/>
                <w:vertAlign w:val="superscript"/>
              </w:rPr>
              <w:t>3</w:t>
            </w:r>
            <w:r w:rsidRPr="00794EB9">
              <w:rPr>
                <w:rFonts w:ascii="Arial" w:hAnsi="Arial" w:cs="Arial"/>
                <w:b/>
                <w:bCs/>
                <w:sz w:val="22"/>
                <w:szCs w:val="22"/>
              </w:rPr>
              <w:t xml:space="preserve"> el volumen de extracción de agua subterránea y superficial.</w:t>
            </w:r>
          </w:p>
        </w:tc>
      </w:tr>
      <w:tr w:rsidR="00794EB9" w:rsidRPr="00794EB9" w14:paraId="3457B3F8" w14:textId="77777777" w:rsidTr="00C307FB">
        <w:trPr>
          <w:trHeight w:val="57"/>
          <w:jc w:val="center"/>
        </w:trPr>
        <w:tc>
          <w:tcPr>
            <w:tcW w:w="950" w:type="pct"/>
            <w:vAlign w:val="center"/>
          </w:tcPr>
          <w:p w14:paraId="6ACD7ADB" w14:textId="77777777" w:rsidR="00794EB9" w:rsidRPr="00794EB9" w:rsidRDefault="00794EB9" w:rsidP="00C307FB">
            <w:pPr>
              <w:ind w:hanging="2"/>
              <w:jc w:val="center"/>
              <w:rPr>
                <w:rFonts w:ascii="Arial" w:hAnsi="Arial" w:cs="Arial"/>
                <w:b/>
                <w:sz w:val="22"/>
                <w:szCs w:val="22"/>
              </w:rPr>
            </w:pPr>
            <w:r w:rsidRPr="00794EB9">
              <w:rPr>
                <w:rFonts w:ascii="Arial" w:hAnsi="Arial" w:cs="Arial"/>
                <w:b/>
                <w:iCs/>
                <w:sz w:val="22"/>
                <w:szCs w:val="22"/>
              </w:rPr>
              <w:t>Porcentaje de cobertura de la red de agua potable</w:t>
            </w:r>
          </w:p>
        </w:tc>
        <w:tc>
          <w:tcPr>
            <w:tcW w:w="1236" w:type="pct"/>
            <w:vAlign w:val="center"/>
          </w:tcPr>
          <w:p w14:paraId="67EF0D48"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el porcentaje de cobertura de la red de infraestructura de agua potable.</w:t>
            </w:r>
          </w:p>
        </w:tc>
        <w:tc>
          <w:tcPr>
            <w:tcW w:w="891" w:type="pct"/>
            <w:vAlign w:val="center"/>
          </w:tcPr>
          <w:p w14:paraId="58DD6862"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96.1%</w:t>
            </w:r>
          </w:p>
        </w:tc>
        <w:tc>
          <w:tcPr>
            <w:tcW w:w="839" w:type="pct"/>
            <w:vAlign w:val="center"/>
          </w:tcPr>
          <w:p w14:paraId="40FA60A7"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SAPAL</w:t>
            </w:r>
          </w:p>
          <w:p w14:paraId="605AB378"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84" w:type="pct"/>
            <w:vAlign w:val="center"/>
          </w:tcPr>
          <w:p w14:paraId="12A3E367"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t>Aumentar a 99%</w:t>
            </w:r>
          </w:p>
        </w:tc>
      </w:tr>
      <w:tr w:rsidR="00794EB9" w:rsidRPr="00794EB9" w14:paraId="566C896E" w14:textId="77777777" w:rsidTr="00C307FB">
        <w:trPr>
          <w:trHeight w:val="57"/>
          <w:jc w:val="center"/>
        </w:trPr>
        <w:tc>
          <w:tcPr>
            <w:tcW w:w="950" w:type="pct"/>
            <w:vAlign w:val="center"/>
          </w:tcPr>
          <w:p w14:paraId="23A00ADC"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 xml:space="preserve">Porcentaje de </w:t>
            </w:r>
            <w:r w:rsidRPr="00794EB9">
              <w:rPr>
                <w:rFonts w:ascii="Arial" w:hAnsi="Arial" w:cs="Arial"/>
                <w:b/>
                <w:bCs/>
                <w:sz w:val="22"/>
                <w:szCs w:val="22"/>
              </w:rPr>
              <w:t xml:space="preserve">cobertura de </w:t>
            </w:r>
            <w:r w:rsidRPr="00794EB9">
              <w:rPr>
                <w:rFonts w:ascii="Arial" w:hAnsi="Arial" w:cs="Arial"/>
                <w:b/>
                <w:bCs/>
                <w:sz w:val="22"/>
                <w:szCs w:val="22"/>
              </w:rPr>
              <w:lastRenderedPageBreak/>
              <w:t>la red de alcantarillado</w:t>
            </w:r>
          </w:p>
        </w:tc>
        <w:tc>
          <w:tcPr>
            <w:tcW w:w="1236" w:type="pct"/>
            <w:vAlign w:val="center"/>
          </w:tcPr>
          <w:p w14:paraId="4DCD64A0"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lastRenderedPageBreak/>
              <w:t xml:space="preserve">Es el porcentaje de cobertura de la red </w:t>
            </w:r>
            <w:r w:rsidRPr="00794EB9">
              <w:rPr>
                <w:rFonts w:ascii="Arial" w:hAnsi="Arial" w:cs="Arial"/>
                <w:sz w:val="22"/>
                <w:szCs w:val="22"/>
              </w:rPr>
              <w:lastRenderedPageBreak/>
              <w:t>de infraestructura de alcantarillado.</w:t>
            </w:r>
          </w:p>
        </w:tc>
        <w:tc>
          <w:tcPr>
            <w:tcW w:w="891" w:type="pct"/>
            <w:vAlign w:val="center"/>
          </w:tcPr>
          <w:p w14:paraId="5B9A2BA2"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lastRenderedPageBreak/>
              <w:t>98%</w:t>
            </w:r>
          </w:p>
        </w:tc>
        <w:tc>
          <w:tcPr>
            <w:tcW w:w="839" w:type="pct"/>
            <w:vAlign w:val="center"/>
          </w:tcPr>
          <w:p w14:paraId="4488DA11"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SAPAL</w:t>
            </w:r>
          </w:p>
          <w:p w14:paraId="51228D7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84" w:type="pct"/>
            <w:vAlign w:val="center"/>
          </w:tcPr>
          <w:p w14:paraId="3599555C"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99%</w:t>
            </w:r>
          </w:p>
        </w:tc>
      </w:tr>
      <w:tr w:rsidR="00794EB9" w:rsidRPr="00794EB9" w14:paraId="05614FC0" w14:textId="77777777" w:rsidTr="00C307FB">
        <w:trPr>
          <w:trHeight w:val="57"/>
          <w:jc w:val="center"/>
        </w:trPr>
        <w:tc>
          <w:tcPr>
            <w:tcW w:w="950" w:type="pct"/>
            <w:vAlign w:val="center"/>
          </w:tcPr>
          <w:p w14:paraId="1CE12717"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Volumen de aguas residuales tratadas anualmente</w:t>
            </w:r>
          </w:p>
        </w:tc>
        <w:tc>
          <w:tcPr>
            <w:tcW w:w="1236" w:type="pct"/>
            <w:vAlign w:val="center"/>
          </w:tcPr>
          <w:p w14:paraId="04A566F0"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Volumen de aguas residuales tratadas por las diferentes plantas en el municipio.</w:t>
            </w:r>
          </w:p>
        </w:tc>
        <w:tc>
          <w:tcPr>
            <w:tcW w:w="891" w:type="pct"/>
            <w:vAlign w:val="center"/>
          </w:tcPr>
          <w:p w14:paraId="586AC6E6"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52 millones 293 mil 209 m</w:t>
            </w:r>
            <w:r w:rsidRPr="00794EB9">
              <w:rPr>
                <w:rFonts w:ascii="Arial" w:hAnsi="Arial" w:cs="Arial"/>
                <w:sz w:val="22"/>
                <w:szCs w:val="22"/>
                <w:vertAlign w:val="superscript"/>
              </w:rPr>
              <w:t>3</w:t>
            </w:r>
          </w:p>
        </w:tc>
        <w:tc>
          <w:tcPr>
            <w:tcW w:w="839" w:type="pct"/>
            <w:vAlign w:val="center"/>
          </w:tcPr>
          <w:p w14:paraId="135D4AD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SAPAL</w:t>
            </w:r>
          </w:p>
          <w:p w14:paraId="7D0DA39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84" w:type="pct"/>
            <w:vAlign w:val="center"/>
          </w:tcPr>
          <w:p w14:paraId="0F492D73"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Incrementar en 5 millones 229 mil 320 m</w:t>
            </w:r>
            <w:r w:rsidRPr="00794EB9">
              <w:rPr>
                <w:rFonts w:ascii="Arial" w:hAnsi="Arial" w:cs="Arial"/>
                <w:b/>
                <w:bCs/>
                <w:sz w:val="22"/>
                <w:szCs w:val="22"/>
                <w:vertAlign w:val="superscript"/>
              </w:rPr>
              <w:t>3</w:t>
            </w:r>
            <w:r w:rsidRPr="00794EB9">
              <w:rPr>
                <w:rFonts w:ascii="Arial" w:hAnsi="Arial" w:cs="Arial"/>
                <w:b/>
                <w:bCs/>
                <w:sz w:val="22"/>
                <w:szCs w:val="22"/>
              </w:rPr>
              <w:t xml:space="preserve"> el volumen de tratamiento de aguas residuales</w:t>
            </w:r>
          </w:p>
        </w:tc>
      </w:tr>
      <w:tr w:rsidR="00794EB9" w:rsidRPr="00794EB9" w14:paraId="1D3C1082" w14:textId="77777777" w:rsidTr="00C307FB">
        <w:trPr>
          <w:trHeight w:val="57"/>
          <w:jc w:val="center"/>
        </w:trPr>
        <w:tc>
          <w:tcPr>
            <w:tcW w:w="950" w:type="pct"/>
            <w:tcBorders>
              <w:bottom w:val="single" w:sz="4" w:space="0" w:color="auto"/>
            </w:tcBorders>
            <w:shd w:val="clear" w:color="auto" w:fill="auto"/>
            <w:vAlign w:val="center"/>
          </w:tcPr>
          <w:p w14:paraId="013D2A5B" w14:textId="77777777" w:rsidR="00794EB9" w:rsidRPr="00794EB9" w:rsidRDefault="00794EB9" w:rsidP="00C307FB">
            <w:pPr>
              <w:ind w:hanging="2"/>
              <w:jc w:val="center"/>
              <w:rPr>
                <w:rFonts w:ascii="Arial" w:hAnsi="Arial" w:cs="Arial"/>
                <w:b/>
                <w:sz w:val="22"/>
                <w:szCs w:val="22"/>
              </w:rPr>
            </w:pPr>
            <w:r w:rsidRPr="00794EB9">
              <w:rPr>
                <w:rFonts w:ascii="Arial" w:hAnsi="Arial" w:cs="Arial"/>
                <w:b/>
                <w:iCs/>
                <w:sz w:val="22"/>
                <w:szCs w:val="22"/>
              </w:rPr>
              <w:t xml:space="preserve">Volumen de aguas tratadas reutilizadas </w:t>
            </w:r>
          </w:p>
        </w:tc>
        <w:tc>
          <w:tcPr>
            <w:tcW w:w="1236" w:type="pct"/>
            <w:tcBorders>
              <w:bottom w:val="single" w:sz="4" w:space="0" w:color="auto"/>
            </w:tcBorders>
            <w:shd w:val="clear" w:color="auto" w:fill="auto"/>
            <w:vAlign w:val="center"/>
          </w:tcPr>
          <w:p w14:paraId="228EA1FA"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Volumen de aguas tratadas reutilizadas para uso industrial, riego agrícola y áreas verdes en el municipio.</w:t>
            </w:r>
          </w:p>
        </w:tc>
        <w:tc>
          <w:tcPr>
            <w:tcW w:w="891" w:type="pct"/>
            <w:tcBorders>
              <w:bottom w:val="single" w:sz="4" w:space="0" w:color="auto"/>
            </w:tcBorders>
            <w:shd w:val="clear" w:color="auto" w:fill="auto"/>
            <w:vAlign w:val="center"/>
          </w:tcPr>
          <w:p w14:paraId="54E8C126"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22 millones 524 mil 578 m</w:t>
            </w:r>
            <w:r w:rsidRPr="00794EB9">
              <w:rPr>
                <w:rFonts w:ascii="Arial" w:hAnsi="Arial" w:cs="Arial"/>
                <w:sz w:val="22"/>
                <w:szCs w:val="22"/>
                <w:vertAlign w:val="superscript"/>
              </w:rPr>
              <w:t>3</w:t>
            </w:r>
          </w:p>
        </w:tc>
        <w:tc>
          <w:tcPr>
            <w:tcW w:w="839" w:type="pct"/>
            <w:tcBorders>
              <w:bottom w:val="single" w:sz="4" w:space="0" w:color="auto"/>
            </w:tcBorders>
            <w:shd w:val="clear" w:color="auto" w:fill="auto"/>
            <w:vAlign w:val="center"/>
          </w:tcPr>
          <w:p w14:paraId="00469F2B"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SAPAL</w:t>
            </w:r>
          </w:p>
          <w:p w14:paraId="3054F40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84" w:type="pct"/>
            <w:tcBorders>
              <w:bottom w:val="single" w:sz="4" w:space="0" w:color="auto"/>
            </w:tcBorders>
            <w:shd w:val="clear" w:color="auto" w:fill="auto"/>
            <w:vAlign w:val="center"/>
          </w:tcPr>
          <w:p w14:paraId="4621E431"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Incrementar en 2 millones 252 mil 457 m</w:t>
            </w:r>
            <w:r w:rsidRPr="00794EB9">
              <w:rPr>
                <w:rFonts w:ascii="Arial" w:hAnsi="Arial" w:cs="Arial"/>
                <w:b/>
                <w:bCs/>
                <w:sz w:val="22"/>
                <w:szCs w:val="22"/>
                <w:vertAlign w:val="superscript"/>
              </w:rPr>
              <w:t>3</w:t>
            </w:r>
            <w:r w:rsidRPr="00794EB9">
              <w:rPr>
                <w:rFonts w:ascii="Arial" w:hAnsi="Arial" w:cs="Arial"/>
                <w:b/>
                <w:bCs/>
                <w:sz w:val="22"/>
                <w:szCs w:val="22"/>
              </w:rPr>
              <w:t xml:space="preserve"> el volumen de aguas tratadas para el reúso en la industria, agricultura y áreas verdes</w:t>
            </w:r>
          </w:p>
        </w:tc>
      </w:tr>
    </w:tbl>
    <w:p w14:paraId="24520380" w14:textId="77777777" w:rsidR="00794EB9" w:rsidRPr="00794EB9" w:rsidRDefault="00794EB9" w:rsidP="00794EB9">
      <w:pPr>
        <w:jc w:val="both"/>
        <w:rPr>
          <w:rFonts w:ascii="Arial" w:hAnsi="Arial" w:cs="Arial"/>
          <w:sz w:val="22"/>
          <w:szCs w:val="22"/>
        </w:rPr>
      </w:pPr>
    </w:p>
    <w:p w14:paraId="795D08C8" w14:textId="77777777" w:rsidR="00794EB9" w:rsidRPr="00794EB9" w:rsidRDefault="00794EB9" w:rsidP="0018463D">
      <w:pPr>
        <w:pStyle w:val="Prrafodelista"/>
        <w:numPr>
          <w:ilvl w:val="1"/>
          <w:numId w:val="19"/>
        </w:numPr>
        <w:suppressAutoHyphens/>
        <w:jc w:val="both"/>
        <w:textAlignment w:val="top"/>
        <w:outlineLvl w:val="0"/>
        <w:rPr>
          <w:rFonts w:ascii="Arial" w:hAnsi="Arial" w:cs="Arial"/>
          <w:sz w:val="22"/>
          <w:szCs w:val="22"/>
        </w:rPr>
      </w:pPr>
      <w:r w:rsidRPr="00794EB9">
        <w:rPr>
          <w:rFonts w:ascii="Arial" w:hAnsi="Arial" w:cs="Arial"/>
          <w:sz w:val="22"/>
          <w:szCs w:val="22"/>
        </w:rPr>
        <w:t>Pilar 1.2 Sustentabilidad ante el cambio climático. Aprovechar de manera racional y sustentable los recursos naturales a favor de la mitigación y adaptación ante el cambio climático.</w:t>
      </w:r>
    </w:p>
    <w:p w14:paraId="0126E535" w14:textId="77777777" w:rsidR="00794EB9" w:rsidRPr="00794EB9" w:rsidRDefault="00794EB9" w:rsidP="00794EB9">
      <w:pPr>
        <w:pStyle w:val="Prrafodelista"/>
        <w:ind w:left="719"/>
        <w:jc w:val="both"/>
        <w:rPr>
          <w:rFonts w:ascii="Arial" w:hAnsi="Arial" w:cs="Arial"/>
          <w:sz w:val="22"/>
          <w:szCs w:val="22"/>
        </w:rPr>
      </w:pPr>
    </w:p>
    <w:p w14:paraId="4C33E22B" w14:textId="77777777" w:rsidR="00794EB9" w:rsidRPr="00794EB9" w:rsidRDefault="00794EB9" w:rsidP="00794EB9">
      <w:pPr>
        <w:pStyle w:val="Prrafodelista"/>
        <w:ind w:left="719"/>
        <w:jc w:val="both"/>
        <w:rPr>
          <w:rFonts w:ascii="Arial" w:hAnsi="Arial" w:cs="Arial"/>
          <w:sz w:val="22"/>
          <w:szCs w:val="22"/>
        </w:rPr>
      </w:pPr>
    </w:p>
    <w:tbl>
      <w:tblPr>
        <w:tblStyle w:val="Tablaconcuadrcula3"/>
        <w:tblW w:w="5000" w:type="pct"/>
        <w:jc w:val="center"/>
        <w:tblCellMar>
          <w:top w:w="57" w:type="dxa"/>
          <w:bottom w:w="57" w:type="dxa"/>
        </w:tblCellMar>
        <w:tblLook w:val="04A0" w:firstRow="1" w:lastRow="0" w:firstColumn="1" w:lastColumn="0" w:noHBand="0" w:noVBand="1"/>
      </w:tblPr>
      <w:tblGrid>
        <w:gridCol w:w="1663"/>
        <w:gridCol w:w="2168"/>
        <w:gridCol w:w="1559"/>
        <w:gridCol w:w="1537"/>
        <w:gridCol w:w="1901"/>
      </w:tblGrid>
      <w:tr w:rsidR="00794EB9" w:rsidRPr="00794EB9" w14:paraId="0E47289C" w14:textId="77777777" w:rsidTr="00C307FB">
        <w:trPr>
          <w:trHeight w:val="57"/>
          <w:jc w:val="center"/>
        </w:trPr>
        <w:tc>
          <w:tcPr>
            <w:tcW w:w="950" w:type="pct"/>
            <w:tcBorders>
              <w:top w:val="single" w:sz="4" w:space="0" w:color="auto"/>
            </w:tcBorders>
            <w:shd w:val="clear" w:color="auto" w:fill="E8E7E9"/>
            <w:vAlign w:val="center"/>
          </w:tcPr>
          <w:p w14:paraId="7D786323"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E8E7E9"/>
            <w:vAlign w:val="center"/>
          </w:tcPr>
          <w:p w14:paraId="0E802104"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E8E7E9"/>
            <w:vAlign w:val="center"/>
          </w:tcPr>
          <w:p w14:paraId="647F4E1F"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E8E7E9"/>
            <w:vAlign w:val="center"/>
          </w:tcPr>
          <w:p w14:paraId="02E4F9E5"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Fuente</w:t>
            </w:r>
          </w:p>
        </w:tc>
        <w:tc>
          <w:tcPr>
            <w:tcW w:w="1084" w:type="pct"/>
            <w:tcBorders>
              <w:top w:val="single" w:sz="4" w:space="0" w:color="auto"/>
            </w:tcBorders>
            <w:shd w:val="clear" w:color="auto" w:fill="E8E7E9"/>
            <w:vAlign w:val="center"/>
          </w:tcPr>
          <w:p w14:paraId="2553789F"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Meta 2030</w:t>
            </w:r>
          </w:p>
        </w:tc>
      </w:tr>
      <w:tr w:rsidR="00794EB9" w:rsidRPr="00794EB9" w14:paraId="1C9BB4CA" w14:textId="77777777" w:rsidTr="00C307FB">
        <w:trPr>
          <w:trHeight w:val="57"/>
          <w:jc w:val="center"/>
        </w:trPr>
        <w:tc>
          <w:tcPr>
            <w:tcW w:w="950" w:type="pct"/>
            <w:vAlign w:val="center"/>
          </w:tcPr>
          <w:p w14:paraId="5AED9FAB"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Número de especies de fauna en la zona urbana</w:t>
            </w:r>
          </w:p>
        </w:tc>
        <w:tc>
          <w:tcPr>
            <w:tcW w:w="1236" w:type="pct"/>
            <w:vAlign w:val="center"/>
          </w:tcPr>
          <w:p w14:paraId="69134965" w14:textId="77777777" w:rsidR="00794EB9" w:rsidRPr="00794EB9" w:rsidRDefault="00794EB9" w:rsidP="00C307FB">
            <w:pPr>
              <w:ind w:hanging="2"/>
              <w:rPr>
                <w:rFonts w:ascii="Arial" w:hAnsi="Arial" w:cs="Arial"/>
                <w:iCs/>
                <w:sz w:val="22"/>
                <w:szCs w:val="22"/>
              </w:rPr>
            </w:pPr>
            <w:r w:rsidRPr="00794EB9">
              <w:rPr>
                <w:rFonts w:ascii="Arial" w:hAnsi="Arial" w:cs="Arial"/>
                <w:iCs/>
                <w:sz w:val="22"/>
                <w:szCs w:val="22"/>
              </w:rPr>
              <w:t>Muestra el cambio en el número de especies registradas de fauna nativa y exóticas presentes en la zona urbana como aves, mamíferos, reptiles, anfibios y polinizadores.</w:t>
            </w:r>
          </w:p>
        </w:tc>
        <w:tc>
          <w:tcPr>
            <w:tcW w:w="891" w:type="pct"/>
            <w:vAlign w:val="center"/>
          </w:tcPr>
          <w:p w14:paraId="23F3A59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149 especies de fauna</w:t>
            </w:r>
          </w:p>
        </w:tc>
        <w:tc>
          <w:tcPr>
            <w:tcW w:w="839" w:type="pct"/>
            <w:vAlign w:val="center"/>
          </w:tcPr>
          <w:p w14:paraId="5523B1D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Instituto Municipal de Planeación. Índice de Biodiversidad Urbana, 2020</w:t>
            </w:r>
          </w:p>
        </w:tc>
        <w:tc>
          <w:tcPr>
            <w:tcW w:w="1084" w:type="pct"/>
            <w:vAlign w:val="center"/>
          </w:tcPr>
          <w:p w14:paraId="556B9E10"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Mantener el número del registro de especies de fauna en la zona urbana</w:t>
            </w:r>
          </w:p>
        </w:tc>
      </w:tr>
      <w:tr w:rsidR="00794EB9" w:rsidRPr="00794EB9" w14:paraId="2FC364A0" w14:textId="77777777" w:rsidTr="00C307FB">
        <w:trPr>
          <w:trHeight w:val="57"/>
          <w:jc w:val="center"/>
        </w:trPr>
        <w:tc>
          <w:tcPr>
            <w:tcW w:w="950" w:type="pct"/>
            <w:vAlign w:val="center"/>
          </w:tcPr>
          <w:p w14:paraId="1C736F38"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Número de hectáreas de recuperación y conservación de suelo en el municipio</w:t>
            </w:r>
          </w:p>
        </w:tc>
        <w:tc>
          <w:tcPr>
            <w:tcW w:w="1236" w:type="pct"/>
          </w:tcPr>
          <w:p w14:paraId="137E75E9" w14:textId="77777777" w:rsidR="00794EB9" w:rsidRPr="00794EB9" w:rsidRDefault="00794EB9" w:rsidP="00C307FB">
            <w:pPr>
              <w:ind w:hanging="2"/>
              <w:rPr>
                <w:rFonts w:ascii="Arial" w:hAnsi="Arial" w:cs="Arial"/>
                <w:iCs/>
                <w:sz w:val="22"/>
                <w:szCs w:val="22"/>
              </w:rPr>
            </w:pPr>
            <w:r w:rsidRPr="00794EB9">
              <w:rPr>
                <w:rFonts w:ascii="Arial" w:hAnsi="Arial" w:cs="Arial"/>
                <w:iCs/>
                <w:sz w:val="22"/>
                <w:szCs w:val="22"/>
              </w:rPr>
              <w:t>Superficie en hectáreas recuperadas por acciones de conservación y compensación de suelo.</w:t>
            </w:r>
          </w:p>
        </w:tc>
        <w:tc>
          <w:tcPr>
            <w:tcW w:w="891" w:type="pct"/>
          </w:tcPr>
          <w:p w14:paraId="757E38D1" w14:textId="77777777" w:rsidR="00794EB9" w:rsidRPr="00794EB9" w:rsidRDefault="00794EB9" w:rsidP="00C307FB">
            <w:pPr>
              <w:ind w:hanging="2"/>
              <w:jc w:val="center"/>
              <w:rPr>
                <w:rFonts w:ascii="Arial" w:hAnsi="Arial" w:cs="Arial"/>
                <w:iCs/>
                <w:sz w:val="22"/>
                <w:szCs w:val="22"/>
              </w:rPr>
            </w:pPr>
            <w:r w:rsidRPr="00794EB9">
              <w:rPr>
                <w:rFonts w:ascii="Arial" w:hAnsi="Arial" w:cs="Arial"/>
                <w:iCs/>
                <w:sz w:val="22"/>
                <w:szCs w:val="22"/>
              </w:rPr>
              <w:t>7 hectáreas</w:t>
            </w:r>
          </w:p>
        </w:tc>
        <w:tc>
          <w:tcPr>
            <w:tcW w:w="839" w:type="pct"/>
            <w:vAlign w:val="center"/>
          </w:tcPr>
          <w:p w14:paraId="0656AD9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Dirección General de Medio Ambiente, 2020</w:t>
            </w:r>
          </w:p>
        </w:tc>
        <w:tc>
          <w:tcPr>
            <w:tcW w:w="1084" w:type="pct"/>
            <w:vAlign w:val="center"/>
          </w:tcPr>
          <w:p w14:paraId="464DBFC9"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Recuperar 100 hectáreas de suelo degradado en el municipio a través de las acciones de conservación y compensación</w:t>
            </w:r>
          </w:p>
        </w:tc>
      </w:tr>
    </w:tbl>
    <w:p w14:paraId="75F82976" w14:textId="77777777" w:rsidR="00794EB9" w:rsidRPr="00794EB9" w:rsidRDefault="00794EB9" w:rsidP="00794EB9">
      <w:pPr>
        <w:jc w:val="both"/>
        <w:rPr>
          <w:rFonts w:ascii="Arial" w:hAnsi="Arial" w:cs="Arial"/>
          <w:sz w:val="22"/>
          <w:szCs w:val="22"/>
        </w:rPr>
      </w:pPr>
    </w:p>
    <w:p w14:paraId="4C5B7DD1" w14:textId="77777777" w:rsidR="00794EB9" w:rsidRPr="00794EB9" w:rsidRDefault="00794EB9" w:rsidP="0018463D">
      <w:pPr>
        <w:pStyle w:val="Prrafodelista"/>
        <w:numPr>
          <w:ilvl w:val="1"/>
          <w:numId w:val="19"/>
        </w:numPr>
        <w:suppressAutoHyphens/>
        <w:jc w:val="both"/>
        <w:textAlignment w:val="top"/>
        <w:outlineLvl w:val="0"/>
        <w:rPr>
          <w:rFonts w:ascii="Arial" w:hAnsi="Arial" w:cs="Arial"/>
          <w:sz w:val="22"/>
          <w:szCs w:val="22"/>
        </w:rPr>
      </w:pPr>
      <w:r w:rsidRPr="00794EB9">
        <w:rPr>
          <w:rFonts w:ascii="Arial" w:hAnsi="Arial" w:cs="Arial"/>
          <w:sz w:val="22"/>
          <w:szCs w:val="22"/>
        </w:rPr>
        <w:lastRenderedPageBreak/>
        <w:t>Pilar 1.3 Gestión integral de residuos sólidos urbanos. Consolidar el modelo para la gestión y manejo integral de los residuos sólidos, desde su recolección hasta su disposición final.</w:t>
      </w:r>
    </w:p>
    <w:tbl>
      <w:tblPr>
        <w:tblStyle w:val="Tablaconcuadrcula3"/>
        <w:tblW w:w="5000" w:type="pct"/>
        <w:tblCellMar>
          <w:top w:w="57" w:type="dxa"/>
          <w:bottom w:w="57" w:type="dxa"/>
        </w:tblCellMar>
        <w:tblLook w:val="04A0" w:firstRow="1" w:lastRow="0" w:firstColumn="1" w:lastColumn="0" w:noHBand="0" w:noVBand="1"/>
      </w:tblPr>
      <w:tblGrid>
        <w:gridCol w:w="1678"/>
        <w:gridCol w:w="2182"/>
        <w:gridCol w:w="1573"/>
        <w:gridCol w:w="1481"/>
        <w:gridCol w:w="1914"/>
      </w:tblGrid>
      <w:tr w:rsidR="00794EB9" w:rsidRPr="00794EB9" w14:paraId="1ABF565A" w14:textId="77777777" w:rsidTr="00C307FB">
        <w:trPr>
          <w:trHeight w:val="57"/>
        </w:trPr>
        <w:tc>
          <w:tcPr>
            <w:tcW w:w="950" w:type="pct"/>
            <w:tcBorders>
              <w:top w:val="single" w:sz="4" w:space="0" w:color="auto"/>
            </w:tcBorders>
            <w:shd w:val="clear" w:color="auto" w:fill="E8E7E9"/>
            <w:vAlign w:val="center"/>
          </w:tcPr>
          <w:p w14:paraId="6CF68EC5"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E8E7E9"/>
            <w:vAlign w:val="center"/>
          </w:tcPr>
          <w:p w14:paraId="49CFFF39"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E8E7E9"/>
            <w:vAlign w:val="center"/>
          </w:tcPr>
          <w:p w14:paraId="4B7EF7A9"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E8E7E9"/>
            <w:vAlign w:val="center"/>
          </w:tcPr>
          <w:p w14:paraId="60EFF2F2"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84" w:type="pct"/>
            <w:tcBorders>
              <w:top w:val="single" w:sz="4" w:space="0" w:color="auto"/>
            </w:tcBorders>
            <w:shd w:val="clear" w:color="auto" w:fill="E8E7E9"/>
            <w:vAlign w:val="center"/>
          </w:tcPr>
          <w:p w14:paraId="704824F9"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0081921C" w14:textId="77777777" w:rsidTr="00C307FB">
        <w:trPr>
          <w:trHeight w:val="57"/>
        </w:trPr>
        <w:tc>
          <w:tcPr>
            <w:tcW w:w="950" w:type="pct"/>
            <w:tcBorders>
              <w:top w:val="single" w:sz="4" w:space="0" w:color="auto"/>
            </w:tcBorders>
            <w:vAlign w:val="center"/>
          </w:tcPr>
          <w:p w14:paraId="396071C5"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Toneladas de residuos sólidos domiciliarios recolectados y confinados en el relleno sanitario</w:t>
            </w:r>
          </w:p>
        </w:tc>
        <w:tc>
          <w:tcPr>
            <w:tcW w:w="1236" w:type="pct"/>
            <w:tcBorders>
              <w:top w:val="single" w:sz="4" w:space="0" w:color="auto"/>
            </w:tcBorders>
            <w:vAlign w:val="center"/>
          </w:tcPr>
          <w:p w14:paraId="43F95973"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Son las toneladas totales de residuos sólidos urbanos recolectados y confinados en el relleno sanitario.</w:t>
            </w:r>
          </w:p>
        </w:tc>
        <w:tc>
          <w:tcPr>
            <w:tcW w:w="891" w:type="pct"/>
            <w:tcBorders>
              <w:top w:val="single" w:sz="4" w:space="0" w:color="auto"/>
            </w:tcBorders>
            <w:vAlign w:val="center"/>
          </w:tcPr>
          <w:p w14:paraId="4FE9642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459 mil 163 toneladas</w:t>
            </w:r>
          </w:p>
        </w:tc>
        <w:tc>
          <w:tcPr>
            <w:tcW w:w="839" w:type="pct"/>
            <w:tcBorders>
              <w:top w:val="single" w:sz="4" w:space="0" w:color="auto"/>
            </w:tcBorders>
            <w:vAlign w:val="center"/>
          </w:tcPr>
          <w:p w14:paraId="47B4CC31"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SIAP</w:t>
            </w:r>
          </w:p>
          <w:p w14:paraId="7E0A565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84" w:type="pct"/>
            <w:tcBorders>
              <w:top w:val="single" w:sz="4" w:space="0" w:color="auto"/>
            </w:tcBorders>
          </w:tcPr>
          <w:p w14:paraId="6D9ECF3F"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t>Reducir 45 mil 916 toneladas de residuos sólidos domiciliarios recolectados y confinados en el relleno sanitario.</w:t>
            </w:r>
          </w:p>
        </w:tc>
      </w:tr>
      <w:tr w:rsidR="00794EB9" w:rsidRPr="00794EB9" w14:paraId="12739DDA" w14:textId="77777777" w:rsidTr="00C307FB">
        <w:trPr>
          <w:trHeight w:val="57"/>
        </w:trPr>
        <w:tc>
          <w:tcPr>
            <w:tcW w:w="950" w:type="pct"/>
            <w:shd w:val="clear" w:color="auto" w:fill="auto"/>
            <w:vAlign w:val="center"/>
          </w:tcPr>
          <w:p w14:paraId="05CEF725"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Toneladas de residuos sólidos valorizables recuperados para el reciclaje</w:t>
            </w:r>
          </w:p>
        </w:tc>
        <w:tc>
          <w:tcPr>
            <w:tcW w:w="1236" w:type="pct"/>
            <w:shd w:val="clear" w:color="auto" w:fill="auto"/>
            <w:vAlign w:val="center"/>
          </w:tcPr>
          <w:p w14:paraId="6FEBF80B"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Son las toneladas totales de residuos sólidos recuperados para su reciclaje por el Sistema Integral de Aseo Público, que no son confinados en el relleno sanitario y permiten aumentar su vida útil.</w:t>
            </w:r>
          </w:p>
        </w:tc>
        <w:tc>
          <w:tcPr>
            <w:tcW w:w="891" w:type="pct"/>
            <w:shd w:val="clear" w:color="auto" w:fill="auto"/>
            <w:vAlign w:val="center"/>
          </w:tcPr>
          <w:p w14:paraId="4A97ACC6"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237 toneladas</w:t>
            </w:r>
          </w:p>
        </w:tc>
        <w:tc>
          <w:tcPr>
            <w:tcW w:w="839" w:type="pct"/>
            <w:shd w:val="clear" w:color="auto" w:fill="auto"/>
            <w:vAlign w:val="center"/>
          </w:tcPr>
          <w:p w14:paraId="37CBFC60"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SIAP</w:t>
            </w:r>
          </w:p>
          <w:p w14:paraId="279DBD8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84" w:type="pct"/>
            <w:shd w:val="clear" w:color="auto" w:fill="auto"/>
            <w:vAlign w:val="center"/>
          </w:tcPr>
          <w:p w14:paraId="697D996B"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t>Incrementar a 2 mil 577 toneladas de residuos sólidos valorizables</w:t>
            </w:r>
          </w:p>
        </w:tc>
      </w:tr>
      <w:tr w:rsidR="00794EB9" w:rsidRPr="00794EB9" w14:paraId="4BC6A9EF" w14:textId="77777777" w:rsidTr="00C307FB">
        <w:trPr>
          <w:trHeight w:val="57"/>
        </w:trPr>
        <w:tc>
          <w:tcPr>
            <w:tcW w:w="950" w:type="pct"/>
            <w:vAlign w:val="center"/>
          </w:tcPr>
          <w:p w14:paraId="787B70F6"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bCs/>
                <w:sz w:val="22"/>
                <w:szCs w:val="22"/>
              </w:rPr>
              <w:t>Toneladas de residuos electrónicos valorizables recuperados.</w:t>
            </w:r>
          </w:p>
        </w:tc>
        <w:tc>
          <w:tcPr>
            <w:tcW w:w="1236" w:type="pct"/>
            <w:vAlign w:val="center"/>
          </w:tcPr>
          <w:p w14:paraId="32A9731F"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Muestra las toneladas de residuos sólidos electrónicos recuperados por los centros de acopio y campañas de promoción.</w:t>
            </w:r>
          </w:p>
        </w:tc>
        <w:tc>
          <w:tcPr>
            <w:tcW w:w="891" w:type="pct"/>
            <w:vAlign w:val="center"/>
          </w:tcPr>
          <w:p w14:paraId="29B2398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29 toneladas</w:t>
            </w:r>
          </w:p>
        </w:tc>
        <w:tc>
          <w:tcPr>
            <w:tcW w:w="839" w:type="pct"/>
            <w:vAlign w:val="center"/>
          </w:tcPr>
          <w:p w14:paraId="35553AD8"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DGMA</w:t>
            </w:r>
          </w:p>
          <w:p w14:paraId="21BF4BA9"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84" w:type="pct"/>
            <w:vAlign w:val="center"/>
          </w:tcPr>
          <w:p w14:paraId="42C6480B"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t>Incrementar a 348 toneladas la recuperación de residuos electrónicos valorizables.</w:t>
            </w:r>
          </w:p>
        </w:tc>
      </w:tr>
    </w:tbl>
    <w:p w14:paraId="1F720ACC" w14:textId="77777777" w:rsidR="00794EB9" w:rsidRPr="00794EB9" w:rsidRDefault="00794EB9" w:rsidP="00794EB9">
      <w:pPr>
        <w:jc w:val="both"/>
        <w:rPr>
          <w:rFonts w:ascii="Arial" w:hAnsi="Arial" w:cs="Arial"/>
          <w:sz w:val="22"/>
          <w:szCs w:val="22"/>
        </w:rPr>
      </w:pPr>
    </w:p>
    <w:p w14:paraId="7514E6D5"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1.6 Modelo urbano integrador. Lograr una ciudad incluyente, accesible, consolidada y densificada con procesos de regeneración, ordenamiento e integración entre los sistemas de movilidad e infraestructura verde.</w:t>
      </w:r>
    </w:p>
    <w:p w14:paraId="3DE87875" w14:textId="77777777" w:rsidR="00794EB9" w:rsidRPr="00794EB9" w:rsidRDefault="00794EB9" w:rsidP="00794EB9">
      <w:pPr>
        <w:jc w:val="both"/>
        <w:rPr>
          <w:rFonts w:ascii="Arial" w:hAnsi="Arial" w:cs="Arial"/>
          <w:sz w:val="22"/>
          <w:szCs w:val="22"/>
        </w:rPr>
      </w:pPr>
    </w:p>
    <w:p w14:paraId="1A61FCBE" w14:textId="77777777" w:rsidR="00794EB9" w:rsidRPr="00794EB9" w:rsidRDefault="00794EB9" w:rsidP="00794EB9">
      <w:pPr>
        <w:jc w:val="both"/>
        <w:rPr>
          <w:rFonts w:ascii="Arial" w:hAnsi="Arial" w:cs="Arial"/>
          <w:sz w:val="22"/>
          <w:szCs w:val="22"/>
        </w:rPr>
      </w:pPr>
    </w:p>
    <w:tbl>
      <w:tblPr>
        <w:tblStyle w:val="Tablaconcuadrcula3"/>
        <w:tblW w:w="5000" w:type="pct"/>
        <w:jc w:val="center"/>
        <w:tblCellMar>
          <w:top w:w="57" w:type="dxa"/>
          <w:bottom w:w="57" w:type="dxa"/>
        </w:tblCellMar>
        <w:tblLook w:val="04A0" w:firstRow="1" w:lastRow="0" w:firstColumn="1" w:lastColumn="0" w:noHBand="0" w:noVBand="1"/>
      </w:tblPr>
      <w:tblGrid>
        <w:gridCol w:w="1818"/>
        <w:gridCol w:w="2090"/>
        <w:gridCol w:w="1708"/>
        <w:gridCol w:w="1389"/>
        <w:gridCol w:w="1823"/>
      </w:tblGrid>
      <w:tr w:rsidR="00794EB9" w:rsidRPr="00794EB9" w14:paraId="6D1BFFC8" w14:textId="77777777" w:rsidTr="00C307FB">
        <w:trPr>
          <w:trHeight w:val="57"/>
          <w:jc w:val="center"/>
        </w:trPr>
        <w:tc>
          <w:tcPr>
            <w:tcW w:w="950" w:type="pct"/>
            <w:tcBorders>
              <w:top w:val="single" w:sz="4" w:space="0" w:color="auto"/>
            </w:tcBorders>
            <w:shd w:val="clear" w:color="auto" w:fill="E8E7E9"/>
            <w:vAlign w:val="center"/>
          </w:tcPr>
          <w:p w14:paraId="3C29CF81"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E8E7E9"/>
            <w:vAlign w:val="center"/>
          </w:tcPr>
          <w:p w14:paraId="2B0A5078"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E8E7E9"/>
            <w:vAlign w:val="center"/>
          </w:tcPr>
          <w:p w14:paraId="45BDE5CF"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E8E7E9"/>
            <w:vAlign w:val="center"/>
          </w:tcPr>
          <w:p w14:paraId="2126045A"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84" w:type="pct"/>
            <w:tcBorders>
              <w:top w:val="single" w:sz="4" w:space="0" w:color="auto"/>
            </w:tcBorders>
            <w:shd w:val="clear" w:color="auto" w:fill="E8E7E9"/>
            <w:vAlign w:val="center"/>
          </w:tcPr>
          <w:p w14:paraId="4A81B57B"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58E73B1D" w14:textId="77777777" w:rsidTr="00C307FB">
        <w:trPr>
          <w:trHeight w:val="820"/>
          <w:jc w:val="center"/>
        </w:trPr>
        <w:tc>
          <w:tcPr>
            <w:tcW w:w="950" w:type="pct"/>
            <w:vAlign w:val="center"/>
          </w:tcPr>
          <w:p w14:paraId="66307C29"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 xml:space="preserve">Porcentaje de acciones implementadas para la </w:t>
            </w:r>
            <w:r w:rsidRPr="00794EB9">
              <w:rPr>
                <w:rFonts w:ascii="Arial" w:hAnsi="Arial" w:cs="Arial"/>
                <w:b/>
                <w:bCs/>
                <w:sz w:val="22"/>
                <w:szCs w:val="22"/>
              </w:rPr>
              <w:lastRenderedPageBreak/>
              <w:t>infraestructura verde</w:t>
            </w:r>
          </w:p>
          <w:p w14:paraId="6D182F4C" w14:textId="77777777" w:rsidR="00794EB9" w:rsidRPr="00794EB9" w:rsidRDefault="00794EB9" w:rsidP="00C307FB">
            <w:pPr>
              <w:ind w:hanging="2"/>
              <w:jc w:val="center"/>
              <w:rPr>
                <w:rFonts w:ascii="Arial" w:hAnsi="Arial" w:cs="Arial"/>
                <w:b/>
                <w:iCs/>
                <w:sz w:val="22"/>
                <w:szCs w:val="22"/>
              </w:rPr>
            </w:pPr>
          </w:p>
        </w:tc>
        <w:tc>
          <w:tcPr>
            <w:tcW w:w="1236" w:type="pct"/>
            <w:vAlign w:val="center"/>
          </w:tcPr>
          <w:p w14:paraId="53DB60DB"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lastRenderedPageBreak/>
              <w:t xml:space="preserve">Porcentaje de programas implementados para la infraestructura </w:t>
            </w:r>
            <w:r w:rsidRPr="00794EB9">
              <w:rPr>
                <w:rFonts w:ascii="Arial" w:hAnsi="Arial" w:cs="Arial"/>
                <w:sz w:val="22"/>
                <w:szCs w:val="22"/>
              </w:rPr>
              <w:lastRenderedPageBreak/>
              <w:t>verde, conformada por nodos primarios - parques metropolitanos, secundarios - parques urbanos y jardines públicos, conectores fluviales - parques lineales, no fluviales - ciclovías y andadores peatonales.</w:t>
            </w:r>
          </w:p>
        </w:tc>
        <w:tc>
          <w:tcPr>
            <w:tcW w:w="891" w:type="pct"/>
            <w:vAlign w:val="center"/>
          </w:tcPr>
          <w:p w14:paraId="221FA147"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lastRenderedPageBreak/>
              <w:t>50%</w:t>
            </w:r>
          </w:p>
          <w:p w14:paraId="327AF3F7"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 xml:space="preserve">Programas implementados </w:t>
            </w:r>
          </w:p>
        </w:tc>
        <w:tc>
          <w:tcPr>
            <w:tcW w:w="839" w:type="pct"/>
            <w:vAlign w:val="center"/>
          </w:tcPr>
          <w:p w14:paraId="31EE1609"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w:t>
            </w:r>
          </w:p>
          <w:p w14:paraId="15D01FCE"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84" w:type="pct"/>
            <w:vAlign w:val="center"/>
          </w:tcPr>
          <w:p w14:paraId="6C60CEB7"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t xml:space="preserve">Conformar y consolidar la red de infraestructura verde a través </w:t>
            </w:r>
            <w:r w:rsidRPr="00794EB9">
              <w:rPr>
                <w:rFonts w:ascii="Arial" w:hAnsi="Arial" w:cs="Arial"/>
                <w:b/>
                <w:bCs/>
                <w:sz w:val="22"/>
                <w:szCs w:val="22"/>
              </w:rPr>
              <w:lastRenderedPageBreak/>
              <w:t>de 10 programas, con un planteamiento de diseño y planificación basada en los ecosistemas naturales - urbanismo ecológico.</w:t>
            </w:r>
          </w:p>
        </w:tc>
      </w:tr>
    </w:tbl>
    <w:p w14:paraId="39D3B275" w14:textId="77777777" w:rsidR="00794EB9" w:rsidRPr="00794EB9" w:rsidRDefault="00794EB9" w:rsidP="00794EB9">
      <w:pPr>
        <w:jc w:val="both"/>
        <w:rPr>
          <w:rFonts w:ascii="Arial" w:hAnsi="Arial" w:cs="Arial"/>
          <w:sz w:val="22"/>
          <w:szCs w:val="22"/>
        </w:rPr>
      </w:pPr>
    </w:p>
    <w:p w14:paraId="09721410"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3.1 Recreación accesible y de calidad. Ampliar la oferta de sitios y opciones de recreación y esparcimiento, con altos estándares de calidad, que sean accesibles para las y los leoneses y visitantes.</w:t>
      </w:r>
    </w:p>
    <w:p w14:paraId="78787051"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4968EBB4" w14:textId="77777777" w:rsidTr="00C307FB">
        <w:trPr>
          <w:trHeight w:val="57"/>
        </w:trPr>
        <w:tc>
          <w:tcPr>
            <w:tcW w:w="1048" w:type="pct"/>
            <w:tcBorders>
              <w:bottom w:val="single" w:sz="4" w:space="0" w:color="auto"/>
            </w:tcBorders>
            <w:shd w:val="clear" w:color="auto" w:fill="E8E7E9"/>
            <w:vAlign w:val="center"/>
          </w:tcPr>
          <w:p w14:paraId="3F79D0B5"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tcBorders>
              <w:bottom w:val="single" w:sz="4" w:space="0" w:color="auto"/>
            </w:tcBorders>
            <w:shd w:val="clear" w:color="auto" w:fill="E8E7E9"/>
            <w:vAlign w:val="center"/>
          </w:tcPr>
          <w:p w14:paraId="3F487E34"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tcBorders>
              <w:bottom w:val="single" w:sz="4" w:space="0" w:color="auto"/>
            </w:tcBorders>
            <w:shd w:val="clear" w:color="auto" w:fill="E8E7E9"/>
            <w:vAlign w:val="center"/>
          </w:tcPr>
          <w:p w14:paraId="5B1E718C"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50" w:type="pct"/>
            <w:tcBorders>
              <w:bottom w:val="single" w:sz="4" w:space="0" w:color="auto"/>
            </w:tcBorders>
            <w:shd w:val="clear" w:color="auto" w:fill="E8E7E9"/>
            <w:vAlign w:val="center"/>
          </w:tcPr>
          <w:p w14:paraId="39F6EDD6"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07" w:type="pct"/>
            <w:tcBorders>
              <w:bottom w:val="single" w:sz="4" w:space="0" w:color="auto"/>
            </w:tcBorders>
            <w:shd w:val="clear" w:color="auto" w:fill="E8E7E9"/>
            <w:vAlign w:val="center"/>
          </w:tcPr>
          <w:p w14:paraId="510F0CBF"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18C05E8F" w14:textId="77777777" w:rsidTr="00C307FB">
        <w:trPr>
          <w:trHeight w:val="57"/>
        </w:trPr>
        <w:tc>
          <w:tcPr>
            <w:tcW w:w="1048" w:type="pct"/>
            <w:tcBorders>
              <w:bottom w:val="single" w:sz="4" w:space="0" w:color="auto"/>
            </w:tcBorders>
            <w:shd w:val="clear" w:color="auto" w:fill="auto"/>
            <w:vAlign w:val="center"/>
          </w:tcPr>
          <w:p w14:paraId="59273CF1"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 xml:space="preserve">Superficie de espacios públicos </w:t>
            </w:r>
          </w:p>
        </w:tc>
        <w:tc>
          <w:tcPr>
            <w:tcW w:w="1246" w:type="pct"/>
            <w:tcBorders>
              <w:bottom w:val="single" w:sz="4" w:space="0" w:color="auto"/>
            </w:tcBorders>
            <w:shd w:val="clear" w:color="auto" w:fill="auto"/>
            <w:vAlign w:val="center"/>
          </w:tcPr>
          <w:p w14:paraId="5159E09C" w14:textId="77777777" w:rsidR="00794EB9" w:rsidRPr="00794EB9" w:rsidRDefault="00794EB9" w:rsidP="00C307FB">
            <w:pPr>
              <w:ind w:hanging="2"/>
              <w:rPr>
                <w:rFonts w:ascii="Arial" w:hAnsi="Arial" w:cs="Arial"/>
                <w:b/>
                <w:bCs/>
                <w:sz w:val="22"/>
                <w:szCs w:val="22"/>
              </w:rPr>
            </w:pPr>
            <w:r w:rsidRPr="00794EB9">
              <w:rPr>
                <w:rFonts w:ascii="Arial" w:hAnsi="Arial" w:cs="Arial"/>
                <w:sz w:val="22"/>
                <w:szCs w:val="22"/>
              </w:rPr>
              <w:t>Es la suma conformada por los espacios públicos como áreas verdes, parques, parques lineales y plazas que se encuentran dentro de la zona urbana y prestan un beneficio para el intercambio del tejido social.</w:t>
            </w:r>
          </w:p>
        </w:tc>
        <w:tc>
          <w:tcPr>
            <w:tcW w:w="849" w:type="pct"/>
            <w:tcBorders>
              <w:bottom w:val="single" w:sz="4" w:space="0" w:color="auto"/>
            </w:tcBorders>
            <w:shd w:val="clear" w:color="auto" w:fill="auto"/>
            <w:vAlign w:val="center"/>
          </w:tcPr>
          <w:p w14:paraId="000AB291" w14:textId="77777777" w:rsidR="00794EB9" w:rsidRPr="00794EB9" w:rsidRDefault="00794EB9" w:rsidP="00C307FB">
            <w:pPr>
              <w:ind w:hanging="2"/>
              <w:jc w:val="center"/>
              <w:rPr>
                <w:rFonts w:ascii="Arial" w:hAnsi="Arial" w:cs="Arial"/>
                <w:b/>
                <w:bCs/>
                <w:sz w:val="22"/>
                <w:szCs w:val="22"/>
              </w:rPr>
            </w:pPr>
            <w:r w:rsidRPr="00794EB9">
              <w:rPr>
                <w:rFonts w:ascii="Arial" w:hAnsi="Arial" w:cs="Arial"/>
                <w:sz w:val="22"/>
                <w:szCs w:val="22"/>
              </w:rPr>
              <w:t>816.1 Hectáreas</w:t>
            </w:r>
          </w:p>
        </w:tc>
        <w:tc>
          <w:tcPr>
            <w:tcW w:w="850" w:type="pct"/>
            <w:tcBorders>
              <w:bottom w:val="single" w:sz="4" w:space="0" w:color="auto"/>
            </w:tcBorders>
            <w:shd w:val="clear" w:color="auto" w:fill="auto"/>
            <w:vAlign w:val="center"/>
          </w:tcPr>
          <w:p w14:paraId="35711BC0"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w:t>
            </w:r>
          </w:p>
          <w:p w14:paraId="4F425BA2"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07" w:type="pct"/>
            <w:tcBorders>
              <w:bottom w:val="single" w:sz="4" w:space="0" w:color="auto"/>
            </w:tcBorders>
            <w:shd w:val="clear" w:color="auto" w:fill="auto"/>
            <w:vAlign w:val="center"/>
          </w:tcPr>
          <w:p w14:paraId="3FC236E2"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Incrementar a 827 Hectáreas la superficie de espacios públicos</w:t>
            </w:r>
          </w:p>
        </w:tc>
      </w:tr>
      <w:tr w:rsidR="00794EB9" w:rsidRPr="00794EB9" w14:paraId="4AC19FED" w14:textId="77777777" w:rsidTr="00C307FB">
        <w:trPr>
          <w:trHeight w:val="57"/>
        </w:trPr>
        <w:tc>
          <w:tcPr>
            <w:tcW w:w="1048" w:type="pct"/>
            <w:tcBorders>
              <w:bottom w:val="single" w:sz="4" w:space="0" w:color="auto"/>
            </w:tcBorders>
            <w:shd w:val="clear" w:color="auto" w:fill="auto"/>
            <w:vAlign w:val="center"/>
          </w:tcPr>
          <w:p w14:paraId="26F8615A"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Porcentaje de cobertura geográfica de los espacios públicos</w:t>
            </w:r>
          </w:p>
          <w:p w14:paraId="21BB8586" w14:textId="77777777" w:rsidR="00794EB9" w:rsidRPr="00794EB9" w:rsidRDefault="00794EB9" w:rsidP="00C307FB">
            <w:pPr>
              <w:ind w:hanging="2"/>
              <w:jc w:val="center"/>
              <w:rPr>
                <w:rFonts w:ascii="Arial" w:hAnsi="Arial" w:cs="Arial"/>
                <w:b/>
                <w:bCs/>
                <w:sz w:val="22"/>
                <w:szCs w:val="22"/>
              </w:rPr>
            </w:pPr>
          </w:p>
        </w:tc>
        <w:tc>
          <w:tcPr>
            <w:tcW w:w="1246" w:type="pct"/>
            <w:tcBorders>
              <w:bottom w:val="single" w:sz="4" w:space="0" w:color="auto"/>
            </w:tcBorders>
            <w:shd w:val="clear" w:color="auto" w:fill="auto"/>
            <w:vAlign w:val="center"/>
          </w:tcPr>
          <w:p w14:paraId="31FE38A0" w14:textId="77777777" w:rsidR="00794EB9" w:rsidRPr="00794EB9" w:rsidRDefault="00794EB9" w:rsidP="00C307FB">
            <w:pPr>
              <w:ind w:hanging="2"/>
              <w:rPr>
                <w:rFonts w:ascii="Arial" w:hAnsi="Arial" w:cs="Arial"/>
                <w:b/>
                <w:bCs/>
                <w:sz w:val="22"/>
                <w:szCs w:val="22"/>
              </w:rPr>
            </w:pPr>
            <w:r w:rsidRPr="00794EB9">
              <w:rPr>
                <w:rFonts w:ascii="Arial" w:hAnsi="Arial" w:cs="Arial"/>
                <w:sz w:val="22"/>
                <w:szCs w:val="22"/>
              </w:rPr>
              <w:t xml:space="preserve">Es el porcentaje de cobertura geográfica de los espacios públicos como áreas verdes, parques, parques lineales y plazas en un radio de 400 metros </w:t>
            </w:r>
            <w:r w:rsidRPr="00794EB9">
              <w:rPr>
                <w:rFonts w:ascii="Arial" w:hAnsi="Arial" w:cs="Arial"/>
                <w:bCs/>
                <w:sz w:val="22"/>
                <w:szCs w:val="22"/>
              </w:rPr>
              <w:t xml:space="preserve"> de su perímetro en relación al área dentro del límite urbano</w:t>
            </w:r>
            <w:r w:rsidRPr="00794EB9">
              <w:rPr>
                <w:rFonts w:ascii="Arial" w:hAnsi="Arial" w:cs="Arial"/>
                <w:b/>
                <w:bCs/>
                <w:sz w:val="22"/>
                <w:szCs w:val="22"/>
              </w:rPr>
              <w:t>.</w:t>
            </w:r>
          </w:p>
        </w:tc>
        <w:tc>
          <w:tcPr>
            <w:tcW w:w="849" w:type="pct"/>
            <w:tcBorders>
              <w:bottom w:val="single" w:sz="4" w:space="0" w:color="auto"/>
            </w:tcBorders>
            <w:shd w:val="clear" w:color="auto" w:fill="auto"/>
            <w:vAlign w:val="center"/>
          </w:tcPr>
          <w:p w14:paraId="00CF2EE4" w14:textId="77777777" w:rsidR="00794EB9" w:rsidRPr="00794EB9" w:rsidRDefault="00794EB9" w:rsidP="00C307FB">
            <w:pPr>
              <w:ind w:hanging="2"/>
              <w:jc w:val="center"/>
              <w:rPr>
                <w:rFonts w:ascii="Arial" w:hAnsi="Arial" w:cs="Arial"/>
                <w:b/>
                <w:bCs/>
                <w:sz w:val="22"/>
                <w:szCs w:val="22"/>
              </w:rPr>
            </w:pPr>
            <w:r w:rsidRPr="00794EB9">
              <w:rPr>
                <w:rFonts w:ascii="Arial" w:hAnsi="Arial" w:cs="Arial"/>
                <w:sz w:val="22"/>
                <w:szCs w:val="22"/>
              </w:rPr>
              <w:t xml:space="preserve">82.20% de cobertura geográfica de espacios públicos </w:t>
            </w:r>
          </w:p>
        </w:tc>
        <w:tc>
          <w:tcPr>
            <w:tcW w:w="850" w:type="pct"/>
            <w:tcBorders>
              <w:bottom w:val="single" w:sz="4" w:space="0" w:color="auto"/>
            </w:tcBorders>
            <w:shd w:val="clear" w:color="auto" w:fill="auto"/>
            <w:vAlign w:val="center"/>
          </w:tcPr>
          <w:p w14:paraId="27468F5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w:t>
            </w:r>
          </w:p>
          <w:p w14:paraId="58F68E8B"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07" w:type="pct"/>
            <w:tcBorders>
              <w:bottom w:val="single" w:sz="4" w:space="0" w:color="auto"/>
            </w:tcBorders>
            <w:shd w:val="clear" w:color="auto" w:fill="auto"/>
            <w:vAlign w:val="center"/>
          </w:tcPr>
          <w:p w14:paraId="05C752D6"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85%</w:t>
            </w:r>
          </w:p>
        </w:tc>
      </w:tr>
      <w:tr w:rsidR="00794EB9" w:rsidRPr="00794EB9" w14:paraId="2CDF6648" w14:textId="77777777" w:rsidTr="00C307FB">
        <w:trPr>
          <w:trHeight w:val="57"/>
        </w:trPr>
        <w:tc>
          <w:tcPr>
            <w:tcW w:w="1048" w:type="pct"/>
            <w:tcBorders>
              <w:bottom w:val="single" w:sz="4" w:space="0" w:color="auto"/>
            </w:tcBorders>
            <w:shd w:val="clear" w:color="auto" w:fill="auto"/>
            <w:vAlign w:val="center"/>
          </w:tcPr>
          <w:p w14:paraId="01212C2E"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lastRenderedPageBreak/>
              <w:t>Porcentaje de espacios públicos en buen estado</w:t>
            </w:r>
          </w:p>
        </w:tc>
        <w:tc>
          <w:tcPr>
            <w:tcW w:w="1246" w:type="pct"/>
            <w:tcBorders>
              <w:bottom w:val="single" w:sz="4" w:space="0" w:color="auto"/>
            </w:tcBorders>
            <w:shd w:val="clear" w:color="auto" w:fill="auto"/>
            <w:vAlign w:val="center"/>
          </w:tcPr>
          <w:p w14:paraId="70A89575" w14:textId="77777777" w:rsidR="00794EB9" w:rsidRPr="00794EB9" w:rsidRDefault="00794EB9" w:rsidP="00C307FB">
            <w:pPr>
              <w:ind w:hanging="2"/>
              <w:rPr>
                <w:rFonts w:ascii="Arial" w:hAnsi="Arial" w:cs="Arial"/>
                <w:b/>
                <w:bCs/>
                <w:sz w:val="22"/>
                <w:szCs w:val="22"/>
              </w:rPr>
            </w:pPr>
            <w:r w:rsidRPr="00794EB9">
              <w:rPr>
                <w:rFonts w:ascii="Arial" w:hAnsi="Arial" w:cs="Arial"/>
                <w:sz w:val="22"/>
                <w:szCs w:val="22"/>
              </w:rPr>
              <w:t>Es el porcentaje de espacios públicos como áreas verdes, parques, parques lineales y plazas, con condiciones físicas en buen estado.</w:t>
            </w:r>
          </w:p>
        </w:tc>
        <w:tc>
          <w:tcPr>
            <w:tcW w:w="849" w:type="pct"/>
            <w:tcBorders>
              <w:bottom w:val="single" w:sz="4" w:space="0" w:color="auto"/>
            </w:tcBorders>
            <w:shd w:val="clear" w:color="auto" w:fill="auto"/>
            <w:vAlign w:val="center"/>
          </w:tcPr>
          <w:p w14:paraId="0E7AA4EA" w14:textId="77777777" w:rsidR="00794EB9" w:rsidRPr="00794EB9" w:rsidRDefault="00794EB9" w:rsidP="00C307FB">
            <w:pPr>
              <w:ind w:hanging="2"/>
              <w:jc w:val="center"/>
              <w:rPr>
                <w:rFonts w:ascii="Arial" w:hAnsi="Arial" w:cs="Arial"/>
                <w:b/>
                <w:bCs/>
                <w:sz w:val="22"/>
                <w:szCs w:val="22"/>
              </w:rPr>
            </w:pPr>
            <w:r w:rsidRPr="00794EB9">
              <w:rPr>
                <w:rFonts w:ascii="Arial" w:hAnsi="Arial" w:cs="Arial"/>
                <w:sz w:val="22"/>
                <w:szCs w:val="22"/>
              </w:rPr>
              <w:t>74.89% espacios en buenas condiciones</w:t>
            </w:r>
          </w:p>
        </w:tc>
        <w:tc>
          <w:tcPr>
            <w:tcW w:w="850" w:type="pct"/>
            <w:tcBorders>
              <w:bottom w:val="single" w:sz="4" w:space="0" w:color="auto"/>
            </w:tcBorders>
            <w:shd w:val="clear" w:color="auto" w:fill="auto"/>
            <w:vAlign w:val="center"/>
          </w:tcPr>
          <w:p w14:paraId="12156A52"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w:t>
            </w:r>
          </w:p>
          <w:p w14:paraId="5A9C7FF0"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07" w:type="pct"/>
            <w:tcBorders>
              <w:bottom w:val="single" w:sz="4" w:space="0" w:color="auto"/>
            </w:tcBorders>
            <w:shd w:val="clear" w:color="auto" w:fill="auto"/>
            <w:vAlign w:val="center"/>
          </w:tcPr>
          <w:p w14:paraId="40E50436"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78%</w:t>
            </w:r>
          </w:p>
        </w:tc>
      </w:tr>
    </w:tbl>
    <w:p w14:paraId="1163A9C2" w14:textId="77777777" w:rsidR="00794EB9" w:rsidRPr="00794EB9" w:rsidRDefault="00794EB9" w:rsidP="00794EB9">
      <w:pPr>
        <w:pStyle w:val="Prrafodelista"/>
        <w:ind w:left="1439"/>
        <w:jc w:val="both"/>
        <w:rPr>
          <w:rFonts w:ascii="Arial" w:hAnsi="Arial" w:cs="Arial"/>
          <w:sz w:val="22"/>
          <w:szCs w:val="22"/>
        </w:rPr>
      </w:pPr>
    </w:p>
    <w:p w14:paraId="37742389"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3.2 Equidad social. Mejorar las condiciones socioeconómicas de la población en alguna situación de pobreza contribuyendo a la reducción de las desigualdades.</w:t>
      </w:r>
    </w:p>
    <w:p w14:paraId="7D84111D" w14:textId="77777777" w:rsidR="00794EB9" w:rsidRPr="00794EB9" w:rsidRDefault="00794EB9" w:rsidP="00794EB9">
      <w:pPr>
        <w:pStyle w:val="Prrafodelista"/>
        <w:ind w:left="1439"/>
        <w:jc w:val="both"/>
        <w:rPr>
          <w:rFonts w:ascii="Arial" w:hAnsi="Arial" w:cs="Arial"/>
          <w:sz w:val="22"/>
          <w:szCs w:val="22"/>
        </w:rPr>
      </w:pPr>
    </w:p>
    <w:p w14:paraId="4E917747" w14:textId="77777777" w:rsidR="00794EB9" w:rsidRPr="00794EB9" w:rsidRDefault="00794EB9" w:rsidP="00794EB9">
      <w:pPr>
        <w:pStyle w:val="Prrafodelista"/>
        <w:ind w:left="1439"/>
        <w:jc w:val="both"/>
        <w:rPr>
          <w:rFonts w:ascii="Arial" w:hAnsi="Arial" w:cs="Arial"/>
          <w:sz w:val="22"/>
          <w:szCs w:val="22"/>
        </w:rPr>
      </w:pPr>
    </w:p>
    <w:p w14:paraId="3D99AE71" w14:textId="77777777" w:rsidR="00794EB9" w:rsidRPr="00794EB9" w:rsidRDefault="00794EB9" w:rsidP="00794EB9">
      <w:pPr>
        <w:pStyle w:val="Prrafodelista"/>
        <w:ind w:left="1439"/>
        <w:jc w:val="both"/>
        <w:rPr>
          <w:rFonts w:ascii="Arial" w:hAnsi="Arial" w:cs="Arial"/>
          <w:sz w:val="22"/>
          <w:szCs w:val="22"/>
        </w:rPr>
      </w:pPr>
    </w:p>
    <w:p w14:paraId="4BC6021C"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jc w:val="center"/>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3A32733A" w14:textId="77777777" w:rsidTr="00C307FB">
        <w:trPr>
          <w:trHeight w:val="100"/>
          <w:jc w:val="center"/>
        </w:trPr>
        <w:tc>
          <w:tcPr>
            <w:tcW w:w="1048" w:type="pct"/>
            <w:shd w:val="clear" w:color="auto" w:fill="E8E7E9"/>
            <w:vAlign w:val="center"/>
          </w:tcPr>
          <w:p w14:paraId="064BDCF1"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46" w:type="pct"/>
            <w:shd w:val="clear" w:color="auto" w:fill="E8E7E9"/>
            <w:vAlign w:val="center"/>
          </w:tcPr>
          <w:p w14:paraId="2767CB31"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shd w:val="clear" w:color="auto" w:fill="E8E7E9"/>
            <w:vAlign w:val="center"/>
          </w:tcPr>
          <w:p w14:paraId="53EACEC5"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50" w:type="pct"/>
            <w:shd w:val="clear" w:color="auto" w:fill="E8E7E9"/>
            <w:vAlign w:val="center"/>
          </w:tcPr>
          <w:p w14:paraId="720B4FB4"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07" w:type="pct"/>
            <w:shd w:val="clear" w:color="auto" w:fill="E8E7E9"/>
            <w:vAlign w:val="center"/>
          </w:tcPr>
          <w:p w14:paraId="36FD9B10"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27C2EE06" w14:textId="77777777" w:rsidTr="00C307FB">
        <w:trPr>
          <w:trHeight w:val="57"/>
          <w:jc w:val="center"/>
        </w:trPr>
        <w:tc>
          <w:tcPr>
            <w:tcW w:w="1048" w:type="pct"/>
            <w:tcBorders>
              <w:bottom w:val="single" w:sz="4" w:space="0" w:color="auto"/>
            </w:tcBorders>
            <w:vAlign w:val="center"/>
          </w:tcPr>
          <w:p w14:paraId="3C7B5DAC"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Número de localidades rurales con Índice de Rezago Social alto y muy alto</w:t>
            </w:r>
          </w:p>
        </w:tc>
        <w:tc>
          <w:tcPr>
            <w:tcW w:w="1246" w:type="pct"/>
            <w:tcBorders>
              <w:bottom w:val="single" w:sz="4" w:space="0" w:color="auto"/>
            </w:tcBorders>
            <w:vAlign w:val="center"/>
          </w:tcPr>
          <w:p w14:paraId="63C57503"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número de localidades rurales con Índice de Rezago Social alto y muy alto.</w:t>
            </w:r>
          </w:p>
        </w:tc>
        <w:tc>
          <w:tcPr>
            <w:tcW w:w="849" w:type="pct"/>
            <w:tcBorders>
              <w:bottom w:val="single" w:sz="4" w:space="0" w:color="auto"/>
            </w:tcBorders>
            <w:vAlign w:val="center"/>
          </w:tcPr>
          <w:p w14:paraId="2926D2A7"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22 localidades</w:t>
            </w:r>
          </w:p>
        </w:tc>
        <w:tc>
          <w:tcPr>
            <w:tcW w:w="850" w:type="pct"/>
            <w:tcBorders>
              <w:bottom w:val="single" w:sz="4" w:space="0" w:color="auto"/>
            </w:tcBorders>
            <w:vAlign w:val="center"/>
          </w:tcPr>
          <w:p w14:paraId="516C0CF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CONEVAL. Índice de Rezago Social por Localidad 2020</w:t>
            </w:r>
          </w:p>
        </w:tc>
        <w:tc>
          <w:tcPr>
            <w:tcW w:w="1007" w:type="pct"/>
            <w:tcBorders>
              <w:bottom w:val="single" w:sz="4" w:space="0" w:color="auto"/>
            </w:tcBorders>
            <w:vAlign w:val="center"/>
          </w:tcPr>
          <w:p w14:paraId="393B01DB"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15</w:t>
            </w:r>
          </w:p>
        </w:tc>
      </w:tr>
    </w:tbl>
    <w:p w14:paraId="7C32303F" w14:textId="77777777" w:rsidR="00794EB9" w:rsidRPr="00794EB9" w:rsidRDefault="00794EB9" w:rsidP="00794EB9">
      <w:pPr>
        <w:pStyle w:val="Prrafodelista"/>
        <w:ind w:left="1439"/>
        <w:jc w:val="both"/>
        <w:rPr>
          <w:rFonts w:ascii="Arial" w:hAnsi="Arial" w:cs="Arial"/>
          <w:sz w:val="22"/>
          <w:szCs w:val="22"/>
        </w:rPr>
      </w:pPr>
    </w:p>
    <w:p w14:paraId="2C71D973"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3.4. Estilos de vida saludable. Consolidar una cultura de prevención, auto cuidado y hábitos saludables para la reducción de enfermedades crónico-degenerativas y psicosociales.</w:t>
      </w:r>
    </w:p>
    <w:p w14:paraId="26AFCE4C"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71167729" w14:textId="77777777" w:rsidTr="00C307FB">
        <w:trPr>
          <w:trHeight w:val="57"/>
        </w:trPr>
        <w:tc>
          <w:tcPr>
            <w:tcW w:w="1048" w:type="pct"/>
            <w:tcBorders>
              <w:top w:val="single" w:sz="4" w:space="0" w:color="auto"/>
            </w:tcBorders>
            <w:shd w:val="clear" w:color="auto" w:fill="E8E7E9"/>
            <w:vAlign w:val="center"/>
          </w:tcPr>
          <w:p w14:paraId="4189F1F5" w14:textId="77777777" w:rsidR="00794EB9" w:rsidRPr="00794EB9" w:rsidRDefault="00794EB9" w:rsidP="00C307FB">
            <w:pPr>
              <w:ind w:hanging="2"/>
              <w:rPr>
                <w:rFonts w:ascii="Arial" w:hAnsi="Arial" w:cs="Arial"/>
                <w:b/>
                <w:bCs/>
                <w:sz w:val="22"/>
                <w:szCs w:val="22"/>
              </w:rPr>
            </w:pPr>
            <w:r w:rsidRPr="00794EB9">
              <w:rPr>
                <w:rFonts w:ascii="Arial" w:hAnsi="Arial" w:cs="Arial"/>
                <w:b/>
                <w:sz w:val="22"/>
                <w:szCs w:val="22"/>
              </w:rPr>
              <w:t>Indicadores</w:t>
            </w:r>
          </w:p>
        </w:tc>
        <w:tc>
          <w:tcPr>
            <w:tcW w:w="1246" w:type="pct"/>
            <w:tcBorders>
              <w:top w:val="single" w:sz="4" w:space="0" w:color="auto"/>
            </w:tcBorders>
            <w:shd w:val="clear" w:color="auto" w:fill="E8E7E9"/>
            <w:vAlign w:val="center"/>
          </w:tcPr>
          <w:p w14:paraId="64140E42"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tcBorders>
              <w:top w:val="single" w:sz="4" w:space="0" w:color="auto"/>
            </w:tcBorders>
            <w:shd w:val="clear" w:color="auto" w:fill="E8E7E9"/>
            <w:vAlign w:val="center"/>
          </w:tcPr>
          <w:p w14:paraId="7073D40A"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50" w:type="pct"/>
            <w:tcBorders>
              <w:top w:val="single" w:sz="4" w:space="0" w:color="auto"/>
            </w:tcBorders>
            <w:shd w:val="clear" w:color="auto" w:fill="E8E7E9"/>
            <w:vAlign w:val="center"/>
          </w:tcPr>
          <w:p w14:paraId="269A6A36"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07" w:type="pct"/>
            <w:tcBorders>
              <w:top w:val="single" w:sz="4" w:space="0" w:color="auto"/>
            </w:tcBorders>
            <w:shd w:val="clear" w:color="auto" w:fill="E8E7E9"/>
            <w:vAlign w:val="center"/>
          </w:tcPr>
          <w:p w14:paraId="0CE966B9"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75FC9739" w14:textId="77777777" w:rsidTr="00C307FB">
        <w:trPr>
          <w:trHeight w:val="57"/>
        </w:trPr>
        <w:tc>
          <w:tcPr>
            <w:tcW w:w="1048" w:type="pct"/>
            <w:shd w:val="clear" w:color="auto" w:fill="auto"/>
            <w:vAlign w:val="center"/>
          </w:tcPr>
          <w:p w14:paraId="05E64354"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Porcentaje de población afiliada a servicios de salud</w:t>
            </w:r>
          </w:p>
        </w:tc>
        <w:tc>
          <w:tcPr>
            <w:tcW w:w="1246" w:type="pct"/>
            <w:shd w:val="clear" w:color="auto" w:fill="auto"/>
          </w:tcPr>
          <w:p w14:paraId="6DB1A27D"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 xml:space="preserve">Mide el porcentaje de personas con el derecho a recibir servicios médicos en instituciones de seguridad social, públicas y privadas; como resultado de una prestación laboral, por adscribirse a un programa público, adquirir un seguro médico, ser familiar de la beneficiaria(o) </w:t>
            </w:r>
            <w:r w:rsidRPr="00794EB9">
              <w:rPr>
                <w:rFonts w:ascii="Arial" w:hAnsi="Arial" w:cs="Arial"/>
                <w:sz w:val="22"/>
                <w:szCs w:val="22"/>
              </w:rPr>
              <w:lastRenderedPageBreak/>
              <w:t>o por ser jubilada(o) o pensionada(o).</w:t>
            </w:r>
          </w:p>
        </w:tc>
        <w:tc>
          <w:tcPr>
            <w:tcW w:w="849" w:type="pct"/>
            <w:shd w:val="clear" w:color="auto" w:fill="auto"/>
            <w:vAlign w:val="center"/>
          </w:tcPr>
          <w:p w14:paraId="52B37F5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lastRenderedPageBreak/>
              <w:t>77.5% de la población total</w:t>
            </w:r>
          </w:p>
        </w:tc>
        <w:tc>
          <w:tcPr>
            <w:tcW w:w="850" w:type="pct"/>
            <w:shd w:val="clear" w:color="auto" w:fill="auto"/>
            <w:vAlign w:val="center"/>
          </w:tcPr>
          <w:p w14:paraId="4B29C04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Censo de Población y Vivienda 2020</w:t>
            </w:r>
          </w:p>
        </w:tc>
        <w:tc>
          <w:tcPr>
            <w:tcW w:w="1007" w:type="pct"/>
            <w:shd w:val="clear" w:color="auto" w:fill="auto"/>
            <w:vAlign w:val="center"/>
          </w:tcPr>
          <w:p w14:paraId="1BC1D45C"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85%</w:t>
            </w:r>
          </w:p>
        </w:tc>
      </w:tr>
    </w:tbl>
    <w:p w14:paraId="764262AF" w14:textId="77777777" w:rsidR="00794EB9" w:rsidRPr="00794EB9" w:rsidRDefault="00794EB9" w:rsidP="00794EB9">
      <w:pPr>
        <w:pStyle w:val="Prrafodelista"/>
        <w:ind w:left="1439"/>
        <w:jc w:val="both"/>
        <w:rPr>
          <w:rFonts w:ascii="Arial" w:hAnsi="Arial" w:cs="Arial"/>
          <w:sz w:val="22"/>
          <w:szCs w:val="22"/>
        </w:rPr>
      </w:pPr>
    </w:p>
    <w:p w14:paraId="6BD0D2E0"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3.5 Educación equitativa, pertinente y de calidad. Promover el aprendizaje equitativo, pertinente y de calidad a lo largo de la vida.</w:t>
      </w:r>
    </w:p>
    <w:p w14:paraId="4536CC97"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jc w:val="center"/>
        <w:tblCellMar>
          <w:top w:w="85" w:type="dxa"/>
          <w:bottom w:w="85" w:type="dxa"/>
        </w:tblCellMar>
        <w:tblLook w:val="04A0" w:firstRow="1" w:lastRow="0" w:firstColumn="1" w:lastColumn="0" w:noHBand="0" w:noVBand="1"/>
      </w:tblPr>
      <w:tblGrid>
        <w:gridCol w:w="2014"/>
        <w:gridCol w:w="2140"/>
        <w:gridCol w:w="1513"/>
        <w:gridCol w:w="1488"/>
        <w:gridCol w:w="1673"/>
      </w:tblGrid>
      <w:tr w:rsidR="00794EB9" w:rsidRPr="00794EB9" w14:paraId="24AADDB7" w14:textId="77777777" w:rsidTr="00C307FB">
        <w:trPr>
          <w:trHeight w:val="57"/>
          <w:jc w:val="center"/>
        </w:trPr>
        <w:tc>
          <w:tcPr>
            <w:tcW w:w="1048" w:type="pct"/>
            <w:shd w:val="clear" w:color="auto" w:fill="E8E7E9"/>
            <w:vAlign w:val="center"/>
          </w:tcPr>
          <w:p w14:paraId="6253A860"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shd w:val="clear" w:color="auto" w:fill="E8E7E9"/>
            <w:vAlign w:val="center"/>
          </w:tcPr>
          <w:p w14:paraId="3E6F5DD1"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shd w:val="clear" w:color="auto" w:fill="E8E7E9"/>
            <w:vAlign w:val="center"/>
          </w:tcPr>
          <w:p w14:paraId="516EE6D4"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50" w:type="pct"/>
            <w:shd w:val="clear" w:color="auto" w:fill="E8E7E9"/>
            <w:vAlign w:val="center"/>
          </w:tcPr>
          <w:p w14:paraId="269A2CEE"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07" w:type="pct"/>
            <w:shd w:val="clear" w:color="auto" w:fill="E8E7E9"/>
            <w:vAlign w:val="center"/>
          </w:tcPr>
          <w:p w14:paraId="03BA7F1B"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0059A7F6" w14:textId="77777777" w:rsidTr="00C307FB">
        <w:trPr>
          <w:trHeight w:val="57"/>
          <w:jc w:val="center"/>
        </w:trPr>
        <w:tc>
          <w:tcPr>
            <w:tcW w:w="1048" w:type="pct"/>
            <w:vAlign w:val="center"/>
          </w:tcPr>
          <w:p w14:paraId="4A088414"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Porcentaje de niñas, niños y adolescentes que no asisten a la escuela</w:t>
            </w:r>
          </w:p>
        </w:tc>
        <w:tc>
          <w:tcPr>
            <w:tcW w:w="1246" w:type="pct"/>
            <w:vAlign w:val="center"/>
          </w:tcPr>
          <w:p w14:paraId="43BFE1DC"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porcentaje de niñas, niños y adolescentes que debieran estar cursando su educación básica, pero al momento del levantamiento censal declararon que no asistían a la escuela.</w:t>
            </w:r>
          </w:p>
        </w:tc>
        <w:tc>
          <w:tcPr>
            <w:tcW w:w="849" w:type="pct"/>
            <w:vAlign w:val="center"/>
          </w:tcPr>
          <w:p w14:paraId="334892A9"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16% de niñas, niños y adolescentes de 3 a 14 años</w:t>
            </w:r>
          </w:p>
        </w:tc>
        <w:tc>
          <w:tcPr>
            <w:tcW w:w="850" w:type="pct"/>
            <w:vAlign w:val="center"/>
          </w:tcPr>
          <w:p w14:paraId="022F19CA"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Censo de Población y Vivienda 2020</w:t>
            </w:r>
          </w:p>
        </w:tc>
        <w:tc>
          <w:tcPr>
            <w:tcW w:w="1007" w:type="pct"/>
            <w:vAlign w:val="center"/>
          </w:tcPr>
          <w:p w14:paraId="63FD1D4B"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11%</w:t>
            </w:r>
          </w:p>
        </w:tc>
      </w:tr>
      <w:tr w:rsidR="00794EB9" w:rsidRPr="00794EB9" w14:paraId="07B3ABF6" w14:textId="77777777" w:rsidTr="00C307FB">
        <w:trPr>
          <w:trHeight w:val="57"/>
          <w:jc w:val="center"/>
        </w:trPr>
        <w:tc>
          <w:tcPr>
            <w:tcW w:w="1048" w:type="pct"/>
            <w:vAlign w:val="center"/>
          </w:tcPr>
          <w:p w14:paraId="0A8D2717"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Años promedio de escolaridad de la población económicamente activa</w:t>
            </w:r>
          </w:p>
        </w:tc>
        <w:tc>
          <w:tcPr>
            <w:tcW w:w="1246" w:type="pct"/>
            <w:vAlign w:val="center"/>
          </w:tcPr>
          <w:p w14:paraId="642162F7"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número promedio de años de educación formal que ha cursado la población económicamente activa (PEA).</w:t>
            </w:r>
          </w:p>
        </w:tc>
        <w:tc>
          <w:tcPr>
            <w:tcW w:w="849" w:type="pct"/>
            <w:vAlign w:val="center"/>
          </w:tcPr>
          <w:p w14:paraId="6FDE7C21"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10.5 años de escolaridad promedio</w:t>
            </w:r>
          </w:p>
        </w:tc>
        <w:tc>
          <w:tcPr>
            <w:tcW w:w="850" w:type="pct"/>
            <w:vAlign w:val="center"/>
          </w:tcPr>
          <w:p w14:paraId="454CE9C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Microdatos de la ENOE (cuarto trimestre de 2020)</w:t>
            </w:r>
          </w:p>
        </w:tc>
        <w:tc>
          <w:tcPr>
            <w:tcW w:w="1007" w:type="pct"/>
            <w:vAlign w:val="center"/>
          </w:tcPr>
          <w:p w14:paraId="32B292BA"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12 años de escolaridad promedio</w:t>
            </w:r>
          </w:p>
        </w:tc>
      </w:tr>
      <w:tr w:rsidR="00794EB9" w:rsidRPr="00794EB9" w14:paraId="34522F17" w14:textId="77777777" w:rsidTr="00C307FB">
        <w:trPr>
          <w:trHeight w:val="57"/>
          <w:jc w:val="center"/>
        </w:trPr>
        <w:tc>
          <w:tcPr>
            <w:tcW w:w="1048" w:type="pct"/>
          </w:tcPr>
          <w:p w14:paraId="12D8AD4C"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iCs/>
                <w:sz w:val="22"/>
                <w:szCs w:val="22"/>
              </w:rPr>
              <w:t>Tasa de abandono escolar de niñas, niños y adolescentes</w:t>
            </w:r>
          </w:p>
        </w:tc>
        <w:tc>
          <w:tcPr>
            <w:tcW w:w="1246" w:type="pct"/>
          </w:tcPr>
          <w:p w14:paraId="1D7D078A" w14:textId="77777777" w:rsidR="00794EB9" w:rsidRPr="00794EB9" w:rsidRDefault="00794EB9" w:rsidP="00C307FB">
            <w:pPr>
              <w:ind w:hanging="2"/>
              <w:rPr>
                <w:rFonts w:ascii="Arial" w:hAnsi="Arial" w:cs="Arial"/>
                <w:sz w:val="22"/>
                <w:szCs w:val="22"/>
              </w:rPr>
            </w:pPr>
            <w:r w:rsidRPr="00794EB9">
              <w:rPr>
                <w:rFonts w:ascii="Arial" w:hAnsi="Arial" w:cs="Arial"/>
                <w:iCs/>
                <w:sz w:val="22"/>
                <w:szCs w:val="22"/>
              </w:rPr>
              <w:t>Es el porcentaje de alumnos de primaria y secundaria que abandona las actividades escolares durante el ciclo escolar y al finalizar éste respecto al total de alumnos inscritos.</w:t>
            </w:r>
          </w:p>
        </w:tc>
        <w:tc>
          <w:tcPr>
            <w:tcW w:w="849" w:type="pct"/>
          </w:tcPr>
          <w:p w14:paraId="6097052F" w14:textId="77777777" w:rsidR="00794EB9" w:rsidRPr="00794EB9" w:rsidRDefault="00794EB9" w:rsidP="00C307FB">
            <w:pPr>
              <w:ind w:hanging="2"/>
              <w:jc w:val="center"/>
              <w:rPr>
                <w:rFonts w:ascii="Arial" w:hAnsi="Arial" w:cs="Arial"/>
                <w:sz w:val="22"/>
                <w:szCs w:val="22"/>
              </w:rPr>
            </w:pPr>
            <w:r w:rsidRPr="00794EB9">
              <w:rPr>
                <w:rFonts w:ascii="Arial" w:hAnsi="Arial" w:cs="Arial"/>
                <w:iCs/>
                <w:sz w:val="22"/>
                <w:szCs w:val="22"/>
              </w:rPr>
              <w:t>2.4%</w:t>
            </w:r>
          </w:p>
        </w:tc>
        <w:tc>
          <w:tcPr>
            <w:tcW w:w="850" w:type="pct"/>
            <w:vAlign w:val="center"/>
          </w:tcPr>
          <w:p w14:paraId="1CAEC3ED" w14:textId="77777777" w:rsidR="00794EB9" w:rsidRPr="00794EB9" w:rsidRDefault="00794EB9" w:rsidP="00C307FB">
            <w:pPr>
              <w:ind w:hanging="2"/>
              <w:jc w:val="center"/>
              <w:rPr>
                <w:rFonts w:ascii="Arial" w:hAnsi="Arial" w:cs="Arial"/>
                <w:iCs/>
                <w:sz w:val="22"/>
                <w:szCs w:val="22"/>
              </w:rPr>
            </w:pPr>
            <w:r w:rsidRPr="00794EB9">
              <w:rPr>
                <w:rFonts w:ascii="Arial" w:hAnsi="Arial" w:cs="Arial"/>
                <w:iCs/>
                <w:sz w:val="22"/>
                <w:szCs w:val="22"/>
              </w:rPr>
              <w:t xml:space="preserve">Secretaría de Educación de Guanajuato (SEG). Sistema Integral de Información Educativa (SIIE). </w:t>
            </w:r>
          </w:p>
          <w:p w14:paraId="779F2B7E" w14:textId="77777777" w:rsidR="00794EB9" w:rsidRPr="00794EB9" w:rsidRDefault="00794EB9" w:rsidP="00C307FB">
            <w:pPr>
              <w:ind w:hanging="2"/>
              <w:jc w:val="center"/>
              <w:rPr>
                <w:rFonts w:ascii="Arial" w:hAnsi="Arial" w:cs="Arial"/>
                <w:sz w:val="22"/>
                <w:szCs w:val="22"/>
              </w:rPr>
            </w:pPr>
            <w:r w:rsidRPr="00794EB9">
              <w:rPr>
                <w:rFonts w:ascii="Arial" w:hAnsi="Arial" w:cs="Arial"/>
                <w:iCs/>
                <w:sz w:val="22"/>
                <w:szCs w:val="22"/>
              </w:rPr>
              <w:t>Ciclo escolar 2018-2019</w:t>
            </w:r>
          </w:p>
        </w:tc>
        <w:tc>
          <w:tcPr>
            <w:tcW w:w="1007" w:type="pct"/>
            <w:vAlign w:val="center"/>
          </w:tcPr>
          <w:p w14:paraId="30547D28"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al 2%</w:t>
            </w:r>
          </w:p>
        </w:tc>
      </w:tr>
      <w:tr w:rsidR="00794EB9" w:rsidRPr="00794EB9" w14:paraId="778C74D5" w14:textId="77777777" w:rsidTr="00C307FB">
        <w:trPr>
          <w:trHeight w:val="57"/>
          <w:jc w:val="center"/>
        </w:trPr>
        <w:tc>
          <w:tcPr>
            <w:tcW w:w="1048" w:type="pct"/>
            <w:vAlign w:val="center"/>
          </w:tcPr>
          <w:p w14:paraId="4FE54ABD"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Tasa de abandono escolar en el nivel medio superior</w:t>
            </w:r>
          </w:p>
        </w:tc>
        <w:tc>
          <w:tcPr>
            <w:tcW w:w="1246" w:type="pct"/>
            <w:vAlign w:val="center"/>
          </w:tcPr>
          <w:p w14:paraId="2A711625"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 xml:space="preserve">Mide el porcentaje de alumnos que abandona el nivel de educación medio superior durante o al finalizar el ciclo </w:t>
            </w:r>
            <w:r w:rsidRPr="00794EB9">
              <w:rPr>
                <w:rFonts w:ascii="Arial" w:hAnsi="Arial" w:cs="Arial"/>
                <w:sz w:val="22"/>
                <w:szCs w:val="22"/>
              </w:rPr>
              <w:lastRenderedPageBreak/>
              <w:t>escolar, respecto al total de alumnos inscritos en el ciclo.</w:t>
            </w:r>
          </w:p>
        </w:tc>
        <w:tc>
          <w:tcPr>
            <w:tcW w:w="849" w:type="pct"/>
            <w:vAlign w:val="center"/>
          </w:tcPr>
          <w:p w14:paraId="4F6B48FB"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lastRenderedPageBreak/>
              <w:t>16.6%</w:t>
            </w:r>
          </w:p>
        </w:tc>
        <w:tc>
          <w:tcPr>
            <w:tcW w:w="850" w:type="pct"/>
            <w:vAlign w:val="center"/>
          </w:tcPr>
          <w:p w14:paraId="61DBA038"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 xml:space="preserve">SEG (Secretaría de Educación de Guanajuato), </w:t>
            </w:r>
            <w:r w:rsidRPr="00794EB9">
              <w:rPr>
                <w:rFonts w:ascii="Arial" w:hAnsi="Arial" w:cs="Arial"/>
                <w:sz w:val="22"/>
                <w:szCs w:val="22"/>
              </w:rPr>
              <w:lastRenderedPageBreak/>
              <w:t>ciclo escolar 2018-2019</w:t>
            </w:r>
          </w:p>
        </w:tc>
        <w:tc>
          <w:tcPr>
            <w:tcW w:w="1007" w:type="pct"/>
            <w:vAlign w:val="center"/>
          </w:tcPr>
          <w:p w14:paraId="419E78C8"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lastRenderedPageBreak/>
              <w:t>Disminuir a 12%</w:t>
            </w:r>
          </w:p>
        </w:tc>
      </w:tr>
    </w:tbl>
    <w:p w14:paraId="626B09F6" w14:textId="77777777" w:rsidR="00794EB9" w:rsidRPr="00794EB9" w:rsidRDefault="00794EB9" w:rsidP="00794EB9">
      <w:pPr>
        <w:jc w:val="both"/>
        <w:rPr>
          <w:rFonts w:ascii="Arial" w:hAnsi="Arial" w:cs="Arial"/>
          <w:b/>
          <w:sz w:val="22"/>
          <w:szCs w:val="22"/>
        </w:rPr>
      </w:pPr>
    </w:p>
    <w:p w14:paraId="3F6A0280" w14:textId="77777777" w:rsidR="00794EB9" w:rsidRPr="00794EB9" w:rsidRDefault="00794EB9" w:rsidP="00794EB9">
      <w:pPr>
        <w:jc w:val="both"/>
        <w:rPr>
          <w:rFonts w:ascii="Arial" w:hAnsi="Arial" w:cs="Arial"/>
          <w:b/>
          <w:sz w:val="22"/>
          <w:szCs w:val="22"/>
        </w:rPr>
      </w:pPr>
    </w:p>
    <w:p w14:paraId="60EEC410"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VS2. León sin hambre</w:t>
      </w:r>
    </w:p>
    <w:p w14:paraId="42E4724E"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Disminuir la pobreza alimentaria en la población en situación de vulnerabilidad mediante apoyos alimenticios, alianzas institucionales y un proyecto integral de asistencia social.</w:t>
      </w:r>
    </w:p>
    <w:p w14:paraId="5101E1AB" w14:textId="77777777" w:rsidR="00794EB9" w:rsidRPr="00794EB9" w:rsidRDefault="00794EB9" w:rsidP="00794EB9">
      <w:pPr>
        <w:jc w:val="both"/>
        <w:rPr>
          <w:rFonts w:ascii="Arial" w:hAnsi="Arial" w:cs="Arial"/>
          <w:b/>
          <w:sz w:val="22"/>
          <w:szCs w:val="22"/>
        </w:rPr>
      </w:pPr>
    </w:p>
    <w:p w14:paraId="503B33F6"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0A455237"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 Lograr que las ciudades sean más inclusivas, seguras, resilientes y sostenibles</w:t>
      </w:r>
    </w:p>
    <w:p w14:paraId="206FC666" w14:textId="77777777" w:rsidR="00794EB9" w:rsidRPr="00794EB9" w:rsidRDefault="00794EB9" w:rsidP="00794EB9">
      <w:pPr>
        <w:pStyle w:val="Prrafodelista"/>
        <w:ind w:left="1637"/>
        <w:jc w:val="both"/>
        <w:rPr>
          <w:rFonts w:ascii="Arial" w:hAnsi="Arial" w:cs="Arial"/>
          <w:sz w:val="22"/>
          <w:szCs w:val="22"/>
        </w:rPr>
      </w:pPr>
    </w:p>
    <w:p w14:paraId="7B1AF64A"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546780C6"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3.2.1 Lograr una administración sostenible del territorio, que impulse el desarrollo de comunidades y ciudades humanas y sostenibles</w:t>
      </w:r>
    </w:p>
    <w:p w14:paraId="21C40A91" w14:textId="77777777" w:rsidR="00794EB9" w:rsidRPr="00794EB9" w:rsidRDefault="00794EB9" w:rsidP="00794EB9">
      <w:pPr>
        <w:pStyle w:val="Prrafodelista"/>
        <w:ind w:left="1637"/>
        <w:jc w:val="both"/>
        <w:rPr>
          <w:rFonts w:ascii="Arial" w:hAnsi="Arial" w:cs="Arial"/>
          <w:sz w:val="22"/>
          <w:szCs w:val="22"/>
        </w:rPr>
      </w:pPr>
    </w:p>
    <w:p w14:paraId="78D61FF5"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4994FE8D"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3.2 Equidad social. Mejorar las condiciones socioeconómicas de la población en alguna situación de pobreza contribuyendo a la reducción de las desigualdades.</w:t>
      </w:r>
    </w:p>
    <w:p w14:paraId="73F64D7F"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jc w:val="center"/>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708107E9" w14:textId="77777777" w:rsidTr="00C307FB">
        <w:trPr>
          <w:trHeight w:val="100"/>
          <w:jc w:val="center"/>
        </w:trPr>
        <w:tc>
          <w:tcPr>
            <w:tcW w:w="1048" w:type="pct"/>
            <w:shd w:val="clear" w:color="auto" w:fill="E8E7E9"/>
            <w:vAlign w:val="center"/>
          </w:tcPr>
          <w:p w14:paraId="4B07FF04"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46" w:type="pct"/>
            <w:shd w:val="clear" w:color="auto" w:fill="E8E7E9"/>
            <w:vAlign w:val="center"/>
          </w:tcPr>
          <w:p w14:paraId="0CCF1C4A"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shd w:val="clear" w:color="auto" w:fill="E8E7E9"/>
            <w:vAlign w:val="center"/>
          </w:tcPr>
          <w:p w14:paraId="007D0293"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50" w:type="pct"/>
            <w:shd w:val="clear" w:color="auto" w:fill="E8E7E9"/>
            <w:vAlign w:val="center"/>
          </w:tcPr>
          <w:p w14:paraId="56D88403"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07" w:type="pct"/>
            <w:shd w:val="clear" w:color="auto" w:fill="E8E7E9"/>
            <w:vAlign w:val="center"/>
          </w:tcPr>
          <w:p w14:paraId="4B4D5349"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5F582017" w14:textId="77777777" w:rsidTr="00C307FB">
        <w:trPr>
          <w:trHeight w:val="57"/>
          <w:jc w:val="center"/>
        </w:trPr>
        <w:tc>
          <w:tcPr>
            <w:tcW w:w="1048" w:type="pct"/>
            <w:vAlign w:val="center"/>
          </w:tcPr>
          <w:p w14:paraId="2119612B"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Porcentaje de población en pobreza</w:t>
            </w:r>
          </w:p>
        </w:tc>
        <w:tc>
          <w:tcPr>
            <w:tcW w:w="1246" w:type="pct"/>
            <w:vAlign w:val="center"/>
          </w:tcPr>
          <w:p w14:paraId="65B17B45"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porcentaje de personas que viven en alguna situación de pobreza con respecto al total de la población municipal.</w:t>
            </w:r>
          </w:p>
        </w:tc>
        <w:tc>
          <w:tcPr>
            <w:tcW w:w="849" w:type="pct"/>
            <w:vAlign w:val="center"/>
          </w:tcPr>
          <w:p w14:paraId="64D2FF4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31.5%</w:t>
            </w:r>
          </w:p>
        </w:tc>
        <w:tc>
          <w:tcPr>
            <w:tcW w:w="850" w:type="pct"/>
            <w:vAlign w:val="center"/>
          </w:tcPr>
          <w:p w14:paraId="0D9902C5"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CONEVAL. Medición de la Pobreza municipal 2015</w:t>
            </w:r>
          </w:p>
        </w:tc>
        <w:tc>
          <w:tcPr>
            <w:tcW w:w="1007" w:type="pct"/>
            <w:vAlign w:val="center"/>
          </w:tcPr>
          <w:p w14:paraId="420BF238"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25%</w:t>
            </w:r>
          </w:p>
        </w:tc>
      </w:tr>
      <w:tr w:rsidR="00794EB9" w:rsidRPr="00794EB9" w14:paraId="03BF1FA9" w14:textId="77777777" w:rsidTr="00C307FB">
        <w:trPr>
          <w:trHeight w:val="57"/>
          <w:jc w:val="center"/>
        </w:trPr>
        <w:tc>
          <w:tcPr>
            <w:tcW w:w="1048" w:type="pct"/>
            <w:vAlign w:val="center"/>
          </w:tcPr>
          <w:p w14:paraId="52D3F2B6"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Porcentaje de población que habita en polígonos de desarrollo</w:t>
            </w:r>
          </w:p>
        </w:tc>
        <w:tc>
          <w:tcPr>
            <w:tcW w:w="1246" w:type="pct"/>
            <w:vAlign w:val="center"/>
          </w:tcPr>
          <w:p w14:paraId="28132096"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 xml:space="preserve">Es el porcentaje de población urbana que habita las zonas más vulnerables socialmente de la ciudad de León.  </w:t>
            </w:r>
          </w:p>
        </w:tc>
        <w:tc>
          <w:tcPr>
            <w:tcW w:w="849" w:type="pct"/>
            <w:vAlign w:val="center"/>
          </w:tcPr>
          <w:p w14:paraId="00D5E6A0"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24.5%</w:t>
            </w:r>
          </w:p>
        </w:tc>
        <w:tc>
          <w:tcPr>
            <w:tcW w:w="850" w:type="pct"/>
            <w:vAlign w:val="center"/>
          </w:tcPr>
          <w:p w14:paraId="28FD2A38"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 Cálculos propios con INEGI. Censo de Población y Vivienda 2020</w:t>
            </w:r>
          </w:p>
        </w:tc>
        <w:tc>
          <w:tcPr>
            <w:tcW w:w="1007" w:type="pct"/>
            <w:vAlign w:val="center"/>
          </w:tcPr>
          <w:p w14:paraId="134972A0"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22.5%</w:t>
            </w:r>
          </w:p>
        </w:tc>
      </w:tr>
      <w:tr w:rsidR="00794EB9" w:rsidRPr="00794EB9" w14:paraId="388865FC" w14:textId="77777777" w:rsidTr="00C307FB">
        <w:trPr>
          <w:trHeight w:val="57"/>
          <w:jc w:val="center"/>
        </w:trPr>
        <w:tc>
          <w:tcPr>
            <w:tcW w:w="1048" w:type="pct"/>
            <w:tcBorders>
              <w:bottom w:val="single" w:sz="4" w:space="0" w:color="auto"/>
            </w:tcBorders>
            <w:vAlign w:val="center"/>
          </w:tcPr>
          <w:p w14:paraId="562E42B7"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Número de localidades rurales con Índice de Rezago Social alto y muy alto</w:t>
            </w:r>
          </w:p>
        </w:tc>
        <w:tc>
          <w:tcPr>
            <w:tcW w:w="1246" w:type="pct"/>
            <w:tcBorders>
              <w:bottom w:val="single" w:sz="4" w:space="0" w:color="auto"/>
            </w:tcBorders>
            <w:vAlign w:val="center"/>
          </w:tcPr>
          <w:p w14:paraId="47C23E09"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número de localidades rurales con Índice de Rezago Social alto y muy alto.</w:t>
            </w:r>
          </w:p>
        </w:tc>
        <w:tc>
          <w:tcPr>
            <w:tcW w:w="849" w:type="pct"/>
            <w:tcBorders>
              <w:bottom w:val="single" w:sz="4" w:space="0" w:color="auto"/>
            </w:tcBorders>
            <w:vAlign w:val="center"/>
          </w:tcPr>
          <w:p w14:paraId="01D2AF72"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22 localidades</w:t>
            </w:r>
          </w:p>
        </w:tc>
        <w:tc>
          <w:tcPr>
            <w:tcW w:w="850" w:type="pct"/>
            <w:tcBorders>
              <w:bottom w:val="single" w:sz="4" w:space="0" w:color="auto"/>
            </w:tcBorders>
            <w:vAlign w:val="center"/>
          </w:tcPr>
          <w:p w14:paraId="0AA16988"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CONEVAL. Índice de Rezago Social por Localidad 2020</w:t>
            </w:r>
          </w:p>
        </w:tc>
        <w:tc>
          <w:tcPr>
            <w:tcW w:w="1007" w:type="pct"/>
            <w:tcBorders>
              <w:bottom w:val="single" w:sz="4" w:space="0" w:color="auto"/>
            </w:tcBorders>
            <w:vAlign w:val="center"/>
          </w:tcPr>
          <w:p w14:paraId="6D5A33F6"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15</w:t>
            </w:r>
          </w:p>
        </w:tc>
      </w:tr>
    </w:tbl>
    <w:p w14:paraId="63BD4864" w14:textId="77777777" w:rsidR="00794EB9" w:rsidRPr="00794EB9" w:rsidRDefault="00794EB9" w:rsidP="00794EB9">
      <w:pPr>
        <w:jc w:val="both"/>
        <w:rPr>
          <w:rFonts w:ascii="Arial" w:hAnsi="Arial" w:cs="Arial"/>
          <w:sz w:val="22"/>
          <w:szCs w:val="22"/>
        </w:rPr>
      </w:pPr>
    </w:p>
    <w:p w14:paraId="6F8F07FB"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lastRenderedPageBreak/>
        <w:t>Programa VS3. León Saludable</w:t>
      </w:r>
    </w:p>
    <w:p w14:paraId="5D32185A"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Apoyar a población en situación de vulnerabilidad, en especial adultos mayores, personas con discapacidad o con movilidad comprometida con unidades móviles de atención médica, así como acciones preventivas en materia de hábitos saludables y nutricionales, que sean complementados con cuadros básicos de medicamentos.</w:t>
      </w:r>
    </w:p>
    <w:p w14:paraId="65DD0B63" w14:textId="77777777" w:rsidR="00794EB9" w:rsidRPr="00794EB9" w:rsidRDefault="00794EB9" w:rsidP="00794EB9">
      <w:pPr>
        <w:jc w:val="both"/>
        <w:rPr>
          <w:rFonts w:ascii="Arial" w:hAnsi="Arial" w:cs="Arial"/>
          <w:b/>
          <w:sz w:val="22"/>
          <w:szCs w:val="22"/>
        </w:rPr>
      </w:pPr>
    </w:p>
    <w:p w14:paraId="6C0AB4DF"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71C9BC08"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 Garantizar una vida sana y promover el bienestar para todos en todas las edades</w:t>
      </w:r>
    </w:p>
    <w:p w14:paraId="633F63D5"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5: Lograr la igualdad entre los géneros y empoderar a todas las mujeres y las niñas</w:t>
      </w:r>
    </w:p>
    <w:p w14:paraId="11E5D5FF" w14:textId="77777777" w:rsidR="00794EB9" w:rsidRPr="00794EB9" w:rsidRDefault="00794EB9" w:rsidP="00794EB9">
      <w:pPr>
        <w:pStyle w:val="Prrafodelista"/>
        <w:ind w:left="1637"/>
        <w:jc w:val="both"/>
        <w:rPr>
          <w:rFonts w:ascii="Arial" w:hAnsi="Arial" w:cs="Arial"/>
          <w:sz w:val="22"/>
          <w:szCs w:val="22"/>
        </w:rPr>
      </w:pPr>
    </w:p>
    <w:p w14:paraId="394F5587"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3390F73B"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1.1.2 Otorgar servicios de salud oportunos, con altos estándares de calidad y seguridad para las y los pacientes</w:t>
      </w:r>
    </w:p>
    <w:p w14:paraId="5B696E72"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1.1.4 Asegurar el derecho de las mujeres a una vida libre de violencia</w:t>
      </w:r>
    </w:p>
    <w:p w14:paraId="76BEE75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1.3.1 Asegurar las condiciones para el desarrollo pleno e igualitario de los grupos prioritarios del estado</w:t>
      </w:r>
    </w:p>
    <w:p w14:paraId="14BE3CAB" w14:textId="77777777" w:rsidR="00794EB9" w:rsidRPr="00794EB9" w:rsidRDefault="00794EB9" w:rsidP="00794EB9">
      <w:pPr>
        <w:pStyle w:val="Prrafodelista"/>
        <w:ind w:left="1637"/>
        <w:jc w:val="both"/>
        <w:rPr>
          <w:rFonts w:ascii="Arial" w:hAnsi="Arial" w:cs="Arial"/>
          <w:sz w:val="22"/>
          <w:szCs w:val="22"/>
        </w:rPr>
      </w:pPr>
    </w:p>
    <w:p w14:paraId="612A1EFF" w14:textId="77777777" w:rsidR="00794EB9" w:rsidRPr="00794EB9" w:rsidRDefault="00794EB9" w:rsidP="00794EB9">
      <w:pPr>
        <w:pStyle w:val="Prrafodelista"/>
        <w:ind w:left="1637"/>
        <w:jc w:val="both"/>
        <w:rPr>
          <w:rFonts w:ascii="Arial" w:hAnsi="Arial" w:cs="Arial"/>
          <w:sz w:val="22"/>
          <w:szCs w:val="22"/>
        </w:rPr>
      </w:pPr>
    </w:p>
    <w:p w14:paraId="27F4034A"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572F01E0"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3.4 Estilos de vida saludable. Consolidar una cultura de prevención, auto cuidado y hábitos saludables para la reducción de enfermedades crónico-degenerativas y psicosociales.</w:t>
      </w:r>
    </w:p>
    <w:p w14:paraId="4167DFF7"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jc w:val="center"/>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22E73695" w14:textId="77777777" w:rsidTr="00C307FB">
        <w:trPr>
          <w:trHeight w:val="57"/>
          <w:jc w:val="center"/>
        </w:trPr>
        <w:tc>
          <w:tcPr>
            <w:tcW w:w="1048" w:type="pct"/>
            <w:tcBorders>
              <w:top w:val="single" w:sz="4" w:space="0" w:color="auto"/>
            </w:tcBorders>
            <w:shd w:val="clear" w:color="auto" w:fill="E8E7E9"/>
            <w:vAlign w:val="center"/>
          </w:tcPr>
          <w:p w14:paraId="4907EEA8"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tcBorders>
              <w:top w:val="single" w:sz="4" w:space="0" w:color="auto"/>
            </w:tcBorders>
            <w:shd w:val="clear" w:color="auto" w:fill="E8E7E9"/>
            <w:vAlign w:val="center"/>
          </w:tcPr>
          <w:p w14:paraId="505B7A66"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tcBorders>
              <w:top w:val="single" w:sz="4" w:space="0" w:color="auto"/>
            </w:tcBorders>
            <w:shd w:val="clear" w:color="auto" w:fill="E8E7E9"/>
            <w:vAlign w:val="center"/>
          </w:tcPr>
          <w:p w14:paraId="60736CF3"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50" w:type="pct"/>
            <w:tcBorders>
              <w:top w:val="single" w:sz="4" w:space="0" w:color="auto"/>
            </w:tcBorders>
            <w:shd w:val="clear" w:color="auto" w:fill="E8E7E9"/>
            <w:vAlign w:val="center"/>
          </w:tcPr>
          <w:p w14:paraId="47279492"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07" w:type="pct"/>
            <w:tcBorders>
              <w:top w:val="single" w:sz="4" w:space="0" w:color="auto"/>
            </w:tcBorders>
            <w:shd w:val="clear" w:color="auto" w:fill="E8E7E9"/>
            <w:vAlign w:val="center"/>
          </w:tcPr>
          <w:p w14:paraId="547B8D43"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297AB62D" w14:textId="77777777" w:rsidTr="00C307FB">
        <w:trPr>
          <w:trHeight w:val="57"/>
          <w:jc w:val="center"/>
        </w:trPr>
        <w:tc>
          <w:tcPr>
            <w:tcW w:w="1048" w:type="pct"/>
            <w:tcBorders>
              <w:top w:val="single" w:sz="4" w:space="0" w:color="auto"/>
            </w:tcBorders>
            <w:vAlign w:val="center"/>
          </w:tcPr>
          <w:p w14:paraId="1B25B38B"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Porcentaje de muertes por enfermedades crónico degenerativas</w:t>
            </w:r>
          </w:p>
        </w:tc>
        <w:tc>
          <w:tcPr>
            <w:tcW w:w="1246" w:type="pct"/>
            <w:tcBorders>
              <w:top w:val="single" w:sz="4" w:space="0" w:color="auto"/>
            </w:tcBorders>
            <w:vAlign w:val="center"/>
          </w:tcPr>
          <w:p w14:paraId="1065A4EE"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porcentaje de defunciones registradas de la población con residencia habitual en León, por diabetes mellitus o por enfermedades del corazón o por obesidad.</w:t>
            </w:r>
          </w:p>
        </w:tc>
        <w:tc>
          <w:tcPr>
            <w:tcW w:w="849" w:type="pct"/>
            <w:tcBorders>
              <w:top w:val="single" w:sz="4" w:space="0" w:color="auto"/>
            </w:tcBorders>
            <w:vAlign w:val="center"/>
          </w:tcPr>
          <w:p w14:paraId="2674F23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35.90%</w:t>
            </w:r>
          </w:p>
        </w:tc>
        <w:tc>
          <w:tcPr>
            <w:tcW w:w="850" w:type="pct"/>
            <w:tcBorders>
              <w:top w:val="single" w:sz="4" w:space="0" w:color="auto"/>
            </w:tcBorders>
            <w:vAlign w:val="center"/>
          </w:tcPr>
          <w:p w14:paraId="6F7DD557"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Estadísticas Vitales, 2019</w:t>
            </w:r>
          </w:p>
        </w:tc>
        <w:tc>
          <w:tcPr>
            <w:tcW w:w="1007" w:type="pct"/>
            <w:tcBorders>
              <w:top w:val="single" w:sz="4" w:space="0" w:color="auto"/>
            </w:tcBorders>
            <w:vAlign w:val="center"/>
          </w:tcPr>
          <w:p w14:paraId="496E59E0"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30%</w:t>
            </w:r>
          </w:p>
        </w:tc>
      </w:tr>
      <w:tr w:rsidR="00794EB9" w:rsidRPr="00794EB9" w14:paraId="38B2E8EC" w14:textId="77777777" w:rsidTr="00C307FB">
        <w:trPr>
          <w:trHeight w:val="57"/>
          <w:jc w:val="center"/>
        </w:trPr>
        <w:tc>
          <w:tcPr>
            <w:tcW w:w="1048" w:type="pct"/>
            <w:shd w:val="clear" w:color="auto" w:fill="auto"/>
            <w:vAlign w:val="center"/>
          </w:tcPr>
          <w:p w14:paraId="63ABA0FB"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Porcentaje de población afiliada a servicios de salud</w:t>
            </w:r>
          </w:p>
        </w:tc>
        <w:tc>
          <w:tcPr>
            <w:tcW w:w="1246" w:type="pct"/>
            <w:shd w:val="clear" w:color="auto" w:fill="auto"/>
          </w:tcPr>
          <w:p w14:paraId="4A4BA5B5"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 xml:space="preserve">Mide el porcentaje de personas con el derecho a recibir servicios médicos en instituciones de seguridad social, públicas y privadas; como resultado de una prestación laboral, por adscribirse a un </w:t>
            </w:r>
            <w:r w:rsidRPr="00794EB9">
              <w:rPr>
                <w:rFonts w:ascii="Arial" w:hAnsi="Arial" w:cs="Arial"/>
                <w:sz w:val="22"/>
                <w:szCs w:val="22"/>
              </w:rPr>
              <w:lastRenderedPageBreak/>
              <w:t>programa público, adquirir un seguro médico, ser familiar de la beneficiaria(o) o por ser jubilada(o) o pensionada(o).</w:t>
            </w:r>
          </w:p>
        </w:tc>
        <w:tc>
          <w:tcPr>
            <w:tcW w:w="849" w:type="pct"/>
            <w:shd w:val="clear" w:color="auto" w:fill="auto"/>
            <w:vAlign w:val="center"/>
          </w:tcPr>
          <w:p w14:paraId="5320F981"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lastRenderedPageBreak/>
              <w:t>77.5% de la población total</w:t>
            </w:r>
          </w:p>
        </w:tc>
        <w:tc>
          <w:tcPr>
            <w:tcW w:w="850" w:type="pct"/>
            <w:shd w:val="clear" w:color="auto" w:fill="auto"/>
            <w:vAlign w:val="center"/>
          </w:tcPr>
          <w:p w14:paraId="3310A128"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Censo de Población y Vivienda 2020</w:t>
            </w:r>
          </w:p>
        </w:tc>
        <w:tc>
          <w:tcPr>
            <w:tcW w:w="1007" w:type="pct"/>
            <w:shd w:val="clear" w:color="auto" w:fill="auto"/>
            <w:vAlign w:val="center"/>
          </w:tcPr>
          <w:p w14:paraId="20034676"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85%</w:t>
            </w:r>
          </w:p>
        </w:tc>
      </w:tr>
      <w:tr w:rsidR="00794EB9" w:rsidRPr="00794EB9" w14:paraId="0EDF1381" w14:textId="77777777" w:rsidTr="00C307FB">
        <w:trPr>
          <w:trHeight w:val="57"/>
          <w:jc w:val="center"/>
        </w:trPr>
        <w:tc>
          <w:tcPr>
            <w:tcW w:w="1048" w:type="pct"/>
            <w:vAlign w:val="center"/>
          </w:tcPr>
          <w:p w14:paraId="429E6739"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Tasa de mortalidad por suicidio</w:t>
            </w:r>
          </w:p>
        </w:tc>
        <w:tc>
          <w:tcPr>
            <w:tcW w:w="1246" w:type="pct"/>
            <w:vAlign w:val="center"/>
          </w:tcPr>
          <w:p w14:paraId="51EAC61B"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número de muertes por suicidio por cada 100 mil habitantes.</w:t>
            </w:r>
          </w:p>
        </w:tc>
        <w:tc>
          <w:tcPr>
            <w:tcW w:w="849" w:type="pct"/>
            <w:vAlign w:val="center"/>
          </w:tcPr>
          <w:p w14:paraId="36BECFD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8.3 por cada 100 mil habitantes</w:t>
            </w:r>
          </w:p>
        </w:tc>
        <w:tc>
          <w:tcPr>
            <w:tcW w:w="850" w:type="pct"/>
            <w:vAlign w:val="center"/>
          </w:tcPr>
          <w:p w14:paraId="5137BF92"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Estadísticas Vitales, 2019</w:t>
            </w:r>
          </w:p>
        </w:tc>
        <w:tc>
          <w:tcPr>
            <w:tcW w:w="1007" w:type="pct"/>
            <w:vAlign w:val="center"/>
          </w:tcPr>
          <w:p w14:paraId="62BD2FC9"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5.2 por cada 100 mil habitantes</w:t>
            </w:r>
          </w:p>
        </w:tc>
      </w:tr>
      <w:tr w:rsidR="00794EB9" w:rsidRPr="00794EB9" w14:paraId="5CCE807C" w14:textId="77777777" w:rsidTr="00C307FB">
        <w:trPr>
          <w:trHeight w:val="57"/>
          <w:jc w:val="center"/>
        </w:trPr>
        <w:tc>
          <w:tcPr>
            <w:tcW w:w="1048" w:type="pct"/>
            <w:shd w:val="clear" w:color="auto" w:fill="auto"/>
            <w:vAlign w:val="center"/>
          </w:tcPr>
          <w:p w14:paraId="1EFBFB68"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Tasa de fecundidad de adolescentes entre 15 y 19 años</w:t>
            </w:r>
          </w:p>
        </w:tc>
        <w:tc>
          <w:tcPr>
            <w:tcW w:w="1246" w:type="pct"/>
            <w:shd w:val="clear" w:color="auto" w:fill="auto"/>
            <w:vAlign w:val="center"/>
          </w:tcPr>
          <w:p w14:paraId="43E87975"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número de nacimientos que ocurren durante un determinado año por cada mil mujeres de 15 a 19 años de edad.</w:t>
            </w:r>
          </w:p>
        </w:tc>
        <w:tc>
          <w:tcPr>
            <w:tcW w:w="849" w:type="pct"/>
            <w:shd w:val="clear" w:color="auto" w:fill="auto"/>
            <w:vAlign w:val="center"/>
          </w:tcPr>
          <w:p w14:paraId="48884B9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23.8 nacimientos por cada mil mujeres de 15 a 19 años</w:t>
            </w:r>
          </w:p>
        </w:tc>
        <w:tc>
          <w:tcPr>
            <w:tcW w:w="850" w:type="pct"/>
            <w:shd w:val="clear" w:color="auto" w:fill="auto"/>
            <w:vAlign w:val="center"/>
          </w:tcPr>
          <w:p w14:paraId="2FC850F2"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 Cálculos propios con datos del Subsistema de Información sobre Nacimientos, SINAC, 2020</w:t>
            </w:r>
          </w:p>
        </w:tc>
        <w:tc>
          <w:tcPr>
            <w:tcW w:w="1007" w:type="pct"/>
            <w:shd w:val="clear" w:color="auto" w:fill="auto"/>
            <w:vAlign w:val="center"/>
          </w:tcPr>
          <w:p w14:paraId="32D62822"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15 nacimientos por cada mil mujeres de 15 a 19 años</w:t>
            </w:r>
          </w:p>
        </w:tc>
      </w:tr>
    </w:tbl>
    <w:p w14:paraId="7923F09B" w14:textId="77777777" w:rsidR="00794EB9" w:rsidRPr="00794EB9" w:rsidRDefault="00794EB9" w:rsidP="00794EB9">
      <w:pPr>
        <w:jc w:val="both"/>
        <w:rPr>
          <w:rFonts w:ascii="Arial" w:hAnsi="Arial" w:cs="Arial"/>
          <w:sz w:val="22"/>
          <w:szCs w:val="22"/>
        </w:rPr>
      </w:pPr>
    </w:p>
    <w:p w14:paraId="72D26929"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VS4. León para todos</w:t>
      </w:r>
    </w:p>
    <w:p w14:paraId="0D1937AB"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Brindar protección a mujeres en situación de riesgo, así como a jóvenes y otros grupos en situación de vulnerabilidad mediante acciones integrales para el desarrollo humano y la inclusión social.</w:t>
      </w:r>
    </w:p>
    <w:p w14:paraId="1B7952A5" w14:textId="77777777" w:rsidR="00794EB9" w:rsidRPr="00794EB9" w:rsidRDefault="00794EB9" w:rsidP="00794EB9">
      <w:pPr>
        <w:jc w:val="both"/>
        <w:rPr>
          <w:rFonts w:ascii="Arial" w:hAnsi="Arial" w:cs="Arial"/>
          <w:b/>
          <w:sz w:val="22"/>
          <w:szCs w:val="22"/>
        </w:rPr>
      </w:pPr>
    </w:p>
    <w:p w14:paraId="18644E46"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5B1B8E1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 Garantizar una vida sana y promover el bienestar para todos en todas las edades</w:t>
      </w:r>
    </w:p>
    <w:p w14:paraId="4B27378A"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 Garantizar una educación inclusiva, equitativa y de calidad y promover oportunidades de aprendizaje durante toda la vida para todos</w:t>
      </w:r>
    </w:p>
    <w:p w14:paraId="3A8A768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5: Lograr la igualdad entre los géneros y empoderar a todas las mujeres y las niñas</w:t>
      </w:r>
    </w:p>
    <w:p w14:paraId="6CF23198"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8: Promover el crecimiento económico inclusivo y sostenible, el empleo y el trabajo decente para todos</w:t>
      </w:r>
    </w:p>
    <w:p w14:paraId="22658D88"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9: Construir infraestructuras resilientes, promover la industrialización sostenible y fomentar la innovación Objetivo 10: Reducir la desigualdad en y entre los países</w:t>
      </w:r>
    </w:p>
    <w:p w14:paraId="2CF350E1"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16: Promover sociedades justas, pacíficas e inclusivas</w:t>
      </w:r>
    </w:p>
    <w:p w14:paraId="0D72A39B" w14:textId="77777777" w:rsidR="00794EB9" w:rsidRPr="00794EB9" w:rsidRDefault="00794EB9" w:rsidP="00794EB9">
      <w:pPr>
        <w:pStyle w:val="Prrafodelista"/>
        <w:ind w:left="1637"/>
        <w:jc w:val="both"/>
        <w:rPr>
          <w:rFonts w:ascii="Arial" w:hAnsi="Arial" w:cs="Arial"/>
          <w:sz w:val="22"/>
          <w:szCs w:val="22"/>
        </w:rPr>
      </w:pPr>
    </w:p>
    <w:p w14:paraId="01FB18F3" w14:textId="77777777" w:rsidR="00794EB9" w:rsidRPr="00794EB9" w:rsidRDefault="00794EB9" w:rsidP="00794EB9">
      <w:pPr>
        <w:pStyle w:val="Prrafodelista"/>
        <w:ind w:left="1637"/>
        <w:jc w:val="both"/>
        <w:rPr>
          <w:rFonts w:ascii="Arial" w:hAnsi="Arial" w:cs="Arial"/>
          <w:sz w:val="22"/>
          <w:szCs w:val="22"/>
        </w:rPr>
      </w:pPr>
    </w:p>
    <w:p w14:paraId="18F8D921"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1DAE78F8"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1.1.1 Abatir la pobreza en todas sus vertientes y desde sus causas</w:t>
      </w:r>
    </w:p>
    <w:p w14:paraId="4963927E"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1.1.2 Otorgar servicios de salud oportunos, con altos estándares de calidad y seguridad para las y los pacientes</w:t>
      </w:r>
    </w:p>
    <w:p w14:paraId="0BF7C1CB"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1.1.3 Incrementar el acceso de las personas a una vivienda digna</w:t>
      </w:r>
    </w:p>
    <w:p w14:paraId="3AD2504E"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lastRenderedPageBreak/>
        <w:t>OBJETIVO 1.2.1 Lograr una cobertura universal en la educación obligatoria, mediante un modelo educativo de calidad con diversidad, equidad e igualdad de género que cuente con personal docente capacitado</w:t>
      </w:r>
    </w:p>
    <w:p w14:paraId="315F85B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y profesionalizado</w:t>
      </w:r>
    </w:p>
    <w:p w14:paraId="3899C554"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1.2.3 Potenciar a la cultura y al deporte como elementos del desarrollo integral de las personas y las comunidades</w:t>
      </w:r>
    </w:p>
    <w:p w14:paraId="7E33E70D"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1.3.1 Asegurar las condiciones para el desarrollo pleno e igualitario de los grupos prioritarios</w:t>
      </w:r>
    </w:p>
    <w:p w14:paraId="2833DF20"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2.1.1 Promover el empleo de calidad, inclusivo y bien remunerado, formado y capacitado para la empleabilidad, con igualdad de oportunidades para mujeres y hombres</w:t>
      </w:r>
    </w:p>
    <w:p w14:paraId="69039CC6"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3.2.1 Lograr una administración sostenible del territorio, que impulse el desarrollo de comunidades y ciudades humanas y sostenibles</w:t>
      </w:r>
    </w:p>
    <w:p w14:paraId="4AA24314"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4.1.1 Incrementar la eficiencia y la eficacia del sector público estatal, con el involucramiento corresponsable de la sociedad</w:t>
      </w:r>
    </w:p>
    <w:p w14:paraId="4DF4265D"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4.1.2 Consolidar una gestión pública abierta, transparente y cercana a la ciudadanía, sin cabida para la corrupción os del estado</w:t>
      </w:r>
    </w:p>
    <w:p w14:paraId="2A709E4B"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4.1.3 Fortalecer las capacidades institucionales de las administraciones públicas municipales, para que su actuación se conduzca con apego a los procesos de planeación, transparencia y evaluación de resultados que requiere la sociedad</w:t>
      </w:r>
    </w:p>
    <w:p w14:paraId="3D757B4A"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4.2.3 Incrementar la efectividad de las instancias jurisdiccionales relacionadas con la justicia cotidiana</w:t>
      </w:r>
    </w:p>
    <w:p w14:paraId="5F0789C4" w14:textId="77777777" w:rsidR="00794EB9" w:rsidRPr="00794EB9" w:rsidRDefault="00794EB9" w:rsidP="00794EB9">
      <w:pPr>
        <w:pStyle w:val="Prrafodelista"/>
        <w:ind w:left="1637"/>
        <w:jc w:val="both"/>
        <w:rPr>
          <w:rFonts w:ascii="Arial" w:hAnsi="Arial" w:cs="Arial"/>
          <w:sz w:val="22"/>
          <w:szCs w:val="22"/>
        </w:rPr>
      </w:pPr>
    </w:p>
    <w:p w14:paraId="3F3D13C6"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252C582A"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3.2 Equidad social. Mejorar las condiciones socioeconómicas de la población en alguna situación de pobreza contribuyendo a la reducción de las desigualdades.</w:t>
      </w:r>
    </w:p>
    <w:p w14:paraId="313F16CE"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jc w:val="center"/>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69CF22B6" w14:textId="77777777" w:rsidTr="00C307FB">
        <w:trPr>
          <w:trHeight w:val="100"/>
          <w:jc w:val="center"/>
        </w:trPr>
        <w:tc>
          <w:tcPr>
            <w:tcW w:w="1048" w:type="pct"/>
            <w:shd w:val="clear" w:color="auto" w:fill="E8E7E9"/>
            <w:vAlign w:val="center"/>
          </w:tcPr>
          <w:p w14:paraId="5C5AA49E"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46" w:type="pct"/>
            <w:shd w:val="clear" w:color="auto" w:fill="E8E7E9"/>
            <w:vAlign w:val="center"/>
          </w:tcPr>
          <w:p w14:paraId="1C6A1BB1"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shd w:val="clear" w:color="auto" w:fill="E8E7E9"/>
            <w:vAlign w:val="center"/>
          </w:tcPr>
          <w:p w14:paraId="2DB5040F"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50" w:type="pct"/>
            <w:shd w:val="clear" w:color="auto" w:fill="E8E7E9"/>
            <w:vAlign w:val="center"/>
          </w:tcPr>
          <w:p w14:paraId="1469741E"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07" w:type="pct"/>
            <w:shd w:val="clear" w:color="auto" w:fill="E8E7E9"/>
            <w:vAlign w:val="center"/>
          </w:tcPr>
          <w:p w14:paraId="2C984D02"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6E6F73E4" w14:textId="77777777" w:rsidTr="00C307FB">
        <w:trPr>
          <w:trHeight w:val="57"/>
          <w:jc w:val="center"/>
        </w:trPr>
        <w:tc>
          <w:tcPr>
            <w:tcW w:w="1048" w:type="pct"/>
            <w:tcBorders>
              <w:bottom w:val="single" w:sz="4" w:space="0" w:color="auto"/>
            </w:tcBorders>
            <w:vAlign w:val="center"/>
          </w:tcPr>
          <w:p w14:paraId="4A7389EA"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Número de localidades rurales con Índice de Rezago Social alto y muy alto</w:t>
            </w:r>
          </w:p>
        </w:tc>
        <w:tc>
          <w:tcPr>
            <w:tcW w:w="1246" w:type="pct"/>
            <w:tcBorders>
              <w:bottom w:val="single" w:sz="4" w:space="0" w:color="auto"/>
            </w:tcBorders>
            <w:vAlign w:val="center"/>
          </w:tcPr>
          <w:p w14:paraId="4D7EC221"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número de localidades rurales con Índice de Rezago Social alto y muy alto.</w:t>
            </w:r>
          </w:p>
        </w:tc>
        <w:tc>
          <w:tcPr>
            <w:tcW w:w="849" w:type="pct"/>
            <w:tcBorders>
              <w:bottom w:val="single" w:sz="4" w:space="0" w:color="auto"/>
            </w:tcBorders>
            <w:vAlign w:val="center"/>
          </w:tcPr>
          <w:p w14:paraId="12EA49F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22 localidades</w:t>
            </w:r>
          </w:p>
        </w:tc>
        <w:tc>
          <w:tcPr>
            <w:tcW w:w="850" w:type="pct"/>
            <w:tcBorders>
              <w:bottom w:val="single" w:sz="4" w:space="0" w:color="auto"/>
            </w:tcBorders>
            <w:vAlign w:val="center"/>
          </w:tcPr>
          <w:p w14:paraId="4123C09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CONEVAL. Índice de Rezago Social por Localidad 2020</w:t>
            </w:r>
          </w:p>
        </w:tc>
        <w:tc>
          <w:tcPr>
            <w:tcW w:w="1007" w:type="pct"/>
            <w:tcBorders>
              <w:bottom w:val="single" w:sz="4" w:space="0" w:color="auto"/>
            </w:tcBorders>
            <w:vAlign w:val="center"/>
          </w:tcPr>
          <w:p w14:paraId="139FA451"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15</w:t>
            </w:r>
          </w:p>
        </w:tc>
      </w:tr>
    </w:tbl>
    <w:p w14:paraId="44BDE212" w14:textId="77777777" w:rsidR="00794EB9" w:rsidRPr="00794EB9" w:rsidRDefault="00794EB9" w:rsidP="00794EB9">
      <w:pPr>
        <w:jc w:val="both"/>
        <w:rPr>
          <w:rFonts w:ascii="Arial" w:hAnsi="Arial" w:cs="Arial"/>
          <w:sz w:val="22"/>
          <w:szCs w:val="22"/>
        </w:rPr>
      </w:pPr>
    </w:p>
    <w:p w14:paraId="4396AA46"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Pilar 3.3 Igualdad e inclusión. Promover la igualdad de género, la inclusión y la no discriminación de las personas, respetando la diversidad sociocultural y los Derechos Humanos.</w:t>
      </w:r>
    </w:p>
    <w:p w14:paraId="060F2230" w14:textId="77777777" w:rsidR="00794EB9" w:rsidRPr="00794EB9" w:rsidRDefault="00794EB9" w:rsidP="00794EB9">
      <w:pPr>
        <w:pStyle w:val="Prrafodelista"/>
        <w:ind w:left="1439"/>
        <w:jc w:val="both"/>
        <w:rPr>
          <w:rFonts w:ascii="Arial" w:hAnsi="Arial" w:cs="Arial"/>
          <w:sz w:val="22"/>
          <w:szCs w:val="22"/>
        </w:rPr>
      </w:pPr>
    </w:p>
    <w:p w14:paraId="0D9F4E5A"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15C5CCCA" w14:textId="77777777" w:rsidTr="00C307FB">
        <w:trPr>
          <w:trHeight w:val="57"/>
        </w:trPr>
        <w:tc>
          <w:tcPr>
            <w:tcW w:w="1048" w:type="pct"/>
            <w:tcBorders>
              <w:top w:val="single" w:sz="4" w:space="0" w:color="auto"/>
            </w:tcBorders>
            <w:shd w:val="clear" w:color="auto" w:fill="E8E7E9"/>
            <w:vAlign w:val="center"/>
          </w:tcPr>
          <w:p w14:paraId="338D8E0A"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46" w:type="pct"/>
            <w:tcBorders>
              <w:top w:val="single" w:sz="4" w:space="0" w:color="auto"/>
            </w:tcBorders>
            <w:shd w:val="clear" w:color="auto" w:fill="E8E7E9"/>
            <w:vAlign w:val="center"/>
          </w:tcPr>
          <w:p w14:paraId="588EEA13"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tcBorders>
              <w:top w:val="single" w:sz="4" w:space="0" w:color="auto"/>
            </w:tcBorders>
            <w:shd w:val="clear" w:color="auto" w:fill="E8E7E9"/>
            <w:vAlign w:val="center"/>
          </w:tcPr>
          <w:p w14:paraId="7DB6CFF0"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50" w:type="pct"/>
            <w:tcBorders>
              <w:top w:val="single" w:sz="4" w:space="0" w:color="auto"/>
            </w:tcBorders>
            <w:shd w:val="clear" w:color="auto" w:fill="E8E7E9"/>
            <w:vAlign w:val="center"/>
          </w:tcPr>
          <w:p w14:paraId="69541FBF"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07" w:type="pct"/>
            <w:tcBorders>
              <w:top w:val="single" w:sz="4" w:space="0" w:color="auto"/>
            </w:tcBorders>
            <w:shd w:val="clear" w:color="auto" w:fill="E8E7E9"/>
            <w:vAlign w:val="center"/>
          </w:tcPr>
          <w:p w14:paraId="5B52E270"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500A02F2" w14:textId="77777777" w:rsidTr="00C307FB">
        <w:trPr>
          <w:trHeight w:val="57"/>
        </w:trPr>
        <w:tc>
          <w:tcPr>
            <w:tcW w:w="1048" w:type="pct"/>
            <w:tcBorders>
              <w:top w:val="single" w:sz="4" w:space="0" w:color="auto"/>
            </w:tcBorders>
            <w:shd w:val="clear" w:color="auto" w:fill="auto"/>
            <w:vAlign w:val="center"/>
          </w:tcPr>
          <w:p w14:paraId="604E1CA6"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Brecha salarial por género</w:t>
            </w:r>
          </w:p>
        </w:tc>
        <w:tc>
          <w:tcPr>
            <w:tcW w:w="1246" w:type="pct"/>
            <w:tcBorders>
              <w:top w:val="single" w:sz="4" w:space="0" w:color="auto"/>
            </w:tcBorders>
            <w:shd w:val="clear" w:color="auto" w:fill="auto"/>
            <w:vAlign w:val="center"/>
          </w:tcPr>
          <w:p w14:paraId="2FAE0025"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 xml:space="preserve">Se define como la diferencia entre la proporción de </w:t>
            </w:r>
            <w:r w:rsidRPr="00794EB9">
              <w:rPr>
                <w:rFonts w:ascii="Arial" w:hAnsi="Arial" w:cs="Arial"/>
                <w:sz w:val="22"/>
                <w:szCs w:val="22"/>
              </w:rPr>
              <w:lastRenderedPageBreak/>
              <w:t>mujeres que perciben más de tres salarios mínimos, entre la proporción de hombres que percibe más de tres salarios mínimos.</w:t>
            </w:r>
          </w:p>
        </w:tc>
        <w:tc>
          <w:tcPr>
            <w:tcW w:w="849" w:type="pct"/>
            <w:tcBorders>
              <w:top w:val="single" w:sz="4" w:space="0" w:color="auto"/>
            </w:tcBorders>
            <w:shd w:val="clear" w:color="auto" w:fill="auto"/>
            <w:vAlign w:val="center"/>
          </w:tcPr>
          <w:p w14:paraId="41485E3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lastRenderedPageBreak/>
              <w:t xml:space="preserve">67 mujeres por cada 100 </w:t>
            </w:r>
            <w:r w:rsidRPr="00794EB9">
              <w:rPr>
                <w:rFonts w:ascii="Arial" w:hAnsi="Arial" w:cs="Arial"/>
                <w:sz w:val="22"/>
                <w:szCs w:val="22"/>
              </w:rPr>
              <w:lastRenderedPageBreak/>
              <w:t>hombres perciben más de tres salarios mínimos como ingreso por su trabajo</w:t>
            </w:r>
          </w:p>
        </w:tc>
        <w:tc>
          <w:tcPr>
            <w:tcW w:w="850" w:type="pct"/>
            <w:tcBorders>
              <w:top w:val="single" w:sz="4" w:space="0" w:color="auto"/>
            </w:tcBorders>
            <w:shd w:val="clear" w:color="auto" w:fill="auto"/>
            <w:vAlign w:val="center"/>
          </w:tcPr>
          <w:p w14:paraId="105418F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lastRenderedPageBreak/>
              <w:t xml:space="preserve">INEGI. Microdatos de la ENOE </w:t>
            </w:r>
            <w:r w:rsidRPr="00794EB9">
              <w:rPr>
                <w:rFonts w:ascii="Arial" w:hAnsi="Arial" w:cs="Arial"/>
                <w:sz w:val="22"/>
                <w:szCs w:val="22"/>
              </w:rPr>
              <w:lastRenderedPageBreak/>
              <w:t>(cuarto trimestre de 2020)</w:t>
            </w:r>
          </w:p>
        </w:tc>
        <w:tc>
          <w:tcPr>
            <w:tcW w:w="1007" w:type="pct"/>
            <w:tcBorders>
              <w:top w:val="single" w:sz="4" w:space="0" w:color="auto"/>
            </w:tcBorders>
            <w:shd w:val="clear" w:color="auto" w:fill="auto"/>
            <w:vAlign w:val="center"/>
          </w:tcPr>
          <w:p w14:paraId="054F58B0"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lastRenderedPageBreak/>
              <w:t xml:space="preserve">Aumentar a 72 mujeres por </w:t>
            </w:r>
            <w:r w:rsidRPr="00794EB9">
              <w:rPr>
                <w:rFonts w:ascii="Arial" w:hAnsi="Arial" w:cs="Arial"/>
                <w:b/>
                <w:bCs/>
                <w:sz w:val="22"/>
                <w:szCs w:val="22"/>
              </w:rPr>
              <w:lastRenderedPageBreak/>
              <w:t>cada 100 hombres</w:t>
            </w:r>
          </w:p>
        </w:tc>
      </w:tr>
      <w:tr w:rsidR="00794EB9" w:rsidRPr="00794EB9" w14:paraId="3095FD02" w14:textId="77777777" w:rsidTr="00C307FB">
        <w:trPr>
          <w:trHeight w:val="57"/>
        </w:trPr>
        <w:tc>
          <w:tcPr>
            <w:tcW w:w="1048" w:type="pct"/>
            <w:tcBorders>
              <w:top w:val="single" w:sz="4" w:space="0" w:color="auto"/>
            </w:tcBorders>
            <w:vAlign w:val="center"/>
          </w:tcPr>
          <w:p w14:paraId="2B1FE1CC"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lastRenderedPageBreak/>
              <w:t>Coeficiente de Gini</w:t>
            </w:r>
          </w:p>
          <w:p w14:paraId="01260776" w14:textId="77777777" w:rsidR="00794EB9" w:rsidRPr="00794EB9" w:rsidRDefault="00794EB9" w:rsidP="00C307FB">
            <w:pPr>
              <w:ind w:hanging="2"/>
              <w:jc w:val="center"/>
              <w:rPr>
                <w:rFonts w:ascii="Arial" w:hAnsi="Arial" w:cs="Arial"/>
                <w:b/>
                <w:iCs/>
                <w:sz w:val="22"/>
                <w:szCs w:val="22"/>
              </w:rPr>
            </w:pPr>
            <w:r w:rsidRPr="00794EB9">
              <w:rPr>
                <w:rFonts w:ascii="Arial" w:hAnsi="Arial" w:cs="Arial"/>
                <w:sz w:val="22"/>
                <w:szCs w:val="22"/>
                <w:lang w:eastAsia="es-MX"/>
              </w:rPr>
              <w:t>(Método utilizado para medir la desigualdad salarial)</w:t>
            </w:r>
          </w:p>
        </w:tc>
        <w:tc>
          <w:tcPr>
            <w:tcW w:w="1246" w:type="pct"/>
            <w:tcBorders>
              <w:top w:val="single" w:sz="4" w:space="0" w:color="auto"/>
            </w:tcBorders>
            <w:vAlign w:val="center"/>
          </w:tcPr>
          <w:p w14:paraId="2AF8DDC2"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la desigualdad en la distribución del ingreso de la población.</w:t>
            </w:r>
          </w:p>
        </w:tc>
        <w:tc>
          <w:tcPr>
            <w:tcW w:w="849" w:type="pct"/>
            <w:tcBorders>
              <w:top w:val="single" w:sz="4" w:space="0" w:color="auto"/>
            </w:tcBorders>
            <w:vAlign w:val="center"/>
          </w:tcPr>
          <w:p w14:paraId="2860358B"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 xml:space="preserve">0.39 </w:t>
            </w:r>
            <w:r w:rsidRPr="00794EB9">
              <w:rPr>
                <w:rFonts w:ascii="Arial" w:hAnsi="Arial" w:cs="Arial"/>
                <w:sz w:val="22"/>
                <w:szCs w:val="22"/>
              </w:rPr>
              <w:br/>
              <w:t xml:space="preserve">Coeficiente desigualdad de ingresos </w:t>
            </w:r>
          </w:p>
        </w:tc>
        <w:tc>
          <w:tcPr>
            <w:tcW w:w="850" w:type="pct"/>
            <w:tcBorders>
              <w:top w:val="single" w:sz="4" w:space="0" w:color="auto"/>
            </w:tcBorders>
            <w:vAlign w:val="center"/>
          </w:tcPr>
          <w:p w14:paraId="0DF2E137"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CONEVAL. Medición de la Pobreza municipal 2015</w:t>
            </w:r>
          </w:p>
        </w:tc>
        <w:tc>
          <w:tcPr>
            <w:tcW w:w="1007" w:type="pct"/>
            <w:tcBorders>
              <w:top w:val="single" w:sz="4" w:space="0" w:color="auto"/>
            </w:tcBorders>
            <w:vAlign w:val="center"/>
          </w:tcPr>
          <w:p w14:paraId="39B6B04B"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0.30</w:t>
            </w:r>
          </w:p>
        </w:tc>
      </w:tr>
    </w:tbl>
    <w:p w14:paraId="05180A1A" w14:textId="77777777" w:rsidR="00794EB9" w:rsidRPr="00794EB9" w:rsidRDefault="00794EB9" w:rsidP="00794EB9">
      <w:pPr>
        <w:pStyle w:val="Prrafodelista"/>
        <w:ind w:left="1439"/>
        <w:jc w:val="both"/>
        <w:rPr>
          <w:rFonts w:ascii="Arial" w:hAnsi="Arial" w:cs="Arial"/>
          <w:sz w:val="22"/>
          <w:szCs w:val="22"/>
        </w:rPr>
      </w:pPr>
    </w:p>
    <w:p w14:paraId="064828CB"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3.4 Estilos de vida saludable. Consolidar una cultura de prevención, auto cuidado y hábitos saludables para la reducción de enfermedades crónico-degenerativas y psicosociales.</w:t>
      </w:r>
    </w:p>
    <w:p w14:paraId="1951A0B5" w14:textId="77777777" w:rsidR="00794EB9" w:rsidRPr="00794EB9" w:rsidRDefault="00794EB9" w:rsidP="00794EB9">
      <w:pPr>
        <w:jc w:val="both"/>
        <w:rPr>
          <w:rFonts w:ascii="Arial" w:hAnsi="Arial" w:cs="Arial"/>
          <w:sz w:val="22"/>
          <w:szCs w:val="22"/>
        </w:rPr>
      </w:pPr>
    </w:p>
    <w:tbl>
      <w:tblPr>
        <w:tblStyle w:val="Tablaconcuadrcula3"/>
        <w:tblW w:w="5000" w:type="pct"/>
        <w:jc w:val="center"/>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7BD30B3E" w14:textId="77777777" w:rsidTr="00C307FB">
        <w:trPr>
          <w:trHeight w:val="57"/>
          <w:jc w:val="center"/>
        </w:trPr>
        <w:tc>
          <w:tcPr>
            <w:tcW w:w="1048" w:type="pct"/>
            <w:tcBorders>
              <w:top w:val="single" w:sz="4" w:space="0" w:color="auto"/>
            </w:tcBorders>
            <w:shd w:val="clear" w:color="auto" w:fill="E8E7E9"/>
            <w:vAlign w:val="center"/>
          </w:tcPr>
          <w:p w14:paraId="6B8EF2A1"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tcBorders>
              <w:top w:val="single" w:sz="4" w:space="0" w:color="auto"/>
            </w:tcBorders>
            <w:shd w:val="clear" w:color="auto" w:fill="E8E7E9"/>
            <w:vAlign w:val="center"/>
          </w:tcPr>
          <w:p w14:paraId="65FEF123"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tcBorders>
              <w:top w:val="single" w:sz="4" w:space="0" w:color="auto"/>
            </w:tcBorders>
            <w:shd w:val="clear" w:color="auto" w:fill="E8E7E9"/>
            <w:vAlign w:val="center"/>
          </w:tcPr>
          <w:p w14:paraId="0075C63A"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50" w:type="pct"/>
            <w:tcBorders>
              <w:top w:val="single" w:sz="4" w:space="0" w:color="auto"/>
            </w:tcBorders>
            <w:shd w:val="clear" w:color="auto" w:fill="E8E7E9"/>
            <w:vAlign w:val="center"/>
          </w:tcPr>
          <w:p w14:paraId="414251DF"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07" w:type="pct"/>
            <w:tcBorders>
              <w:top w:val="single" w:sz="4" w:space="0" w:color="auto"/>
            </w:tcBorders>
            <w:shd w:val="clear" w:color="auto" w:fill="E8E7E9"/>
            <w:vAlign w:val="center"/>
          </w:tcPr>
          <w:p w14:paraId="284BB7B3"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25C265B5" w14:textId="77777777" w:rsidTr="00C307FB">
        <w:trPr>
          <w:trHeight w:val="57"/>
          <w:jc w:val="center"/>
        </w:trPr>
        <w:tc>
          <w:tcPr>
            <w:tcW w:w="1048" w:type="pct"/>
            <w:tcBorders>
              <w:top w:val="single" w:sz="4" w:space="0" w:color="auto"/>
            </w:tcBorders>
            <w:vAlign w:val="center"/>
          </w:tcPr>
          <w:p w14:paraId="6A6332B8"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Porcentaje de muertes por enfermedades crónico degenerativas</w:t>
            </w:r>
          </w:p>
        </w:tc>
        <w:tc>
          <w:tcPr>
            <w:tcW w:w="1246" w:type="pct"/>
            <w:tcBorders>
              <w:top w:val="single" w:sz="4" w:space="0" w:color="auto"/>
            </w:tcBorders>
            <w:vAlign w:val="center"/>
          </w:tcPr>
          <w:p w14:paraId="7A9DBDF1"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porcentaje de defunciones registradas de la población con residencia habitual en León, por diabetes mellitus o por enfermedades del corazón o por obesidad.</w:t>
            </w:r>
          </w:p>
        </w:tc>
        <w:tc>
          <w:tcPr>
            <w:tcW w:w="849" w:type="pct"/>
            <w:tcBorders>
              <w:top w:val="single" w:sz="4" w:space="0" w:color="auto"/>
            </w:tcBorders>
            <w:vAlign w:val="center"/>
          </w:tcPr>
          <w:p w14:paraId="108CC57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35.90%</w:t>
            </w:r>
          </w:p>
        </w:tc>
        <w:tc>
          <w:tcPr>
            <w:tcW w:w="850" w:type="pct"/>
            <w:tcBorders>
              <w:top w:val="single" w:sz="4" w:space="0" w:color="auto"/>
            </w:tcBorders>
            <w:vAlign w:val="center"/>
          </w:tcPr>
          <w:p w14:paraId="0380CE2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Estadísticas Vitales, 2019</w:t>
            </w:r>
          </w:p>
        </w:tc>
        <w:tc>
          <w:tcPr>
            <w:tcW w:w="1007" w:type="pct"/>
            <w:tcBorders>
              <w:top w:val="single" w:sz="4" w:space="0" w:color="auto"/>
            </w:tcBorders>
            <w:vAlign w:val="center"/>
          </w:tcPr>
          <w:p w14:paraId="7F70CF01"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30%</w:t>
            </w:r>
          </w:p>
        </w:tc>
      </w:tr>
      <w:tr w:rsidR="00794EB9" w:rsidRPr="00794EB9" w14:paraId="0470736A" w14:textId="77777777" w:rsidTr="00C307FB">
        <w:trPr>
          <w:trHeight w:val="57"/>
          <w:jc w:val="center"/>
        </w:trPr>
        <w:tc>
          <w:tcPr>
            <w:tcW w:w="1048" w:type="pct"/>
            <w:vAlign w:val="center"/>
          </w:tcPr>
          <w:p w14:paraId="2DC48C79"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Tasa de mortalidad por suicidio</w:t>
            </w:r>
          </w:p>
        </w:tc>
        <w:tc>
          <w:tcPr>
            <w:tcW w:w="1246" w:type="pct"/>
            <w:vAlign w:val="center"/>
          </w:tcPr>
          <w:p w14:paraId="684DCEE1"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número de muertes por suicidio por cada 100 mil habitantes.</w:t>
            </w:r>
          </w:p>
        </w:tc>
        <w:tc>
          <w:tcPr>
            <w:tcW w:w="849" w:type="pct"/>
            <w:vAlign w:val="center"/>
          </w:tcPr>
          <w:p w14:paraId="0C066E2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8.3 por cada 100 mil habitantes</w:t>
            </w:r>
          </w:p>
        </w:tc>
        <w:tc>
          <w:tcPr>
            <w:tcW w:w="850" w:type="pct"/>
            <w:vAlign w:val="center"/>
          </w:tcPr>
          <w:p w14:paraId="6DBD5F0E"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Estadísticas Vitales, 2019</w:t>
            </w:r>
          </w:p>
        </w:tc>
        <w:tc>
          <w:tcPr>
            <w:tcW w:w="1007" w:type="pct"/>
            <w:vAlign w:val="center"/>
          </w:tcPr>
          <w:p w14:paraId="14F48A75"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5.2 por cada 100 mil habitantes</w:t>
            </w:r>
          </w:p>
        </w:tc>
      </w:tr>
      <w:tr w:rsidR="00794EB9" w:rsidRPr="00794EB9" w14:paraId="1C4AA5B7" w14:textId="77777777" w:rsidTr="00C307FB">
        <w:trPr>
          <w:trHeight w:val="57"/>
          <w:jc w:val="center"/>
        </w:trPr>
        <w:tc>
          <w:tcPr>
            <w:tcW w:w="1048" w:type="pct"/>
            <w:shd w:val="clear" w:color="auto" w:fill="auto"/>
            <w:vAlign w:val="center"/>
          </w:tcPr>
          <w:p w14:paraId="690852DE"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Tasa de fecundidad de adolescentes entre 15 y 19 años</w:t>
            </w:r>
          </w:p>
        </w:tc>
        <w:tc>
          <w:tcPr>
            <w:tcW w:w="1246" w:type="pct"/>
            <w:shd w:val="clear" w:color="auto" w:fill="auto"/>
            <w:vAlign w:val="center"/>
          </w:tcPr>
          <w:p w14:paraId="7F5FF2AD"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número de nacimientos que ocurren durante un determinado año por cada mil mujeres de 15 a 19 años de edad.</w:t>
            </w:r>
          </w:p>
        </w:tc>
        <w:tc>
          <w:tcPr>
            <w:tcW w:w="849" w:type="pct"/>
            <w:shd w:val="clear" w:color="auto" w:fill="auto"/>
            <w:vAlign w:val="center"/>
          </w:tcPr>
          <w:p w14:paraId="1EEDC37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23.8 nacimientos por cada mil mujeres de 15 a 19 años</w:t>
            </w:r>
          </w:p>
        </w:tc>
        <w:tc>
          <w:tcPr>
            <w:tcW w:w="850" w:type="pct"/>
            <w:shd w:val="clear" w:color="auto" w:fill="auto"/>
            <w:vAlign w:val="center"/>
          </w:tcPr>
          <w:p w14:paraId="2271A14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 Cálculos propios con datos del Subsistema de Información sobre Nacimientos, SINAC, 2020</w:t>
            </w:r>
          </w:p>
        </w:tc>
        <w:tc>
          <w:tcPr>
            <w:tcW w:w="1007" w:type="pct"/>
            <w:shd w:val="clear" w:color="auto" w:fill="auto"/>
            <w:vAlign w:val="center"/>
          </w:tcPr>
          <w:p w14:paraId="7C45C95B"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15 nacimientos por cada mil mujeres de 15 a 19 años</w:t>
            </w:r>
          </w:p>
        </w:tc>
      </w:tr>
    </w:tbl>
    <w:p w14:paraId="76C4287B" w14:textId="77777777" w:rsidR="00794EB9" w:rsidRPr="00794EB9" w:rsidRDefault="00794EB9" w:rsidP="00794EB9">
      <w:pPr>
        <w:jc w:val="both"/>
        <w:rPr>
          <w:rFonts w:ascii="Arial" w:hAnsi="Arial" w:cs="Arial"/>
          <w:sz w:val="22"/>
          <w:szCs w:val="22"/>
        </w:rPr>
      </w:pPr>
    </w:p>
    <w:p w14:paraId="5E51F011"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lastRenderedPageBreak/>
        <w:t>Pilar 3.5 Educación equitativa, pertinente y de calidad. Promover el aprendizaje equitativo, pertinente y de calidad a lo largo de la vida.</w:t>
      </w:r>
    </w:p>
    <w:p w14:paraId="08739FE9"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jc w:val="center"/>
        <w:tblCellMar>
          <w:top w:w="85" w:type="dxa"/>
          <w:bottom w:w="85" w:type="dxa"/>
        </w:tblCellMar>
        <w:tblLook w:val="04A0" w:firstRow="1" w:lastRow="0" w:firstColumn="1" w:lastColumn="0" w:noHBand="0" w:noVBand="1"/>
      </w:tblPr>
      <w:tblGrid>
        <w:gridCol w:w="2014"/>
        <w:gridCol w:w="2140"/>
        <w:gridCol w:w="1513"/>
        <w:gridCol w:w="1488"/>
        <w:gridCol w:w="1673"/>
      </w:tblGrid>
      <w:tr w:rsidR="00794EB9" w:rsidRPr="00794EB9" w14:paraId="7FC70305" w14:textId="77777777" w:rsidTr="00C307FB">
        <w:trPr>
          <w:trHeight w:val="57"/>
          <w:jc w:val="center"/>
        </w:trPr>
        <w:tc>
          <w:tcPr>
            <w:tcW w:w="1048" w:type="pct"/>
            <w:shd w:val="clear" w:color="auto" w:fill="E8E7E9"/>
            <w:vAlign w:val="center"/>
          </w:tcPr>
          <w:p w14:paraId="56CA580E"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shd w:val="clear" w:color="auto" w:fill="E8E7E9"/>
            <w:vAlign w:val="center"/>
          </w:tcPr>
          <w:p w14:paraId="2BA0E395"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shd w:val="clear" w:color="auto" w:fill="E8E7E9"/>
            <w:vAlign w:val="center"/>
          </w:tcPr>
          <w:p w14:paraId="5647A471"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50" w:type="pct"/>
            <w:shd w:val="clear" w:color="auto" w:fill="E8E7E9"/>
            <w:vAlign w:val="center"/>
          </w:tcPr>
          <w:p w14:paraId="157C70AC"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07" w:type="pct"/>
            <w:shd w:val="clear" w:color="auto" w:fill="E8E7E9"/>
            <w:vAlign w:val="center"/>
          </w:tcPr>
          <w:p w14:paraId="61FB465B"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433F5E39" w14:textId="77777777" w:rsidTr="00C307FB">
        <w:trPr>
          <w:trHeight w:val="57"/>
          <w:jc w:val="center"/>
        </w:trPr>
        <w:tc>
          <w:tcPr>
            <w:tcW w:w="1048" w:type="pct"/>
            <w:vAlign w:val="center"/>
          </w:tcPr>
          <w:p w14:paraId="10CBE196"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Porcentaje de niñas, niños y adolescentes que no asisten a la escuela</w:t>
            </w:r>
          </w:p>
        </w:tc>
        <w:tc>
          <w:tcPr>
            <w:tcW w:w="1246" w:type="pct"/>
            <w:vAlign w:val="center"/>
          </w:tcPr>
          <w:p w14:paraId="7899FA40"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porcentaje de niñas, niños y adolescentes que debieran estar cursando su educación básica, pero al momento del levantamiento censal declararon que no asistían a la escuela.</w:t>
            </w:r>
          </w:p>
        </w:tc>
        <w:tc>
          <w:tcPr>
            <w:tcW w:w="849" w:type="pct"/>
            <w:vAlign w:val="center"/>
          </w:tcPr>
          <w:p w14:paraId="46226362"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16% de niñas, niños y adolescentes de 3 a 14 años</w:t>
            </w:r>
          </w:p>
        </w:tc>
        <w:tc>
          <w:tcPr>
            <w:tcW w:w="850" w:type="pct"/>
            <w:vAlign w:val="center"/>
          </w:tcPr>
          <w:p w14:paraId="304B8370"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Censo de Población y Vivienda 2020</w:t>
            </w:r>
          </w:p>
        </w:tc>
        <w:tc>
          <w:tcPr>
            <w:tcW w:w="1007" w:type="pct"/>
            <w:vAlign w:val="center"/>
          </w:tcPr>
          <w:p w14:paraId="5BFE3B8C"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11%</w:t>
            </w:r>
          </w:p>
        </w:tc>
      </w:tr>
      <w:tr w:rsidR="00794EB9" w:rsidRPr="00794EB9" w14:paraId="29FF1B9C" w14:textId="77777777" w:rsidTr="00C307FB">
        <w:trPr>
          <w:trHeight w:val="57"/>
          <w:jc w:val="center"/>
        </w:trPr>
        <w:tc>
          <w:tcPr>
            <w:tcW w:w="1048" w:type="pct"/>
            <w:vAlign w:val="center"/>
          </w:tcPr>
          <w:p w14:paraId="710E8DEA"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Años promedio de escolaridad de la población económicamente activa</w:t>
            </w:r>
          </w:p>
        </w:tc>
        <w:tc>
          <w:tcPr>
            <w:tcW w:w="1246" w:type="pct"/>
            <w:vAlign w:val="center"/>
          </w:tcPr>
          <w:p w14:paraId="566748B6"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número promedio de años de educación formal que ha cursado la población económicamente activa (PEA).</w:t>
            </w:r>
          </w:p>
        </w:tc>
        <w:tc>
          <w:tcPr>
            <w:tcW w:w="849" w:type="pct"/>
            <w:vAlign w:val="center"/>
          </w:tcPr>
          <w:p w14:paraId="535D4DF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10.5 años de escolaridad promedio</w:t>
            </w:r>
          </w:p>
        </w:tc>
        <w:tc>
          <w:tcPr>
            <w:tcW w:w="850" w:type="pct"/>
            <w:vAlign w:val="center"/>
          </w:tcPr>
          <w:p w14:paraId="3D844955"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Microdatos de la ENOE (cuarto trimestre de 2020)</w:t>
            </w:r>
          </w:p>
        </w:tc>
        <w:tc>
          <w:tcPr>
            <w:tcW w:w="1007" w:type="pct"/>
            <w:vAlign w:val="center"/>
          </w:tcPr>
          <w:p w14:paraId="16FE047E"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12 años de escolaridad promedio</w:t>
            </w:r>
          </w:p>
        </w:tc>
      </w:tr>
      <w:tr w:rsidR="00794EB9" w:rsidRPr="00794EB9" w14:paraId="35B72DD1" w14:textId="77777777" w:rsidTr="00C307FB">
        <w:trPr>
          <w:trHeight w:val="57"/>
          <w:jc w:val="center"/>
        </w:trPr>
        <w:tc>
          <w:tcPr>
            <w:tcW w:w="1048" w:type="pct"/>
          </w:tcPr>
          <w:p w14:paraId="3AD2EE3D"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iCs/>
                <w:sz w:val="22"/>
                <w:szCs w:val="22"/>
              </w:rPr>
              <w:t>Tasa de abandono escolar de niñas, niños y adolescentes</w:t>
            </w:r>
          </w:p>
        </w:tc>
        <w:tc>
          <w:tcPr>
            <w:tcW w:w="1246" w:type="pct"/>
          </w:tcPr>
          <w:p w14:paraId="490A6756" w14:textId="77777777" w:rsidR="00794EB9" w:rsidRPr="00794EB9" w:rsidRDefault="00794EB9" w:rsidP="00C307FB">
            <w:pPr>
              <w:ind w:hanging="2"/>
              <w:rPr>
                <w:rFonts w:ascii="Arial" w:hAnsi="Arial" w:cs="Arial"/>
                <w:sz w:val="22"/>
                <w:szCs w:val="22"/>
              </w:rPr>
            </w:pPr>
            <w:r w:rsidRPr="00794EB9">
              <w:rPr>
                <w:rFonts w:ascii="Arial" w:hAnsi="Arial" w:cs="Arial"/>
                <w:iCs/>
                <w:sz w:val="22"/>
                <w:szCs w:val="22"/>
              </w:rPr>
              <w:t>Es el porcentaje de alumnos de primaria y secundaria que abandona las actividades escolares durante el ciclo escolar y al finalizar éste respecto al total de alumnos inscritos.</w:t>
            </w:r>
          </w:p>
        </w:tc>
        <w:tc>
          <w:tcPr>
            <w:tcW w:w="849" w:type="pct"/>
          </w:tcPr>
          <w:p w14:paraId="2F2B2B87" w14:textId="77777777" w:rsidR="00794EB9" w:rsidRPr="00794EB9" w:rsidRDefault="00794EB9" w:rsidP="00C307FB">
            <w:pPr>
              <w:ind w:hanging="2"/>
              <w:jc w:val="center"/>
              <w:rPr>
                <w:rFonts w:ascii="Arial" w:hAnsi="Arial" w:cs="Arial"/>
                <w:sz w:val="22"/>
                <w:szCs w:val="22"/>
              </w:rPr>
            </w:pPr>
            <w:r w:rsidRPr="00794EB9">
              <w:rPr>
                <w:rFonts w:ascii="Arial" w:hAnsi="Arial" w:cs="Arial"/>
                <w:iCs/>
                <w:sz w:val="22"/>
                <w:szCs w:val="22"/>
              </w:rPr>
              <w:t>2.4%</w:t>
            </w:r>
          </w:p>
        </w:tc>
        <w:tc>
          <w:tcPr>
            <w:tcW w:w="850" w:type="pct"/>
            <w:vAlign w:val="center"/>
          </w:tcPr>
          <w:p w14:paraId="2631B95B" w14:textId="77777777" w:rsidR="00794EB9" w:rsidRPr="00794EB9" w:rsidRDefault="00794EB9" w:rsidP="00C307FB">
            <w:pPr>
              <w:ind w:hanging="2"/>
              <w:jc w:val="center"/>
              <w:rPr>
                <w:rFonts w:ascii="Arial" w:hAnsi="Arial" w:cs="Arial"/>
                <w:iCs/>
                <w:sz w:val="22"/>
                <w:szCs w:val="22"/>
              </w:rPr>
            </w:pPr>
            <w:r w:rsidRPr="00794EB9">
              <w:rPr>
                <w:rFonts w:ascii="Arial" w:hAnsi="Arial" w:cs="Arial"/>
                <w:iCs/>
                <w:sz w:val="22"/>
                <w:szCs w:val="22"/>
              </w:rPr>
              <w:t xml:space="preserve">Secretaría de Educación de Guanajuato (SEG). Sistema Integral de Información Educativa (SIIE). </w:t>
            </w:r>
          </w:p>
          <w:p w14:paraId="5CA08D55" w14:textId="77777777" w:rsidR="00794EB9" w:rsidRPr="00794EB9" w:rsidRDefault="00794EB9" w:rsidP="00C307FB">
            <w:pPr>
              <w:ind w:hanging="2"/>
              <w:jc w:val="center"/>
              <w:rPr>
                <w:rFonts w:ascii="Arial" w:hAnsi="Arial" w:cs="Arial"/>
                <w:sz w:val="22"/>
                <w:szCs w:val="22"/>
              </w:rPr>
            </w:pPr>
            <w:r w:rsidRPr="00794EB9">
              <w:rPr>
                <w:rFonts w:ascii="Arial" w:hAnsi="Arial" w:cs="Arial"/>
                <w:iCs/>
                <w:sz w:val="22"/>
                <w:szCs w:val="22"/>
              </w:rPr>
              <w:t>Ciclo escolar 2018-2019</w:t>
            </w:r>
          </w:p>
        </w:tc>
        <w:tc>
          <w:tcPr>
            <w:tcW w:w="1007" w:type="pct"/>
            <w:vAlign w:val="center"/>
          </w:tcPr>
          <w:p w14:paraId="165AD557"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al 2%</w:t>
            </w:r>
          </w:p>
        </w:tc>
      </w:tr>
      <w:tr w:rsidR="00794EB9" w:rsidRPr="00794EB9" w14:paraId="0717889B" w14:textId="77777777" w:rsidTr="00C307FB">
        <w:trPr>
          <w:trHeight w:val="57"/>
          <w:jc w:val="center"/>
        </w:trPr>
        <w:tc>
          <w:tcPr>
            <w:tcW w:w="1048" w:type="pct"/>
            <w:vAlign w:val="center"/>
          </w:tcPr>
          <w:p w14:paraId="4F658224"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Tasa de abandono escolar en el nivel medio superior</w:t>
            </w:r>
          </w:p>
        </w:tc>
        <w:tc>
          <w:tcPr>
            <w:tcW w:w="1246" w:type="pct"/>
            <w:vAlign w:val="center"/>
          </w:tcPr>
          <w:p w14:paraId="043E8968"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porcentaje de alumnos que abandona el nivel de educación medio superior durante o al finalizar el ciclo escolar, respecto al total de alumnos inscritos en el ciclo.</w:t>
            </w:r>
          </w:p>
        </w:tc>
        <w:tc>
          <w:tcPr>
            <w:tcW w:w="849" w:type="pct"/>
            <w:vAlign w:val="center"/>
          </w:tcPr>
          <w:p w14:paraId="6E2A0497"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16.6%</w:t>
            </w:r>
          </w:p>
        </w:tc>
        <w:tc>
          <w:tcPr>
            <w:tcW w:w="850" w:type="pct"/>
            <w:vAlign w:val="center"/>
          </w:tcPr>
          <w:p w14:paraId="5CFEFC5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SEG (Secretaría de Educación de Guanajuato), ciclo escolar 2018-2019</w:t>
            </w:r>
          </w:p>
        </w:tc>
        <w:tc>
          <w:tcPr>
            <w:tcW w:w="1007" w:type="pct"/>
            <w:vAlign w:val="center"/>
          </w:tcPr>
          <w:p w14:paraId="3D231CE0"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12%</w:t>
            </w:r>
          </w:p>
        </w:tc>
      </w:tr>
    </w:tbl>
    <w:p w14:paraId="2CE063DF" w14:textId="77777777" w:rsidR="00794EB9" w:rsidRPr="00794EB9" w:rsidRDefault="00794EB9" w:rsidP="00794EB9">
      <w:pPr>
        <w:jc w:val="both"/>
        <w:rPr>
          <w:rFonts w:ascii="Arial" w:hAnsi="Arial" w:cs="Arial"/>
          <w:sz w:val="22"/>
          <w:szCs w:val="22"/>
        </w:rPr>
      </w:pPr>
    </w:p>
    <w:p w14:paraId="37643961"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Pilar 4.2 Co-creación: colaboración y participación ciudadana. Generar canales de innovación pública y social para el involucramiento efectivo de la ciudadanía y de las juventudes, en el proceso de cambio y en la toma de decisiones de interés colectivo.</w:t>
      </w:r>
    </w:p>
    <w:p w14:paraId="1AFA1023"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Look w:val="04A0" w:firstRow="1" w:lastRow="0" w:firstColumn="1" w:lastColumn="0" w:noHBand="0" w:noVBand="1"/>
      </w:tblPr>
      <w:tblGrid>
        <w:gridCol w:w="1855"/>
        <w:gridCol w:w="1714"/>
        <w:gridCol w:w="1696"/>
        <w:gridCol w:w="1745"/>
        <w:gridCol w:w="1818"/>
      </w:tblGrid>
      <w:tr w:rsidR="00794EB9" w:rsidRPr="00794EB9" w14:paraId="7D9C11D3" w14:textId="77777777" w:rsidTr="00C307FB">
        <w:trPr>
          <w:trHeight w:val="57"/>
        </w:trPr>
        <w:tc>
          <w:tcPr>
            <w:tcW w:w="967" w:type="pct"/>
            <w:tcBorders>
              <w:top w:val="single" w:sz="4" w:space="0" w:color="auto"/>
            </w:tcBorders>
            <w:shd w:val="clear" w:color="auto" w:fill="E8E7E9"/>
            <w:vAlign w:val="center"/>
          </w:tcPr>
          <w:p w14:paraId="0649D6A6"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69" w:type="pct"/>
            <w:tcBorders>
              <w:top w:val="single" w:sz="4" w:space="0" w:color="auto"/>
            </w:tcBorders>
            <w:shd w:val="clear" w:color="auto" w:fill="E8E7E9"/>
            <w:vAlign w:val="center"/>
          </w:tcPr>
          <w:p w14:paraId="59BC602A"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tcBorders>
              <w:top w:val="single" w:sz="4" w:space="0" w:color="auto"/>
            </w:tcBorders>
            <w:shd w:val="clear" w:color="auto" w:fill="E8E7E9"/>
            <w:vAlign w:val="center"/>
          </w:tcPr>
          <w:p w14:paraId="2AC21E80"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0" w:type="pct"/>
            <w:tcBorders>
              <w:top w:val="single" w:sz="4" w:space="0" w:color="auto"/>
            </w:tcBorders>
            <w:shd w:val="clear" w:color="auto" w:fill="E8E7E9"/>
            <w:vAlign w:val="center"/>
          </w:tcPr>
          <w:p w14:paraId="7418D5E9"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969" w:type="pct"/>
            <w:tcBorders>
              <w:top w:val="single" w:sz="4" w:space="0" w:color="auto"/>
            </w:tcBorders>
            <w:shd w:val="clear" w:color="auto" w:fill="E8E7E9"/>
            <w:vAlign w:val="center"/>
          </w:tcPr>
          <w:p w14:paraId="77D33B6F"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11A66721" w14:textId="77777777" w:rsidTr="00C307FB">
        <w:trPr>
          <w:trHeight w:val="57"/>
        </w:trPr>
        <w:tc>
          <w:tcPr>
            <w:tcW w:w="967" w:type="pct"/>
            <w:vAlign w:val="center"/>
          </w:tcPr>
          <w:p w14:paraId="6764B945"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Porcentaje de consejos ciudadanos con consejeras y consejeros jóvenes</w:t>
            </w:r>
          </w:p>
        </w:tc>
        <w:tc>
          <w:tcPr>
            <w:tcW w:w="1269" w:type="pct"/>
            <w:vAlign w:val="center"/>
          </w:tcPr>
          <w:p w14:paraId="1E248261"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Mide el porcentaje de Consejos Consultivos y Directivos que cuentan con un par de consejeras y consejeros juveniles.</w:t>
            </w:r>
          </w:p>
        </w:tc>
        <w:tc>
          <w:tcPr>
            <w:tcW w:w="885" w:type="pct"/>
            <w:vAlign w:val="center"/>
          </w:tcPr>
          <w:p w14:paraId="79AA95CE"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88% de los consejos ciudadanos cuentan con consejeras y consejeros jóvenes</w:t>
            </w:r>
          </w:p>
        </w:tc>
        <w:tc>
          <w:tcPr>
            <w:tcW w:w="910" w:type="pct"/>
            <w:vAlign w:val="center"/>
          </w:tcPr>
          <w:p w14:paraId="2042067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Instituto Municipal de la Juventud de León</w:t>
            </w:r>
          </w:p>
          <w:p w14:paraId="1FFF864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Mayo 2021</w:t>
            </w:r>
          </w:p>
        </w:tc>
        <w:tc>
          <w:tcPr>
            <w:tcW w:w="969" w:type="pct"/>
            <w:vAlign w:val="center"/>
          </w:tcPr>
          <w:p w14:paraId="28CE6932"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94% de los consejos ciudadanos con representantes juveniles</w:t>
            </w:r>
          </w:p>
        </w:tc>
      </w:tr>
      <w:tr w:rsidR="00794EB9" w:rsidRPr="00794EB9" w14:paraId="047FE03F" w14:textId="77777777" w:rsidTr="00C307FB">
        <w:trPr>
          <w:trHeight w:val="57"/>
        </w:trPr>
        <w:tc>
          <w:tcPr>
            <w:tcW w:w="967" w:type="pct"/>
            <w:vAlign w:val="center"/>
          </w:tcPr>
          <w:p w14:paraId="37CF06CD"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 xml:space="preserve"> Número de Organizaciones de la Sociedad Civil (OSC) por cada 100 mil habitantes</w:t>
            </w:r>
          </w:p>
        </w:tc>
        <w:tc>
          <w:tcPr>
            <w:tcW w:w="1269" w:type="pct"/>
            <w:vAlign w:val="center"/>
          </w:tcPr>
          <w:p w14:paraId="1C44A796"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Se refiere al número de organizaciones de la sociedad civil (OSC) por cada 100 mil habitantes.</w:t>
            </w:r>
          </w:p>
        </w:tc>
        <w:tc>
          <w:tcPr>
            <w:tcW w:w="885" w:type="pct"/>
            <w:vAlign w:val="center"/>
          </w:tcPr>
          <w:p w14:paraId="10DDF96A"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24 organizaciones de la sociedad civil (OSC) por cada 100 mil habitantes</w:t>
            </w:r>
          </w:p>
        </w:tc>
        <w:tc>
          <w:tcPr>
            <w:tcW w:w="910" w:type="pct"/>
            <w:vAlign w:val="center"/>
          </w:tcPr>
          <w:p w14:paraId="2EB61BC5"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Comisión de Fomento de las Actividades de las Organizaciones de la Sociedad Civil, OSC registradas a 2020.</w:t>
            </w:r>
          </w:p>
        </w:tc>
        <w:tc>
          <w:tcPr>
            <w:tcW w:w="969" w:type="pct"/>
            <w:vAlign w:val="center"/>
          </w:tcPr>
          <w:p w14:paraId="1B541A41"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30 organizaciones de la sociedad civil (OSC) por cada 100 mil habitantes</w:t>
            </w:r>
          </w:p>
        </w:tc>
      </w:tr>
    </w:tbl>
    <w:p w14:paraId="38CA7FF1" w14:textId="77777777" w:rsidR="00794EB9" w:rsidRPr="00794EB9" w:rsidRDefault="00794EB9" w:rsidP="00794EB9">
      <w:pPr>
        <w:jc w:val="both"/>
        <w:rPr>
          <w:rFonts w:ascii="Arial" w:hAnsi="Arial" w:cs="Arial"/>
          <w:sz w:val="22"/>
          <w:szCs w:val="22"/>
        </w:rPr>
      </w:pPr>
    </w:p>
    <w:p w14:paraId="4B9B1D16"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Pilar 4.3 Gobierno abierto con liderazgo. Fortalecer la confianza de las y los leoneses hacia el gobierno, con mejores condiciones de comunicación, transparencia, rendición de cuentas y acceso a la información.</w:t>
      </w:r>
    </w:p>
    <w:p w14:paraId="18B7BB59"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Look w:val="04A0" w:firstRow="1" w:lastRow="0" w:firstColumn="1" w:lastColumn="0" w:noHBand="0" w:noVBand="1"/>
      </w:tblPr>
      <w:tblGrid>
        <w:gridCol w:w="1675"/>
        <w:gridCol w:w="2209"/>
        <w:gridCol w:w="1531"/>
        <w:gridCol w:w="1733"/>
        <w:gridCol w:w="1680"/>
      </w:tblGrid>
      <w:tr w:rsidR="00794EB9" w:rsidRPr="00794EB9" w14:paraId="2F0284D8" w14:textId="77777777" w:rsidTr="00C307FB">
        <w:trPr>
          <w:trHeight w:val="57"/>
        </w:trPr>
        <w:tc>
          <w:tcPr>
            <w:tcW w:w="967" w:type="pct"/>
            <w:shd w:val="clear" w:color="auto" w:fill="E8E7E9"/>
            <w:vAlign w:val="center"/>
          </w:tcPr>
          <w:p w14:paraId="5B9AFD74"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69" w:type="pct"/>
            <w:shd w:val="clear" w:color="auto" w:fill="E8E7E9"/>
            <w:vAlign w:val="center"/>
          </w:tcPr>
          <w:p w14:paraId="63FA26DA"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shd w:val="clear" w:color="auto" w:fill="E8E7E9"/>
            <w:vAlign w:val="center"/>
          </w:tcPr>
          <w:p w14:paraId="0EB15FA0"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0" w:type="pct"/>
            <w:shd w:val="clear" w:color="auto" w:fill="E8E7E9"/>
            <w:vAlign w:val="center"/>
          </w:tcPr>
          <w:p w14:paraId="45AE3C37"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969" w:type="pct"/>
            <w:shd w:val="clear" w:color="auto" w:fill="E8E7E9"/>
            <w:vAlign w:val="center"/>
          </w:tcPr>
          <w:p w14:paraId="4848E192"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73A8D1D4" w14:textId="77777777" w:rsidTr="00C307FB">
        <w:trPr>
          <w:trHeight w:val="57"/>
        </w:trPr>
        <w:tc>
          <w:tcPr>
            <w:tcW w:w="967" w:type="pct"/>
            <w:vAlign w:val="center"/>
          </w:tcPr>
          <w:p w14:paraId="0EAF0E0A"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Porcentaje de población que tiene confianza al gobierno municipal</w:t>
            </w:r>
          </w:p>
        </w:tc>
        <w:tc>
          <w:tcPr>
            <w:tcW w:w="1269" w:type="pct"/>
            <w:vAlign w:val="center"/>
          </w:tcPr>
          <w:p w14:paraId="6CBA589E"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porcentaje de población de 18 años y más que tiene  algo o mucha confianza al gobierno municipal.</w:t>
            </w:r>
          </w:p>
        </w:tc>
        <w:tc>
          <w:tcPr>
            <w:tcW w:w="885" w:type="pct"/>
            <w:vAlign w:val="center"/>
          </w:tcPr>
          <w:p w14:paraId="43E68E1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53.80%</w:t>
            </w:r>
          </w:p>
        </w:tc>
        <w:tc>
          <w:tcPr>
            <w:tcW w:w="910" w:type="pct"/>
            <w:vAlign w:val="center"/>
          </w:tcPr>
          <w:p w14:paraId="7EE53F4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Encuesta Nacional de Calidad e Impacto Gubernamental (ENCIG) 2019</w:t>
            </w:r>
          </w:p>
        </w:tc>
        <w:tc>
          <w:tcPr>
            <w:tcW w:w="969" w:type="pct"/>
            <w:vAlign w:val="center"/>
          </w:tcPr>
          <w:p w14:paraId="3BBA42FE"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al 70% la confianza en el gobierno</w:t>
            </w:r>
          </w:p>
        </w:tc>
      </w:tr>
    </w:tbl>
    <w:p w14:paraId="2E869DC4" w14:textId="77777777" w:rsidR="00794EB9" w:rsidRPr="00794EB9" w:rsidRDefault="00794EB9" w:rsidP="00794EB9">
      <w:pPr>
        <w:jc w:val="both"/>
        <w:rPr>
          <w:rFonts w:ascii="Arial" w:hAnsi="Arial" w:cs="Arial"/>
          <w:sz w:val="22"/>
          <w:szCs w:val="22"/>
        </w:rPr>
      </w:pPr>
    </w:p>
    <w:p w14:paraId="7D5F2378" w14:textId="77777777" w:rsidR="00794EB9" w:rsidRPr="00794EB9" w:rsidRDefault="00794EB9" w:rsidP="00794EB9">
      <w:pPr>
        <w:jc w:val="both"/>
        <w:rPr>
          <w:rFonts w:ascii="Arial" w:hAnsi="Arial" w:cs="Arial"/>
          <w:sz w:val="22"/>
          <w:szCs w:val="22"/>
        </w:rPr>
      </w:pPr>
    </w:p>
    <w:p w14:paraId="45E0A66F" w14:textId="77777777" w:rsidR="00794EB9" w:rsidRPr="00794EB9" w:rsidRDefault="00794EB9" w:rsidP="00794EB9">
      <w:pPr>
        <w:shd w:val="clear" w:color="auto" w:fill="D9D9D9" w:themeFill="background1" w:themeFillShade="D9"/>
        <w:jc w:val="both"/>
        <w:rPr>
          <w:rFonts w:ascii="Arial" w:hAnsi="Arial" w:cs="Arial"/>
          <w:b/>
          <w:bCs/>
          <w:sz w:val="22"/>
          <w:szCs w:val="22"/>
        </w:rPr>
      </w:pPr>
      <w:r w:rsidRPr="00794EB9">
        <w:rPr>
          <w:rFonts w:ascii="Arial" w:hAnsi="Arial" w:cs="Arial"/>
          <w:b/>
          <w:bCs/>
          <w:sz w:val="22"/>
          <w:szCs w:val="22"/>
        </w:rPr>
        <w:t>BANDERA VIVIR MEJOR</w:t>
      </w:r>
    </w:p>
    <w:p w14:paraId="565DC345" w14:textId="77777777" w:rsidR="00794EB9" w:rsidRPr="00794EB9" w:rsidRDefault="00794EB9" w:rsidP="00794EB9">
      <w:pPr>
        <w:jc w:val="both"/>
        <w:rPr>
          <w:rFonts w:ascii="Arial" w:hAnsi="Arial" w:cs="Arial"/>
          <w:sz w:val="22"/>
          <w:szCs w:val="22"/>
        </w:rPr>
      </w:pPr>
    </w:p>
    <w:p w14:paraId="66190AD3"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OBJETIVO GENERAL DE LA BANDERA: </w:t>
      </w:r>
    </w:p>
    <w:p w14:paraId="69C13BE8"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Facilitar el acceso al empleo, el bienestar, y el desarrollo económico de los diferentes sectores de la población.</w:t>
      </w:r>
    </w:p>
    <w:p w14:paraId="35242BC4" w14:textId="77777777" w:rsidR="00794EB9" w:rsidRPr="00794EB9" w:rsidRDefault="00794EB9" w:rsidP="00794EB9">
      <w:pPr>
        <w:ind w:left="1080"/>
        <w:jc w:val="both"/>
        <w:rPr>
          <w:rFonts w:ascii="Arial" w:hAnsi="Arial" w:cs="Arial"/>
          <w:sz w:val="22"/>
          <w:szCs w:val="22"/>
        </w:rPr>
      </w:pPr>
    </w:p>
    <w:p w14:paraId="47AFDB0A"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para vivir mejor. Una ciudad de ideas, donde el arte, la cultura y la ciencia guíen nuestro futuro y enriquezcan nuestro presente. </w:t>
      </w:r>
    </w:p>
    <w:p w14:paraId="4072EA7F" w14:textId="77777777" w:rsidR="00794EB9" w:rsidRPr="00794EB9" w:rsidRDefault="00794EB9" w:rsidP="00794EB9">
      <w:pPr>
        <w:jc w:val="both"/>
        <w:rPr>
          <w:rFonts w:ascii="Arial" w:hAnsi="Arial" w:cs="Arial"/>
          <w:sz w:val="22"/>
          <w:szCs w:val="22"/>
        </w:rPr>
      </w:pPr>
    </w:p>
    <w:p w14:paraId="139AD824"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que promueva el desarrollo tecnológico, capaz de resolver nuestros días con creatividad e innovación. </w:t>
      </w:r>
    </w:p>
    <w:p w14:paraId="366293ED" w14:textId="77777777" w:rsidR="00794EB9" w:rsidRPr="00794EB9" w:rsidRDefault="00794EB9" w:rsidP="00794EB9">
      <w:pPr>
        <w:jc w:val="both"/>
        <w:rPr>
          <w:rFonts w:ascii="Arial" w:hAnsi="Arial" w:cs="Arial"/>
          <w:sz w:val="22"/>
          <w:szCs w:val="22"/>
        </w:rPr>
      </w:pPr>
    </w:p>
    <w:p w14:paraId="7ED1C36F"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Una ciudad de oportunidades, que impulse las nuevas ideas, el aprendizaje de calidad y ofrezca desarrollo para todos.</w:t>
      </w:r>
    </w:p>
    <w:p w14:paraId="50437F72" w14:textId="77777777" w:rsidR="00794EB9" w:rsidRPr="00794EB9" w:rsidRDefault="00794EB9" w:rsidP="00794EB9">
      <w:pPr>
        <w:jc w:val="both"/>
        <w:rPr>
          <w:rFonts w:ascii="Arial" w:hAnsi="Arial" w:cs="Arial"/>
          <w:sz w:val="22"/>
          <w:szCs w:val="22"/>
        </w:rPr>
      </w:pPr>
    </w:p>
    <w:p w14:paraId="487D17A6"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VM1. Salir adelante</w:t>
      </w:r>
    </w:p>
    <w:p w14:paraId="02010FFA"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Desarrollar una política integral de atención a los distintos grupos sociales en situación de vulnerabilidad que proporciones los elementos para una vida digna y corresponsable.</w:t>
      </w:r>
    </w:p>
    <w:p w14:paraId="7DCEA709" w14:textId="77777777" w:rsidR="00794EB9" w:rsidRPr="00794EB9" w:rsidRDefault="00794EB9" w:rsidP="00794EB9">
      <w:pPr>
        <w:jc w:val="both"/>
        <w:rPr>
          <w:rFonts w:ascii="Arial" w:hAnsi="Arial" w:cs="Arial"/>
          <w:b/>
          <w:sz w:val="22"/>
          <w:szCs w:val="22"/>
        </w:rPr>
      </w:pPr>
    </w:p>
    <w:p w14:paraId="7BEAED78"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7EA50668"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 Garantizar una educación inclusiva, equitativa y de calidad y promover oportunidades de aprendizaje durante toda la vida para todos</w:t>
      </w:r>
    </w:p>
    <w:p w14:paraId="1BF3C0B0"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8: Promover el crecimiento económico inclusivo y sostenible, el empleo y el trabajo decente para todos</w:t>
      </w:r>
    </w:p>
    <w:p w14:paraId="7133F1FB"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10: Reducir la desigualdad en y entre los países</w:t>
      </w:r>
    </w:p>
    <w:p w14:paraId="70D7266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 Lograr que las ciudades sean más inclusivas, seguras, resilientes y sostenibles</w:t>
      </w:r>
    </w:p>
    <w:p w14:paraId="08E990A5" w14:textId="77777777" w:rsidR="00794EB9" w:rsidRPr="00794EB9" w:rsidRDefault="00794EB9" w:rsidP="00794EB9">
      <w:pPr>
        <w:pStyle w:val="Prrafodelista"/>
        <w:ind w:left="1637"/>
        <w:jc w:val="both"/>
        <w:rPr>
          <w:rFonts w:ascii="Arial" w:hAnsi="Arial" w:cs="Arial"/>
          <w:sz w:val="22"/>
          <w:szCs w:val="22"/>
        </w:rPr>
      </w:pPr>
    </w:p>
    <w:p w14:paraId="035EBF38"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64DA8070"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1.1.1 Abatir la pobreza en todas sus vertientes y desde sus causas</w:t>
      </w:r>
    </w:p>
    <w:p w14:paraId="2D7E3243"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1.1.3 Incrementar el acceso de las personas a una vivienda digna</w:t>
      </w:r>
    </w:p>
    <w:p w14:paraId="5D5B0B8E"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1.2.1 Lograr una cobertura universal en la educación obligatoria, mediante un modelo educativo de calidad con diversidad, equidad e igualdad de género que cuente con personal docente capacitado y profesionalizado.</w:t>
      </w:r>
    </w:p>
    <w:p w14:paraId="08D730EA"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1.3.1 Asegurar las condiciones para el desarrollo pleno e igualitario de los grupos prioritarios del estado</w:t>
      </w:r>
    </w:p>
    <w:p w14:paraId="427C2AD1"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2.1.1 Promover el empleo de calidad, inclusivo y bien remunerado, formado y capacitado para la empleabilidad, con igualdad de oportunidades para mujeres y hombres</w:t>
      </w:r>
    </w:p>
    <w:p w14:paraId="30837B67"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3.2.1 Lograr una administración sostenible del territorio, que impulse el desarrollo de comunidades y ciudades humanas y sostenibles</w:t>
      </w:r>
    </w:p>
    <w:p w14:paraId="3F21F257"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4.2.3 Incrementar la efectividad de las instancias jurisdiccionales relacionadas con la justicia cotidiana</w:t>
      </w:r>
    </w:p>
    <w:p w14:paraId="145AB7DE" w14:textId="77777777" w:rsidR="00794EB9" w:rsidRPr="00794EB9" w:rsidRDefault="00794EB9" w:rsidP="00794EB9">
      <w:pPr>
        <w:pStyle w:val="Prrafodelista"/>
        <w:ind w:left="1637"/>
        <w:jc w:val="both"/>
        <w:rPr>
          <w:rFonts w:ascii="Arial" w:hAnsi="Arial" w:cs="Arial"/>
          <w:sz w:val="22"/>
          <w:szCs w:val="22"/>
        </w:rPr>
      </w:pPr>
    </w:p>
    <w:p w14:paraId="774C8554"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4DA3E4DF"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1.6 Modelo urbano integrador. Lograr una ciudad incluyente, accesible, consolidada y densificada con procesos de regeneración, ordenamiento e integración entre los sistemas de movilidad e infraestructura verde.</w:t>
      </w:r>
    </w:p>
    <w:p w14:paraId="23901482"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57" w:type="dxa"/>
          <w:bottom w:w="57" w:type="dxa"/>
        </w:tblCellMar>
        <w:tblLook w:val="04A0" w:firstRow="1" w:lastRow="0" w:firstColumn="1" w:lastColumn="0" w:noHBand="0" w:noVBand="1"/>
      </w:tblPr>
      <w:tblGrid>
        <w:gridCol w:w="1818"/>
        <w:gridCol w:w="2090"/>
        <w:gridCol w:w="1708"/>
        <w:gridCol w:w="1389"/>
        <w:gridCol w:w="1823"/>
      </w:tblGrid>
      <w:tr w:rsidR="00794EB9" w:rsidRPr="00794EB9" w14:paraId="5431E05B" w14:textId="77777777" w:rsidTr="00C307FB">
        <w:trPr>
          <w:trHeight w:val="57"/>
        </w:trPr>
        <w:tc>
          <w:tcPr>
            <w:tcW w:w="950" w:type="pct"/>
            <w:tcBorders>
              <w:top w:val="single" w:sz="4" w:space="0" w:color="auto"/>
            </w:tcBorders>
            <w:shd w:val="clear" w:color="auto" w:fill="D9D9D9" w:themeFill="background1" w:themeFillShade="D9"/>
            <w:vAlign w:val="center"/>
          </w:tcPr>
          <w:p w14:paraId="696F7C5E"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D9D9D9" w:themeFill="background1" w:themeFillShade="D9"/>
            <w:vAlign w:val="center"/>
          </w:tcPr>
          <w:p w14:paraId="75030460"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D9D9D9" w:themeFill="background1" w:themeFillShade="D9"/>
            <w:vAlign w:val="center"/>
          </w:tcPr>
          <w:p w14:paraId="0FCBDC1A"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D9D9D9" w:themeFill="background1" w:themeFillShade="D9"/>
            <w:vAlign w:val="center"/>
          </w:tcPr>
          <w:p w14:paraId="1AC7836D"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84" w:type="pct"/>
            <w:tcBorders>
              <w:top w:val="single" w:sz="4" w:space="0" w:color="auto"/>
            </w:tcBorders>
            <w:shd w:val="clear" w:color="auto" w:fill="D9D9D9" w:themeFill="background1" w:themeFillShade="D9"/>
            <w:vAlign w:val="center"/>
          </w:tcPr>
          <w:p w14:paraId="7309A5FD"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372335B0" w14:textId="77777777" w:rsidTr="00C307FB">
        <w:trPr>
          <w:trHeight w:val="57"/>
        </w:trPr>
        <w:tc>
          <w:tcPr>
            <w:tcW w:w="950" w:type="pct"/>
            <w:shd w:val="clear" w:color="auto" w:fill="auto"/>
            <w:vAlign w:val="center"/>
          </w:tcPr>
          <w:p w14:paraId="1878F03B"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Densidad de la zona urbana</w:t>
            </w:r>
          </w:p>
        </w:tc>
        <w:tc>
          <w:tcPr>
            <w:tcW w:w="1236" w:type="pct"/>
            <w:shd w:val="clear" w:color="auto" w:fill="auto"/>
            <w:vAlign w:val="center"/>
          </w:tcPr>
          <w:p w14:paraId="72A4D3DC"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 xml:space="preserve">Es la relación entre la zona urbana y el </w:t>
            </w:r>
            <w:r w:rsidRPr="00794EB9">
              <w:rPr>
                <w:rFonts w:ascii="Arial" w:hAnsi="Arial" w:cs="Arial"/>
                <w:sz w:val="22"/>
                <w:szCs w:val="22"/>
              </w:rPr>
              <w:lastRenderedPageBreak/>
              <w:t>número de personas que la habitan, en este caso, habitantes por hectárea.</w:t>
            </w:r>
          </w:p>
        </w:tc>
        <w:tc>
          <w:tcPr>
            <w:tcW w:w="891" w:type="pct"/>
            <w:shd w:val="clear" w:color="auto" w:fill="auto"/>
            <w:vAlign w:val="center"/>
          </w:tcPr>
          <w:p w14:paraId="38608340"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lastRenderedPageBreak/>
              <w:t>68.44 habitantes por hectárea</w:t>
            </w:r>
          </w:p>
        </w:tc>
        <w:tc>
          <w:tcPr>
            <w:tcW w:w="839" w:type="pct"/>
            <w:shd w:val="clear" w:color="auto" w:fill="auto"/>
            <w:vAlign w:val="center"/>
          </w:tcPr>
          <w:p w14:paraId="6998107B"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 xml:space="preserve">IMPLAN. Cálculos propios con </w:t>
            </w:r>
            <w:r w:rsidRPr="00794EB9">
              <w:rPr>
                <w:rFonts w:ascii="Arial" w:hAnsi="Arial" w:cs="Arial"/>
                <w:sz w:val="22"/>
                <w:szCs w:val="22"/>
              </w:rPr>
              <w:lastRenderedPageBreak/>
              <w:t>información de INEGI. Censo de Población y Vivienda 2020.</w:t>
            </w:r>
          </w:p>
        </w:tc>
        <w:tc>
          <w:tcPr>
            <w:tcW w:w="1084" w:type="pct"/>
            <w:shd w:val="clear" w:color="auto" w:fill="auto"/>
            <w:vAlign w:val="center"/>
          </w:tcPr>
          <w:p w14:paraId="09BD1D8C"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lastRenderedPageBreak/>
              <w:t>Aumentar a 75 habitantes por hectárea</w:t>
            </w:r>
          </w:p>
        </w:tc>
      </w:tr>
      <w:tr w:rsidR="00794EB9" w:rsidRPr="00794EB9" w14:paraId="3B8E653A" w14:textId="77777777" w:rsidTr="00C307FB">
        <w:trPr>
          <w:trHeight w:val="57"/>
        </w:trPr>
        <w:tc>
          <w:tcPr>
            <w:tcW w:w="950" w:type="pct"/>
            <w:shd w:val="clear" w:color="auto" w:fill="auto"/>
            <w:vAlign w:val="center"/>
          </w:tcPr>
          <w:p w14:paraId="5CCF72C2"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Asentamientos irregulares con más del 30% de consolidación</w:t>
            </w:r>
          </w:p>
        </w:tc>
        <w:tc>
          <w:tcPr>
            <w:tcW w:w="1236" w:type="pct"/>
            <w:shd w:val="clear" w:color="auto" w:fill="auto"/>
            <w:vAlign w:val="center"/>
          </w:tcPr>
          <w:p w14:paraId="1D7263CE"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Se refiere a número de asentamientos irregulares con más del 30% de consolidación.</w:t>
            </w:r>
          </w:p>
        </w:tc>
        <w:tc>
          <w:tcPr>
            <w:tcW w:w="891" w:type="pct"/>
            <w:shd w:val="clear" w:color="auto" w:fill="auto"/>
            <w:vAlign w:val="center"/>
          </w:tcPr>
          <w:p w14:paraId="486B9BD2"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113 asentamientos irregulares</w:t>
            </w:r>
          </w:p>
        </w:tc>
        <w:tc>
          <w:tcPr>
            <w:tcW w:w="839" w:type="pct"/>
            <w:shd w:val="clear" w:color="auto" w:fill="auto"/>
            <w:vAlign w:val="center"/>
          </w:tcPr>
          <w:p w14:paraId="634593CA"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IMUVI</w:t>
            </w:r>
          </w:p>
          <w:p w14:paraId="7F4397A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84" w:type="pct"/>
            <w:shd w:val="clear" w:color="auto" w:fill="auto"/>
            <w:vAlign w:val="center"/>
          </w:tcPr>
          <w:p w14:paraId="5F1ECC3F"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t>Disminuir a 53 asentamientos irregulares</w:t>
            </w:r>
          </w:p>
        </w:tc>
      </w:tr>
      <w:tr w:rsidR="00794EB9" w:rsidRPr="00794EB9" w14:paraId="29352D52" w14:textId="77777777" w:rsidTr="00C307FB">
        <w:trPr>
          <w:trHeight w:val="57"/>
        </w:trPr>
        <w:tc>
          <w:tcPr>
            <w:tcW w:w="950" w:type="pct"/>
            <w:vAlign w:val="center"/>
          </w:tcPr>
          <w:p w14:paraId="60CE41D4"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bCs/>
                <w:sz w:val="22"/>
                <w:szCs w:val="22"/>
              </w:rPr>
              <w:t>Número de viviendas particulares no habitadas</w:t>
            </w:r>
          </w:p>
        </w:tc>
        <w:tc>
          <w:tcPr>
            <w:tcW w:w="1236" w:type="pct"/>
          </w:tcPr>
          <w:p w14:paraId="63C04119"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Se refiere a la suma de las viviendas deshabitadas más las de uso temporal.</w:t>
            </w:r>
          </w:p>
        </w:tc>
        <w:tc>
          <w:tcPr>
            <w:tcW w:w="891" w:type="pct"/>
            <w:vAlign w:val="center"/>
          </w:tcPr>
          <w:p w14:paraId="618E492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70 mil 778 viviendas</w:t>
            </w:r>
          </w:p>
        </w:tc>
        <w:tc>
          <w:tcPr>
            <w:tcW w:w="839" w:type="pct"/>
            <w:vAlign w:val="center"/>
          </w:tcPr>
          <w:p w14:paraId="2A9A2F2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Censo de Población y Vivienda 2020</w:t>
            </w:r>
          </w:p>
        </w:tc>
        <w:tc>
          <w:tcPr>
            <w:tcW w:w="1084" w:type="pct"/>
          </w:tcPr>
          <w:p w14:paraId="78106D11"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t>Disminuir en un 15% el número de viviendas no habitadas</w:t>
            </w:r>
          </w:p>
        </w:tc>
      </w:tr>
      <w:tr w:rsidR="00794EB9" w:rsidRPr="00794EB9" w14:paraId="098DBD62" w14:textId="77777777" w:rsidTr="00C307FB">
        <w:trPr>
          <w:trHeight w:val="57"/>
        </w:trPr>
        <w:tc>
          <w:tcPr>
            <w:tcW w:w="950" w:type="pct"/>
            <w:shd w:val="clear" w:color="auto" w:fill="auto"/>
            <w:vAlign w:val="center"/>
          </w:tcPr>
          <w:p w14:paraId="78187E46"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Porcentaje de acciones implementadas para la infraestructura verde</w:t>
            </w:r>
          </w:p>
          <w:p w14:paraId="5EB13B50" w14:textId="77777777" w:rsidR="00794EB9" w:rsidRPr="00794EB9" w:rsidRDefault="00794EB9" w:rsidP="00C307FB">
            <w:pPr>
              <w:ind w:hanging="2"/>
              <w:jc w:val="center"/>
              <w:rPr>
                <w:rFonts w:ascii="Arial" w:hAnsi="Arial" w:cs="Arial"/>
                <w:b/>
                <w:bCs/>
                <w:sz w:val="22"/>
                <w:szCs w:val="22"/>
              </w:rPr>
            </w:pPr>
          </w:p>
        </w:tc>
        <w:tc>
          <w:tcPr>
            <w:tcW w:w="1236" w:type="pct"/>
            <w:shd w:val="clear" w:color="auto" w:fill="auto"/>
            <w:vAlign w:val="center"/>
          </w:tcPr>
          <w:p w14:paraId="503D5DE1"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Porcentaje de programas implementados para la infraestructura verde, conformada por nodos primarios - parques metropolitanos, secundarios - parques urbanos y jardines públicos, conectores fluviales - parques lineales, no fluviales - ciclovías y andadores peatonales.</w:t>
            </w:r>
          </w:p>
        </w:tc>
        <w:tc>
          <w:tcPr>
            <w:tcW w:w="891" w:type="pct"/>
            <w:shd w:val="clear" w:color="auto" w:fill="auto"/>
            <w:vAlign w:val="center"/>
          </w:tcPr>
          <w:p w14:paraId="5D47573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50%</w:t>
            </w:r>
          </w:p>
          <w:p w14:paraId="14E9574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 xml:space="preserve">Programas implementados </w:t>
            </w:r>
          </w:p>
        </w:tc>
        <w:tc>
          <w:tcPr>
            <w:tcW w:w="839" w:type="pct"/>
            <w:shd w:val="clear" w:color="auto" w:fill="auto"/>
            <w:vAlign w:val="center"/>
          </w:tcPr>
          <w:p w14:paraId="56C551F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w:t>
            </w:r>
          </w:p>
          <w:p w14:paraId="6AE7875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84" w:type="pct"/>
            <w:shd w:val="clear" w:color="auto" w:fill="auto"/>
            <w:vAlign w:val="center"/>
          </w:tcPr>
          <w:p w14:paraId="4F40F1EC"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Conformar y consolidar la red de infraestructura verde a través de 10 programas, con un planteamiento de diseño y planificación basada en los ecosistemas naturales - urbanismo ecológico.</w:t>
            </w:r>
          </w:p>
        </w:tc>
      </w:tr>
    </w:tbl>
    <w:p w14:paraId="1DA7197E" w14:textId="77777777" w:rsidR="00794EB9" w:rsidRPr="00794EB9" w:rsidRDefault="00794EB9" w:rsidP="00794EB9">
      <w:pPr>
        <w:pStyle w:val="Prrafodelista"/>
        <w:ind w:left="1637"/>
        <w:jc w:val="both"/>
        <w:rPr>
          <w:rFonts w:ascii="Arial" w:hAnsi="Arial" w:cs="Arial"/>
          <w:sz w:val="22"/>
          <w:szCs w:val="22"/>
        </w:rPr>
      </w:pPr>
    </w:p>
    <w:p w14:paraId="2E89B5CA"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2.1 Economía formal y generadora de empleos de calidad. Consolidar los parques y zonas industriales a favor de la creación de empleos formales de calidad, inclusivos y de la equidad salarial.</w:t>
      </w:r>
    </w:p>
    <w:tbl>
      <w:tblPr>
        <w:tblStyle w:val="Tablaconcuadrcula3"/>
        <w:tblW w:w="5000" w:type="pct"/>
        <w:tblCellMar>
          <w:top w:w="57" w:type="dxa"/>
          <w:bottom w:w="57" w:type="dxa"/>
        </w:tblCellMar>
        <w:tblLook w:val="04A0" w:firstRow="1" w:lastRow="0" w:firstColumn="1" w:lastColumn="0" w:noHBand="0" w:noVBand="1"/>
      </w:tblPr>
      <w:tblGrid>
        <w:gridCol w:w="1718"/>
        <w:gridCol w:w="2184"/>
        <w:gridCol w:w="1464"/>
        <w:gridCol w:w="1617"/>
        <w:gridCol w:w="1845"/>
      </w:tblGrid>
      <w:tr w:rsidR="00794EB9" w:rsidRPr="00794EB9" w14:paraId="12A0907D" w14:textId="77777777" w:rsidTr="00C307FB">
        <w:trPr>
          <w:trHeight w:val="57"/>
        </w:trPr>
        <w:tc>
          <w:tcPr>
            <w:tcW w:w="973" w:type="pct"/>
            <w:shd w:val="clear" w:color="auto" w:fill="E8E7E9"/>
            <w:vAlign w:val="center"/>
          </w:tcPr>
          <w:p w14:paraId="740FD701"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37" w:type="pct"/>
            <w:shd w:val="clear" w:color="auto" w:fill="E8E7E9"/>
            <w:vAlign w:val="center"/>
          </w:tcPr>
          <w:p w14:paraId="1EB82C4A"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29" w:type="pct"/>
            <w:shd w:val="clear" w:color="auto" w:fill="E8E7E9"/>
            <w:vAlign w:val="center"/>
          </w:tcPr>
          <w:p w14:paraId="1A87CE27"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6" w:type="pct"/>
            <w:shd w:val="clear" w:color="auto" w:fill="E8E7E9"/>
            <w:vAlign w:val="center"/>
          </w:tcPr>
          <w:p w14:paraId="66FC7BA4"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45" w:type="pct"/>
            <w:shd w:val="clear" w:color="auto" w:fill="E8E7E9"/>
            <w:vAlign w:val="center"/>
          </w:tcPr>
          <w:p w14:paraId="7F203BBC"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186FE10B" w14:textId="77777777" w:rsidTr="00C307FB">
        <w:trPr>
          <w:trHeight w:val="57"/>
        </w:trPr>
        <w:tc>
          <w:tcPr>
            <w:tcW w:w="973" w:type="pct"/>
            <w:vAlign w:val="center"/>
          </w:tcPr>
          <w:p w14:paraId="34D3C22F"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bCs/>
                <w:sz w:val="22"/>
                <w:szCs w:val="22"/>
              </w:rPr>
              <w:t>Número de empleos formales</w:t>
            </w:r>
          </w:p>
        </w:tc>
        <w:tc>
          <w:tcPr>
            <w:tcW w:w="1237" w:type="pct"/>
            <w:vAlign w:val="center"/>
          </w:tcPr>
          <w:p w14:paraId="3ACD5672"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 xml:space="preserve">Mide el promedio anual de trabajadores asegurados en el Instituto Mexicano </w:t>
            </w:r>
            <w:r w:rsidRPr="00794EB9">
              <w:rPr>
                <w:rFonts w:ascii="Arial" w:hAnsi="Arial" w:cs="Arial"/>
                <w:sz w:val="22"/>
                <w:szCs w:val="22"/>
              </w:rPr>
              <w:lastRenderedPageBreak/>
              <w:t>del Seguro Social (IMSS) de enero a diciembre.</w:t>
            </w:r>
          </w:p>
        </w:tc>
        <w:tc>
          <w:tcPr>
            <w:tcW w:w="829" w:type="pct"/>
            <w:vAlign w:val="center"/>
          </w:tcPr>
          <w:p w14:paraId="727A374A"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lastRenderedPageBreak/>
              <w:t>381 mil 887 trabajadores asegurados</w:t>
            </w:r>
          </w:p>
        </w:tc>
        <w:tc>
          <w:tcPr>
            <w:tcW w:w="916" w:type="pct"/>
            <w:vAlign w:val="center"/>
          </w:tcPr>
          <w:p w14:paraId="55A816F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Asegurados. Datos abiertos del IMSS. 2020</w:t>
            </w:r>
          </w:p>
        </w:tc>
        <w:tc>
          <w:tcPr>
            <w:tcW w:w="1045" w:type="pct"/>
            <w:vAlign w:val="center"/>
          </w:tcPr>
          <w:p w14:paraId="2C857F42"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500 mil trabajadores asegurados</w:t>
            </w:r>
          </w:p>
        </w:tc>
      </w:tr>
      <w:tr w:rsidR="00794EB9" w:rsidRPr="00794EB9" w14:paraId="3F3D0D1F" w14:textId="77777777" w:rsidTr="00C307FB">
        <w:trPr>
          <w:trHeight w:val="57"/>
        </w:trPr>
        <w:tc>
          <w:tcPr>
            <w:tcW w:w="973" w:type="pct"/>
            <w:tcBorders>
              <w:bottom w:val="single" w:sz="4" w:space="0" w:color="auto"/>
            </w:tcBorders>
            <w:vAlign w:val="center"/>
          </w:tcPr>
          <w:p w14:paraId="17192336"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bCs/>
                <w:sz w:val="22"/>
                <w:szCs w:val="22"/>
              </w:rPr>
              <w:t>Tasa de informalidad laboral</w:t>
            </w:r>
          </w:p>
        </w:tc>
        <w:tc>
          <w:tcPr>
            <w:tcW w:w="1237" w:type="pct"/>
            <w:tcBorders>
              <w:bottom w:val="single" w:sz="4" w:space="0" w:color="auto"/>
            </w:tcBorders>
            <w:shd w:val="clear" w:color="auto" w:fill="auto"/>
          </w:tcPr>
          <w:p w14:paraId="3A689BA5"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el porcentaje de la población ocupada que es laboralmente vulnerable por la naturaleza de la unidad económica para la que trabaja y aquellos cuyo vínculo laboral no es reconocido por su fuente de trabajo.</w:t>
            </w:r>
          </w:p>
        </w:tc>
        <w:tc>
          <w:tcPr>
            <w:tcW w:w="829" w:type="pct"/>
            <w:tcBorders>
              <w:bottom w:val="single" w:sz="4" w:space="0" w:color="auto"/>
            </w:tcBorders>
            <w:vAlign w:val="center"/>
          </w:tcPr>
          <w:p w14:paraId="5A27D84A"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47.30%</w:t>
            </w:r>
          </w:p>
        </w:tc>
        <w:tc>
          <w:tcPr>
            <w:tcW w:w="916" w:type="pct"/>
            <w:tcBorders>
              <w:bottom w:val="single" w:sz="4" w:space="0" w:color="auto"/>
            </w:tcBorders>
            <w:vAlign w:val="center"/>
          </w:tcPr>
          <w:p w14:paraId="45A1766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Encuesta Nacional de Ocupación y Empleo (ENOE). Cuarto trimestre 2020</w:t>
            </w:r>
          </w:p>
        </w:tc>
        <w:tc>
          <w:tcPr>
            <w:tcW w:w="1045" w:type="pct"/>
            <w:tcBorders>
              <w:bottom w:val="single" w:sz="4" w:space="0" w:color="auto"/>
            </w:tcBorders>
            <w:vAlign w:val="center"/>
          </w:tcPr>
          <w:p w14:paraId="5E495B36"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al 44.5% la Tasa de informalidad laboral</w:t>
            </w:r>
          </w:p>
        </w:tc>
      </w:tr>
    </w:tbl>
    <w:p w14:paraId="242D2452" w14:textId="77777777" w:rsidR="00794EB9" w:rsidRPr="00794EB9" w:rsidRDefault="00794EB9" w:rsidP="00794EB9">
      <w:pPr>
        <w:pStyle w:val="Prrafodelista"/>
        <w:ind w:left="1637"/>
        <w:jc w:val="both"/>
        <w:rPr>
          <w:rFonts w:ascii="Arial" w:hAnsi="Arial" w:cs="Arial"/>
          <w:sz w:val="22"/>
          <w:szCs w:val="22"/>
        </w:rPr>
      </w:pPr>
    </w:p>
    <w:p w14:paraId="72D73142"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3.2 Equidad social. Mejorar las condiciones socioeconómicas de la población en alguna situación de pobreza contribuyendo a la reducción de las desigualdades.</w:t>
      </w:r>
    </w:p>
    <w:p w14:paraId="44899827"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jc w:val="center"/>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2574450F" w14:textId="77777777" w:rsidTr="00C307FB">
        <w:trPr>
          <w:trHeight w:val="100"/>
          <w:jc w:val="center"/>
        </w:trPr>
        <w:tc>
          <w:tcPr>
            <w:tcW w:w="1048" w:type="pct"/>
            <w:shd w:val="clear" w:color="auto" w:fill="E8E7E9"/>
            <w:vAlign w:val="center"/>
          </w:tcPr>
          <w:p w14:paraId="6D9EEEA6"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46" w:type="pct"/>
            <w:shd w:val="clear" w:color="auto" w:fill="E8E7E9"/>
            <w:vAlign w:val="center"/>
          </w:tcPr>
          <w:p w14:paraId="05365862"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shd w:val="clear" w:color="auto" w:fill="E8E7E9"/>
            <w:vAlign w:val="center"/>
          </w:tcPr>
          <w:p w14:paraId="10E967AB"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50" w:type="pct"/>
            <w:shd w:val="clear" w:color="auto" w:fill="E8E7E9"/>
            <w:vAlign w:val="center"/>
          </w:tcPr>
          <w:p w14:paraId="653ACA35"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07" w:type="pct"/>
            <w:shd w:val="clear" w:color="auto" w:fill="E8E7E9"/>
            <w:vAlign w:val="center"/>
          </w:tcPr>
          <w:p w14:paraId="1B6C5136"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39DC3D75" w14:textId="77777777" w:rsidTr="00C307FB">
        <w:trPr>
          <w:trHeight w:val="57"/>
          <w:jc w:val="center"/>
        </w:trPr>
        <w:tc>
          <w:tcPr>
            <w:tcW w:w="1048" w:type="pct"/>
            <w:tcBorders>
              <w:bottom w:val="single" w:sz="4" w:space="0" w:color="auto"/>
            </w:tcBorders>
            <w:vAlign w:val="center"/>
          </w:tcPr>
          <w:p w14:paraId="788A0C04"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Número de localidades rurales con Índice de Rezago Social alto y muy alto</w:t>
            </w:r>
          </w:p>
        </w:tc>
        <w:tc>
          <w:tcPr>
            <w:tcW w:w="1246" w:type="pct"/>
            <w:tcBorders>
              <w:bottom w:val="single" w:sz="4" w:space="0" w:color="auto"/>
            </w:tcBorders>
            <w:vAlign w:val="center"/>
          </w:tcPr>
          <w:p w14:paraId="62FBDECD"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número de localidades rurales con Índice de Rezago Social alto y muy alto.</w:t>
            </w:r>
          </w:p>
        </w:tc>
        <w:tc>
          <w:tcPr>
            <w:tcW w:w="849" w:type="pct"/>
            <w:tcBorders>
              <w:bottom w:val="single" w:sz="4" w:space="0" w:color="auto"/>
            </w:tcBorders>
            <w:vAlign w:val="center"/>
          </w:tcPr>
          <w:p w14:paraId="739F474B"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22 localidades</w:t>
            </w:r>
          </w:p>
        </w:tc>
        <w:tc>
          <w:tcPr>
            <w:tcW w:w="850" w:type="pct"/>
            <w:tcBorders>
              <w:bottom w:val="single" w:sz="4" w:space="0" w:color="auto"/>
            </w:tcBorders>
            <w:vAlign w:val="center"/>
          </w:tcPr>
          <w:p w14:paraId="407F0CD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CONEVAL. Índice de Rezago Social por Localidad 2020</w:t>
            </w:r>
          </w:p>
        </w:tc>
        <w:tc>
          <w:tcPr>
            <w:tcW w:w="1007" w:type="pct"/>
            <w:tcBorders>
              <w:bottom w:val="single" w:sz="4" w:space="0" w:color="auto"/>
            </w:tcBorders>
            <w:vAlign w:val="center"/>
          </w:tcPr>
          <w:p w14:paraId="651D8DF8"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15</w:t>
            </w:r>
          </w:p>
        </w:tc>
      </w:tr>
    </w:tbl>
    <w:p w14:paraId="512E8D97" w14:textId="77777777" w:rsidR="00794EB9" w:rsidRPr="00794EB9" w:rsidRDefault="00794EB9" w:rsidP="00794EB9">
      <w:pPr>
        <w:pStyle w:val="Prrafodelista"/>
        <w:ind w:left="1637"/>
        <w:jc w:val="both"/>
        <w:rPr>
          <w:rFonts w:ascii="Arial" w:hAnsi="Arial" w:cs="Arial"/>
          <w:sz w:val="22"/>
          <w:szCs w:val="22"/>
        </w:rPr>
      </w:pPr>
    </w:p>
    <w:p w14:paraId="01FABCC4"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3.3 Igualdad e inclusión. Promover la igualdad de género, la inclusión y la no discriminación de las personas, respetando la diversidad sociocultural y los Derechos Humanos.</w:t>
      </w:r>
    </w:p>
    <w:p w14:paraId="0B2855B1" w14:textId="77777777" w:rsidR="00794EB9" w:rsidRPr="00794EB9" w:rsidRDefault="00794EB9" w:rsidP="00794EB9">
      <w:pPr>
        <w:jc w:val="both"/>
        <w:rPr>
          <w:rFonts w:ascii="Arial" w:hAnsi="Arial" w:cs="Arial"/>
          <w:sz w:val="22"/>
          <w:szCs w:val="22"/>
        </w:rPr>
      </w:pPr>
    </w:p>
    <w:p w14:paraId="256C1A68" w14:textId="77777777" w:rsidR="00794EB9" w:rsidRPr="00794EB9" w:rsidRDefault="00794EB9" w:rsidP="00794EB9">
      <w:pPr>
        <w:jc w:val="both"/>
        <w:rPr>
          <w:rFonts w:ascii="Arial" w:hAnsi="Arial" w:cs="Arial"/>
          <w:sz w:val="22"/>
          <w:szCs w:val="22"/>
        </w:rPr>
      </w:pPr>
    </w:p>
    <w:p w14:paraId="3F3DCD9B" w14:textId="77777777" w:rsidR="00794EB9" w:rsidRPr="00794EB9" w:rsidRDefault="00794EB9" w:rsidP="00794EB9">
      <w:pPr>
        <w:jc w:val="both"/>
        <w:rPr>
          <w:rFonts w:ascii="Arial" w:hAnsi="Arial" w:cs="Arial"/>
          <w:sz w:val="22"/>
          <w:szCs w:val="22"/>
        </w:rPr>
      </w:pPr>
    </w:p>
    <w:p w14:paraId="410588FD"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5197E6EE" w14:textId="77777777" w:rsidTr="00C307FB">
        <w:trPr>
          <w:trHeight w:val="57"/>
        </w:trPr>
        <w:tc>
          <w:tcPr>
            <w:tcW w:w="1048" w:type="pct"/>
            <w:tcBorders>
              <w:top w:val="single" w:sz="4" w:space="0" w:color="auto"/>
            </w:tcBorders>
            <w:shd w:val="clear" w:color="auto" w:fill="E8E7E9"/>
            <w:vAlign w:val="center"/>
          </w:tcPr>
          <w:p w14:paraId="0C65339F"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46" w:type="pct"/>
            <w:tcBorders>
              <w:top w:val="single" w:sz="4" w:space="0" w:color="auto"/>
            </w:tcBorders>
            <w:shd w:val="clear" w:color="auto" w:fill="E8E7E9"/>
            <w:vAlign w:val="center"/>
          </w:tcPr>
          <w:p w14:paraId="217A08D8"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tcBorders>
              <w:top w:val="single" w:sz="4" w:space="0" w:color="auto"/>
            </w:tcBorders>
            <w:shd w:val="clear" w:color="auto" w:fill="E8E7E9"/>
            <w:vAlign w:val="center"/>
          </w:tcPr>
          <w:p w14:paraId="61B21524"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50" w:type="pct"/>
            <w:tcBorders>
              <w:top w:val="single" w:sz="4" w:space="0" w:color="auto"/>
            </w:tcBorders>
            <w:shd w:val="clear" w:color="auto" w:fill="E8E7E9"/>
            <w:vAlign w:val="center"/>
          </w:tcPr>
          <w:p w14:paraId="07E1FBA5"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07" w:type="pct"/>
            <w:tcBorders>
              <w:top w:val="single" w:sz="4" w:space="0" w:color="auto"/>
            </w:tcBorders>
            <w:shd w:val="clear" w:color="auto" w:fill="E8E7E9"/>
            <w:vAlign w:val="center"/>
          </w:tcPr>
          <w:p w14:paraId="037F9C32"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7E258BB8" w14:textId="77777777" w:rsidTr="00C307FB">
        <w:trPr>
          <w:trHeight w:val="57"/>
        </w:trPr>
        <w:tc>
          <w:tcPr>
            <w:tcW w:w="1048" w:type="pct"/>
            <w:tcBorders>
              <w:top w:val="single" w:sz="4" w:space="0" w:color="auto"/>
            </w:tcBorders>
            <w:shd w:val="clear" w:color="auto" w:fill="auto"/>
            <w:vAlign w:val="center"/>
          </w:tcPr>
          <w:p w14:paraId="4B831E37"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Brecha salarial por género</w:t>
            </w:r>
          </w:p>
        </w:tc>
        <w:tc>
          <w:tcPr>
            <w:tcW w:w="1246" w:type="pct"/>
            <w:tcBorders>
              <w:top w:val="single" w:sz="4" w:space="0" w:color="auto"/>
            </w:tcBorders>
            <w:shd w:val="clear" w:color="auto" w:fill="auto"/>
            <w:vAlign w:val="center"/>
          </w:tcPr>
          <w:p w14:paraId="002AF116"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 xml:space="preserve">Se define como la diferencia entre la proporción de mujeres que perciben más de tres salarios mínimos, entre la proporción de </w:t>
            </w:r>
            <w:r w:rsidRPr="00794EB9">
              <w:rPr>
                <w:rFonts w:ascii="Arial" w:hAnsi="Arial" w:cs="Arial"/>
                <w:sz w:val="22"/>
                <w:szCs w:val="22"/>
              </w:rPr>
              <w:lastRenderedPageBreak/>
              <w:t>hombres que percibe más de tres salarios mínimos.</w:t>
            </w:r>
          </w:p>
        </w:tc>
        <w:tc>
          <w:tcPr>
            <w:tcW w:w="849" w:type="pct"/>
            <w:tcBorders>
              <w:top w:val="single" w:sz="4" w:space="0" w:color="auto"/>
            </w:tcBorders>
            <w:shd w:val="clear" w:color="auto" w:fill="auto"/>
            <w:vAlign w:val="center"/>
          </w:tcPr>
          <w:p w14:paraId="0A6F88F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lastRenderedPageBreak/>
              <w:t xml:space="preserve">67 mujeres por cada 100 hombres perciben más de tres salarios mínimos </w:t>
            </w:r>
            <w:r w:rsidRPr="00794EB9">
              <w:rPr>
                <w:rFonts w:ascii="Arial" w:hAnsi="Arial" w:cs="Arial"/>
                <w:sz w:val="22"/>
                <w:szCs w:val="22"/>
              </w:rPr>
              <w:lastRenderedPageBreak/>
              <w:t>como ingreso por su trabajo</w:t>
            </w:r>
          </w:p>
        </w:tc>
        <w:tc>
          <w:tcPr>
            <w:tcW w:w="850" w:type="pct"/>
            <w:tcBorders>
              <w:top w:val="single" w:sz="4" w:space="0" w:color="auto"/>
            </w:tcBorders>
            <w:shd w:val="clear" w:color="auto" w:fill="auto"/>
            <w:vAlign w:val="center"/>
          </w:tcPr>
          <w:p w14:paraId="73E58F58"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lastRenderedPageBreak/>
              <w:t>INEGI. Microdatos de la ENOE (cuarto trimestre de 2020)</w:t>
            </w:r>
          </w:p>
        </w:tc>
        <w:tc>
          <w:tcPr>
            <w:tcW w:w="1007" w:type="pct"/>
            <w:tcBorders>
              <w:top w:val="single" w:sz="4" w:space="0" w:color="auto"/>
            </w:tcBorders>
            <w:shd w:val="clear" w:color="auto" w:fill="auto"/>
            <w:vAlign w:val="center"/>
          </w:tcPr>
          <w:p w14:paraId="48B90C9C"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72 mujeres por cada 100 hombres</w:t>
            </w:r>
          </w:p>
        </w:tc>
      </w:tr>
      <w:tr w:rsidR="00794EB9" w:rsidRPr="00794EB9" w14:paraId="5E933F7A" w14:textId="77777777" w:rsidTr="00C307FB">
        <w:trPr>
          <w:trHeight w:val="57"/>
        </w:trPr>
        <w:tc>
          <w:tcPr>
            <w:tcW w:w="1048" w:type="pct"/>
            <w:tcBorders>
              <w:top w:val="single" w:sz="4" w:space="0" w:color="auto"/>
            </w:tcBorders>
            <w:vAlign w:val="center"/>
          </w:tcPr>
          <w:p w14:paraId="016E03E4"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Coeficiente de Gini</w:t>
            </w:r>
          </w:p>
          <w:p w14:paraId="7497E09F" w14:textId="77777777" w:rsidR="00794EB9" w:rsidRPr="00794EB9" w:rsidRDefault="00794EB9" w:rsidP="00C307FB">
            <w:pPr>
              <w:ind w:hanging="2"/>
              <w:jc w:val="center"/>
              <w:rPr>
                <w:rFonts w:ascii="Arial" w:hAnsi="Arial" w:cs="Arial"/>
                <w:b/>
                <w:iCs/>
                <w:sz w:val="22"/>
                <w:szCs w:val="22"/>
              </w:rPr>
            </w:pPr>
            <w:r w:rsidRPr="00794EB9">
              <w:rPr>
                <w:rFonts w:ascii="Arial" w:hAnsi="Arial" w:cs="Arial"/>
                <w:sz w:val="22"/>
                <w:szCs w:val="22"/>
                <w:lang w:eastAsia="es-MX"/>
              </w:rPr>
              <w:t>(Método utilizado para medir la desigualdad salarial)</w:t>
            </w:r>
          </w:p>
        </w:tc>
        <w:tc>
          <w:tcPr>
            <w:tcW w:w="1246" w:type="pct"/>
            <w:tcBorders>
              <w:top w:val="single" w:sz="4" w:space="0" w:color="auto"/>
            </w:tcBorders>
            <w:vAlign w:val="center"/>
          </w:tcPr>
          <w:p w14:paraId="019126B5"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la desigualdad en la distribución del ingreso de la población.</w:t>
            </w:r>
          </w:p>
        </w:tc>
        <w:tc>
          <w:tcPr>
            <w:tcW w:w="849" w:type="pct"/>
            <w:tcBorders>
              <w:top w:val="single" w:sz="4" w:space="0" w:color="auto"/>
            </w:tcBorders>
            <w:vAlign w:val="center"/>
          </w:tcPr>
          <w:p w14:paraId="38869ED5"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 xml:space="preserve">0.39 </w:t>
            </w:r>
            <w:r w:rsidRPr="00794EB9">
              <w:rPr>
                <w:rFonts w:ascii="Arial" w:hAnsi="Arial" w:cs="Arial"/>
                <w:sz w:val="22"/>
                <w:szCs w:val="22"/>
              </w:rPr>
              <w:br/>
              <w:t xml:space="preserve">Coeficiente desigualdad de ingresos </w:t>
            </w:r>
          </w:p>
        </w:tc>
        <w:tc>
          <w:tcPr>
            <w:tcW w:w="850" w:type="pct"/>
            <w:tcBorders>
              <w:top w:val="single" w:sz="4" w:space="0" w:color="auto"/>
            </w:tcBorders>
            <w:vAlign w:val="center"/>
          </w:tcPr>
          <w:p w14:paraId="1F882A3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CONEVAL. Medición de la Pobreza municipal 2015</w:t>
            </w:r>
          </w:p>
        </w:tc>
        <w:tc>
          <w:tcPr>
            <w:tcW w:w="1007" w:type="pct"/>
            <w:tcBorders>
              <w:top w:val="single" w:sz="4" w:space="0" w:color="auto"/>
            </w:tcBorders>
            <w:vAlign w:val="center"/>
          </w:tcPr>
          <w:p w14:paraId="45C98229"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0.30</w:t>
            </w:r>
          </w:p>
        </w:tc>
      </w:tr>
    </w:tbl>
    <w:p w14:paraId="51F70A54" w14:textId="77777777" w:rsidR="00794EB9" w:rsidRPr="00794EB9" w:rsidRDefault="00794EB9" w:rsidP="00794EB9">
      <w:pPr>
        <w:jc w:val="both"/>
        <w:rPr>
          <w:rFonts w:ascii="Arial" w:hAnsi="Arial" w:cs="Arial"/>
          <w:sz w:val="22"/>
          <w:szCs w:val="22"/>
        </w:rPr>
      </w:pPr>
    </w:p>
    <w:p w14:paraId="0D541EA5"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Pilar 3.5 Educación equitativa, pertinente y de calidad. Promover el aprendizaje equitativo, pertinente y de calidad a lo largo de la vida.</w:t>
      </w:r>
    </w:p>
    <w:p w14:paraId="6F286985"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2014"/>
        <w:gridCol w:w="2159"/>
        <w:gridCol w:w="1458"/>
        <w:gridCol w:w="1488"/>
        <w:gridCol w:w="1709"/>
      </w:tblGrid>
      <w:tr w:rsidR="00794EB9" w:rsidRPr="00794EB9" w14:paraId="43F7B2D5" w14:textId="77777777" w:rsidTr="00C307FB">
        <w:trPr>
          <w:trHeight w:val="57"/>
        </w:trPr>
        <w:tc>
          <w:tcPr>
            <w:tcW w:w="1048" w:type="pct"/>
            <w:shd w:val="clear" w:color="auto" w:fill="E8E7E9"/>
            <w:vAlign w:val="center"/>
          </w:tcPr>
          <w:p w14:paraId="7C64FB63"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shd w:val="clear" w:color="auto" w:fill="E8E7E9"/>
            <w:vAlign w:val="center"/>
          </w:tcPr>
          <w:p w14:paraId="490D10B5"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shd w:val="clear" w:color="auto" w:fill="E8E7E9"/>
            <w:vAlign w:val="center"/>
          </w:tcPr>
          <w:p w14:paraId="1546C074"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50" w:type="pct"/>
            <w:shd w:val="clear" w:color="auto" w:fill="E8E7E9"/>
            <w:vAlign w:val="center"/>
          </w:tcPr>
          <w:p w14:paraId="5651EDAB"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07" w:type="pct"/>
            <w:shd w:val="clear" w:color="auto" w:fill="E8E7E9"/>
            <w:vAlign w:val="center"/>
          </w:tcPr>
          <w:p w14:paraId="2017968F"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362F51A3" w14:textId="77777777" w:rsidTr="00C307FB">
        <w:trPr>
          <w:trHeight w:val="57"/>
        </w:trPr>
        <w:tc>
          <w:tcPr>
            <w:tcW w:w="1048" w:type="pct"/>
            <w:vAlign w:val="center"/>
          </w:tcPr>
          <w:p w14:paraId="109468C7"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Años promedio de escolaridad de la población económicamente activa</w:t>
            </w:r>
          </w:p>
        </w:tc>
        <w:tc>
          <w:tcPr>
            <w:tcW w:w="1246" w:type="pct"/>
            <w:vAlign w:val="center"/>
          </w:tcPr>
          <w:p w14:paraId="28845424"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número promedio de años de educación formal que ha cursado la población económicamente activa (PEA).</w:t>
            </w:r>
          </w:p>
        </w:tc>
        <w:tc>
          <w:tcPr>
            <w:tcW w:w="849" w:type="pct"/>
            <w:vAlign w:val="center"/>
          </w:tcPr>
          <w:p w14:paraId="779CA53E"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10.5 años de escolaridad promedio</w:t>
            </w:r>
          </w:p>
        </w:tc>
        <w:tc>
          <w:tcPr>
            <w:tcW w:w="850" w:type="pct"/>
            <w:vAlign w:val="center"/>
          </w:tcPr>
          <w:p w14:paraId="4F7C3641"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Microdatos de la ENOE (cuarto trimestre de 2020)</w:t>
            </w:r>
          </w:p>
        </w:tc>
        <w:tc>
          <w:tcPr>
            <w:tcW w:w="1007" w:type="pct"/>
            <w:vAlign w:val="center"/>
          </w:tcPr>
          <w:p w14:paraId="6B3A49D5"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12 años de escolaridad promedio</w:t>
            </w:r>
          </w:p>
        </w:tc>
      </w:tr>
      <w:tr w:rsidR="00794EB9" w:rsidRPr="00794EB9" w14:paraId="74F1EBD8" w14:textId="77777777" w:rsidTr="00C307FB">
        <w:trPr>
          <w:trHeight w:val="57"/>
        </w:trPr>
        <w:tc>
          <w:tcPr>
            <w:tcW w:w="1048" w:type="pct"/>
          </w:tcPr>
          <w:p w14:paraId="505BAB5D"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iCs/>
                <w:sz w:val="22"/>
                <w:szCs w:val="22"/>
              </w:rPr>
              <w:t>Tasa de abandono escolar de niñas, niños y adolescentes</w:t>
            </w:r>
          </w:p>
        </w:tc>
        <w:tc>
          <w:tcPr>
            <w:tcW w:w="1246" w:type="pct"/>
          </w:tcPr>
          <w:p w14:paraId="67C9DDC2" w14:textId="77777777" w:rsidR="00794EB9" w:rsidRPr="00794EB9" w:rsidRDefault="00794EB9" w:rsidP="00C307FB">
            <w:pPr>
              <w:ind w:hanging="2"/>
              <w:rPr>
                <w:rFonts w:ascii="Arial" w:hAnsi="Arial" w:cs="Arial"/>
                <w:sz w:val="22"/>
                <w:szCs w:val="22"/>
              </w:rPr>
            </w:pPr>
            <w:r w:rsidRPr="00794EB9">
              <w:rPr>
                <w:rFonts w:ascii="Arial" w:hAnsi="Arial" w:cs="Arial"/>
                <w:iCs/>
                <w:sz w:val="22"/>
                <w:szCs w:val="22"/>
              </w:rPr>
              <w:t>Es el porcentaje de alumnos de primaria y secundaria que abandona las actividades escolares durante el ciclo escolar y al finalizar éste respecto al total de alumnos inscritos.</w:t>
            </w:r>
          </w:p>
        </w:tc>
        <w:tc>
          <w:tcPr>
            <w:tcW w:w="849" w:type="pct"/>
          </w:tcPr>
          <w:p w14:paraId="464D468D" w14:textId="77777777" w:rsidR="00794EB9" w:rsidRPr="00794EB9" w:rsidRDefault="00794EB9" w:rsidP="00C307FB">
            <w:pPr>
              <w:ind w:hanging="2"/>
              <w:jc w:val="center"/>
              <w:rPr>
                <w:rFonts w:ascii="Arial" w:hAnsi="Arial" w:cs="Arial"/>
                <w:sz w:val="22"/>
                <w:szCs w:val="22"/>
              </w:rPr>
            </w:pPr>
            <w:r w:rsidRPr="00794EB9">
              <w:rPr>
                <w:rFonts w:ascii="Arial" w:hAnsi="Arial" w:cs="Arial"/>
                <w:iCs/>
                <w:sz w:val="22"/>
                <w:szCs w:val="22"/>
              </w:rPr>
              <w:t>2.4%</w:t>
            </w:r>
          </w:p>
        </w:tc>
        <w:tc>
          <w:tcPr>
            <w:tcW w:w="850" w:type="pct"/>
            <w:vAlign w:val="center"/>
          </w:tcPr>
          <w:p w14:paraId="1D98585B" w14:textId="77777777" w:rsidR="00794EB9" w:rsidRPr="00794EB9" w:rsidRDefault="00794EB9" w:rsidP="00C307FB">
            <w:pPr>
              <w:ind w:hanging="2"/>
              <w:jc w:val="center"/>
              <w:rPr>
                <w:rFonts w:ascii="Arial" w:hAnsi="Arial" w:cs="Arial"/>
                <w:iCs/>
                <w:sz w:val="22"/>
                <w:szCs w:val="22"/>
              </w:rPr>
            </w:pPr>
            <w:r w:rsidRPr="00794EB9">
              <w:rPr>
                <w:rFonts w:ascii="Arial" w:hAnsi="Arial" w:cs="Arial"/>
                <w:iCs/>
                <w:sz w:val="22"/>
                <w:szCs w:val="22"/>
              </w:rPr>
              <w:t xml:space="preserve">Secretaría de Educación de Guanajuato (SEG). Sistema Integral de Información Educativa (SIIE). </w:t>
            </w:r>
          </w:p>
          <w:p w14:paraId="78825952" w14:textId="77777777" w:rsidR="00794EB9" w:rsidRPr="00794EB9" w:rsidRDefault="00794EB9" w:rsidP="00C307FB">
            <w:pPr>
              <w:ind w:hanging="2"/>
              <w:jc w:val="center"/>
              <w:rPr>
                <w:rFonts w:ascii="Arial" w:hAnsi="Arial" w:cs="Arial"/>
                <w:sz w:val="22"/>
                <w:szCs w:val="22"/>
              </w:rPr>
            </w:pPr>
            <w:r w:rsidRPr="00794EB9">
              <w:rPr>
                <w:rFonts w:ascii="Arial" w:hAnsi="Arial" w:cs="Arial"/>
                <w:iCs/>
                <w:sz w:val="22"/>
                <w:szCs w:val="22"/>
              </w:rPr>
              <w:t>Ciclo escolar 2018-2019</w:t>
            </w:r>
          </w:p>
        </w:tc>
        <w:tc>
          <w:tcPr>
            <w:tcW w:w="1007" w:type="pct"/>
            <w:vAlign w:val="center"/>
          </w:tcPr>
          <w:p w14:paraId="3BA99CD2"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al 2%</w:t>
            </w:r>
          </w:p>
        </w:tc>
      </w:tr>
      <w:tr w:rsidR="00794EB9" w:rsidRPr="00794EB9" w14:paraId="3821ECC3" w14:textId="77777777" w:rsidTr="00C307FB">
        <w:trPr>
          <w:trHeight w:val="57"/>
        </w:trPr>
        <w:tc>
          <w:tcPr>
            <w:tcW w:w="1048" w:type="pct"/>
            <w:vAlign w:val="center"/>
          </w:tcPr>
          <w:p w14:paraId="7FF1A936"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Tasa de abandono escolar en el nivel medio superior</w:t>
            </w:r>
          </w:p>
        </w:tc>
        <w:tc>
          <w:tcPr>
            <w:tcW w:w="1246" w:type="pct"/>
            <w:vAlign w:val="center"/>
          </w:tcPr>
          <w:p w14:paraId="74F5849C"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porcentaje de alumnos que abandona el nivel de educación medio superior durante o al finalizar el ciclo escolar, respecto al total de alumnos inscritos en el ciclo.</w:t>
            </w:r>
          </w:p>
        </w:tc>
        <w:tc>
          <w:tcPr>
            <w:tcW w:w="849" w:type="pct"/>
            <w:vAlign w:val="center"/>
          </w:tcPr>
          <w:p w14:paraId="09ED4897"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16.6%</w:t>
            </w:r>
          </w:p>
        </w:tc>
        <w:tc>
          <w:tcPr>
            <w:tcW w:w="850" w:type="pct"/>
            <w:vAlign w:val="center"/>
          </w:tcPr>
          <w:p w14:paraId="6F067C5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SEG (Secretaría de Educación de Guanajuato), ciclo escolar 2018-2019</w:t>
            </w:r>
          </w:p>
        </w:tc>
        <w:tc>
          <w:tcPr>
            <w:tcW w:w="1007" w:type="pct"/>
            <w:vAlign w:val="center"/>
          </w:tcPr>
          <w:p w14:paraId="66DC9A8C"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12%</w:t>
            </w:r>
          </w:p>
        </w:tc>
      </w:tr>
    </w:tbl>
    <w:p w14:paraId="0884D101" w14:textId="77777777" w:rsidR="00794EB9" w:rsidRPr="00794EB9" w:rsidRDefault="00794EB9" w:rsidP="00794EB9">
      <w:pPr>
        <w:jc w:val="both"/>
        <w:rPr>
          <w:rFonts w:ascii="Arial" w:hAnsi="Arial" w:cs="Arial"/>
          <w:sz w:val="22"/>
          <w:szCs w:val="22"/>
        </w:rPr>
      </w:pPr>
    </w:p>
    <w:p w14:paraId="6A52D6DF"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Pilar 4.1 Seguridad ciudadana y paz sostenible. Fortalecer la cohesión social consolidando un modelo de seguridad cívica y ciudadana para la prevención, vigilancia y atención de factores de riesgo.</w:t>
      </w:r>
    </w:p>
    <w:p w14:paraId="070A1C1B" w14:textId="77777777" w:rsidR="00794EB9" w:rsidRPr="00794EB9" w:rsidRDefault="00794EB9" w:rsidP="00794EB9">
      <w:pPr>
        <w:jc w:val="both"/>
        <w:rPr>
          <w:rFonts w:ascii="Arial" w:hAnsi="Arial" w:cs="Arial"/>
          <w:sz w:val="22"/>
          <w:szCs w:val="22"/>
        </w:rPr>
      </w:pPr>
    </w:p>
    <w:tbl>
      <w:tblPr>
        <w:tblStyle w:val="Tablaconcuadrcula3"/>
        <w:tblW w:w="5000" w:type="pct"/>
        <w:tblLook w:val="04A0" w:firstRow="1" w:lastRow="0" w:firstColumn="1" w:lastColumn="0" w:noHBand="0" w:noVBand="1"/>
      </w:tblPr>
      <w:tblGrid>
        <w:gridCol w:w="1706"/>
        <w:gridCol w:w="2241"/>
        <w:gridCol w:w="1563"/>
        <w:gridCol w:w="1607"/>
        <w:gridCol w:w="1711"/>
      </w:tblGrid>
      <w:tr w:rsidR="00794EB9" w:rsidRPr="00794EB9" w14:paraId="37B16396" w14:textId="77777777" w:rsidTr="00C307FB">
        <w:trPr>
          <w:trHeight w:val="57"/>
        </w:trPr>
        <w:tc>
          <w:tcPr>
            <w:tcW w:w="967" w:type="pct"/>
            <w:shd w:val="clear" w:color="auto" w:fill="E8E7E9"/>
            <w:vAlign w:val="center"/>
          </w:tcPr>
          <w:p w14:paraId="29E4EB49"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69" w:type="pct"/>
            <w:shd w:val="clear" w:color="auto" w:fill="E8E7E9"/>
            <w:vAlign w:val="center"/>
          </w:tcPr>
          <w:p w14:paraId="4E232131"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shd w:val="clear" w:color="auto" w:fill="E8E7E9"/>
            <w:vAlign w:val="center"/>
          </w:tcPr>
          <w:p w14:paraId="34BD2E31"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0" w:type="pct"/>
            <w:shd w:val="clear" w:color="auto" w:fill="E8E7E9"/>
            <w:vAlign w:val="center"/>
          </w:tcPr>
          <w:p w14:paraId="58A1DC06"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969" w:type="pct"/>
            <w:shd w:val="clear" w:color="auto" w:fill="E8E7E9"/>
            <w:vAlign w:val="center"/>
          </w:tcPr>
          <w:p w14:paraId="5482C44B"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6B14AFE6" w14:textId="77777777" w:rsidTr="00C307FB">
        <w:trPr>
          <w:trHeight w:val="57"/>
        </w:trPr>
        <w:tc>
          <w:tcPr>
            <w:tcW w:w="967" w:type="pct"/>
            <w:vAlign w:val="center"/>
          </w:tcPr>
          <w:p w14:paraId="2B465260"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Porcentaje de población de 18 años y más que percibe segura la ciudad</w:t>
            </w:r>
          </w:p>
        </w:tc>
        <w:tc>
          <w:tcPr>
            <w:tcW w:w="1269" w:type="pct"/>
            <w:vAlign w:val="center"/>
          </w:tcPr>
          <w:p w14:paraId="43D30165"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porcentaje de población de 18 años y más que se sintió segura en la ciudad de León.</w:t>
            </w:r>
          </w:p>
        </w:tc>
        <w:tc>
          <w:tcPr>
            <w:tcW w:w="885" w:type="pct"/>
            <w:vAlign w:val="center"/>
          </w:tcPr>
          <w:p w14:paraId="10E95556"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16%</w:t>
            </w:r>
          </w:p>
        </w:tc>
        <w:tc>
          <w:tcPr>
            <w:tcW w:w="910" w:type="pct"/>
            <w:vAlign w:val="center"/>
          </w:tcPr>
          <w:p w14:paraId="627B8F52"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Encuesta Nacional de Seguridad Pública Urbana (ENSU), cuarto trimestre de 2020</w:t>
            </w:r>
          </w:p>
        </w:tc>
        <w:tc>
          <w:tcPr>
            <w:tcW w:w="969" w:type="pct"/>
            <w:vAlign w:val="center"/>
          </w:tcPr>
          <w:p w14:paraId="393616C7"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25%</w:t>
            </w:r>
          </w:p>
        </w:tc>
      </w:tr>
    </w:tbl>
    <w:p w14:paraId="13AD0211" w14:textId="77777777" w:rsidR="00794EB9" w:rsidRPr="00794EB9" w:rsidRDefault="00794EB9" w:rsidP="00794EB9">
      <w:pPr>
        <w:jc w:val="both"/>
        <w:rPr>
          <w:rFonts w:ascii="Arial" w:hAnsi="Arial" w:cs="Arial"/>
          <w:sz w:val="22"/>
          <w:szCs w:val="22"/>
        </w:rPr>
      </w:pPr>
    </w:p>
    <w:p w14:paraId="6F351539"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Pilar 4.2 Co-creación: colaboración y participación ciudadana. Generar canales de innovación pública y social para el involucramiento efectivo de la ciudadanía y de las juventudes, en el proceso de cambio y en la toma de decisiones de interés colectivo.</w:t>
      </w:r>
    </w:p>
    <w:p w14:paraId="627C1DBF"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Look w:val="04A0" w:firstRow="1" w:lastRow="0" w:firstColumn="1" w:lastColumn="0" w:noHBand="0" w:noVBand="1"/>
      </w:tblPr>
      <w:tblGrid>
        <w:gridCol w:w="1686"/>
        <w:gridCol w:w="2220"/>
        <w:gridCol w:w="1542"/>
        <w:gridCol w:w="1586"/>
        <w:gridCol w:w="1794"/>
      </w:tblGrid>
      <w:tr w:rsidR="00794EB9" w:rsidRPr="00794EB9" w14:paraId="5C284A9E" w14:textId="77777777" w:rsidTr="00C307FB">
        <w:trPr>
          <w:trHeight w:val="57"/>
        </w:trPr>
        <w:tc>
          <w:tcPr>
            <w:tcW w:w="967" w:type="pct"/>
            <w:tcBorders>
              <w:top w:val="single" w:sz="4" w:space="0" w:color="auto"/>
            </w:tcBorders>
            <w:shd w:val="clear" w:color="auto" w:fill="E8E7E9"/>
            <w:vAlign w:val="center"/>
          </w:tcPr>
          <w:p w14:paraId="4E8E13E9"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69" w:type="pct"/>
            <w:tcBorders>
              <w:top w:val="single" w:sz="4" w:space="0" w:color="auto"/>
            </w:tcBorders>
            <w:shd w:val="clear" w:color="auto" w:fill="E8E7E9"/>
            <w:vAlign w:val="center"/>
          </w:tcPr>
          <w:p w14:paraId="3B9E9E39"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tcBorders>
              <w:top w:val="single" w:sz="4" w:space="0" w:color="auto"/>
            </w:tcBorders>
            <w:shd w:val="clear" w:color="auto" w:fill="E8E7E9"/>
            <w:vAlign w:val="center"/>
          </w:tcPr>
          <w:p w14:paraId="4F28BC9C"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0" w:type="pct"/>
            <w:tcBorders>
              <w:top w:val="single" w:sz="4" w:space="0" w:color="auto"/>
            </w:tcBorders>
            <w:shd w:val="clear" w:color="auto" w:fill="E8E7E9"/>
            <w:vAlign w:val="center"/>
          </w:tcPr>
          <w:p w14:paraId="68D88695"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969" w:type="pct"/>
            <w:tcBorders>
              <w:top w:val="single" w:sz="4" w:space="0" w:color="auto"/>
            </w:tcBorders>
            <w:shd w:val="clear" w:color="auto" w:fill="E8E7E9"/>
            <w:vAlign w:val="center"/>
          </w:tcPr>
          <w:p w14:paraId="55B00122"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6872971D" w14:textId="77777777" w:rsidTr="00C307FB">
        <w:trPr>
          <w:trHeight w:val="57"/>
        </w:trPr>
        <w:tc>
          <w:tcPr>
            <w:tcW w:w="967" w:type="pct"/>
            <w:vAlign w:val="center"/>
          </w:tcPr>
          <w:p w14:paraId="10C3845D"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Porcentaje de consejos ciudadanos con consejeras y consejeros jóvenes</w:t>
            </w:r>
          </w:p>
        </w:tc>
        <w:tc>
          <w:tcPr>
            <w:tcW w:w="1269" w:type="pct"/>
            <w:vAlign w:val="center"/>
          </w:tcPr>
          <w:p w14:paraId="37B9AC0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Mide el porcentaje de Consejos Consultivos y Directivos que cuentan con un par de consejeras y consejeros juveniles.</w:t>
            </w:r>
          </w:p>
        </w:tc>
        <w:tc>
          <w:tcPr>
            <w:tcW w:w="885" w:type="pct"/>
            <w:vAlign w:val="center"/>
          </w:tcPr>
          <w:p w14:paraId="6908F330"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88% de los consejos ciudadanos cuentan con consejeras y consejeros jóvenes</w:t>
            </w:r>
          </w:p>
        </w:tc>
        <w:tc>
          <w:tcPr>
            <w:tcW w:w="910" w:type="pct"/>
            <w:vAlign w:val="center"/>
          </w:tcPr>
          <w:p w14:paraId="17665B32"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Instituto Municipal de la Juventud de León</w:t>
            </w:r>
          </w:p>
          <w:p w14:paraId="4CC5501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Mayo 2021</w:t>
            </w:r>
          </w:p>
        </w:tc>
        <w:tc>
          <w:tcPr>
            <w:tcW w:w="969" w:type="pct"/>
            <w:vAlign w:val="center"/>
          </w:tcPr>
          <w:p w14:paraId="489DCA9C"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94% de los consejos ciudadanos con representantes juveniles</w:t>
            </w:r>
          </w:p>
        </w:tc>
      </w:tr>
    </w:tbl>
    <w:p w14:paraId="0F1C2894" w14:textId="77777777" w:rsidR="00794EB9" w:rsidRPr="00794EB9" w:rsidRDefault="00794EB9" w:rsidP="00794EB9">
      <w:pPr>
        <w:jc w:val="both"/>
        <w:rPr>
          <w:rFonts w:ascii="Arial" w:hAnsi="Arial" w:cs="Arial"/>
          <w:sz w:val="22"/>
          <w:szCs w:val="22"/>
        </w:rPr>
      </w:pPr>
    </w:p>
    <w:p w14:paraId="464D5E9A"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VM2. León de Oportunidades</w:t>
      </w:r>
    </w:p>
    <w:p w14:paraId="21331390"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Promover la reactivación económica de León mediante un programa integral de apoyos a las iniciativas ciudadanas, de las micro, pequeñas y medianas empresas, así como para la atracción de nuevas inversiones que apoyen en la diversificación industrial del municipio.</w:t>
      </w:r>
    </w:p>
    <w:p w14:paraId="3F823814" w14:textId="77777777" w:rsidR="00794EB9" w:rsidRPr="00794EB9" w:rsidRDefault="00794EB9" w:rsidP="00794EB9">
      <w:pPr>
        <w:jc w:val="both"/>
        <w:rPr>
          <w:rFonts w:ascii="Arial" w:hAnsi="Arial" w:cs="Arial"/>
          <w:b/>
          <w:sz w:val="22"/>
          <w:szCs w:val="22"/>
        </w:rPr>
      </w:pPr>
    </w:p>
    <w:p w14:paraId="01AE3D06"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1467B5EC"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 Poner fin al hambre</w:t>
      </w:r>
    </w:p>
    <w:p w14:paraId="69BACEB0"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 Garantizar una educación inclusiva, equitativa y de calidad y promover oportunidades de aprendizaje durante toda la vida para todos</w:t>
      </w:r>
    </w:p>
    <w:p w14:paraId="3E98305F"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8: Promover el crecimiento económico inclusivo y sostenible, el empleo y el trabajo decente para todos</w:t>
      </w:r>
    </w:p>
    <w:p w14:paraId="6F847EB5"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9: Construir infraestructuras resilientes, promover la industrialización sostenible y fomentar la innovación</w:t>
      </w:r>
    </w:p>
    <w:p w14:paraId="48FDC98F"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17: Revitalizar la Alianza Mundial para el Desarrollo Sostenible</w:t>
      </w:r>
    </w:p>
    <w:p w14:paraId="4B2A4AB1" w14:textId="77777777" w:rsidR="00794EB9" w:rsidRPr="00794EB9" w:rsidRDefault="00794EB9" w:rsidP="00794EB9">
      <w:pPr>
        <w:pStyle w:val="Prrafodelista"/>
        <w:ind w:left="1637"/>
        <w:jc w:val="both"/>
        <w:rPr>
          <w:rFonts w:ascii="Arial" w:hAnsi="Arial" w:cs="Arial"/>
          <w:sz w:val="22"/>
          <w:szCs w:val="22"/>
        </w:rPr>
      </w:pPr>
    </w:p>
    <w:p w14:paraId="308036AD"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41BE648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lastRenderedPageBreak/>
        <w:t>OBJETIVO 1.1.1 Abatir la pobreza en todas sus vertientes y desde sus causas</w:t>
      </w:r>
    </w:p>
    <w:p w14:paraId="4023C5DE"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1.2.1 Lograr una cobertura universal en la educación obligatoria, mediante un modelo educativo de calidad con diversidad, equidad e igualdad de género que cuente con personal docente capacitado y profesionalizado</w:t>
      </w:r>
    </w:p>
    <w:p w14:paraId="376AB748"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2.1.1 Promover el empleo de calidad, inclusivo y bien remunerado, formado y capacitado para la empleabilidad, con igualdad de oportunidades para mujeres y hombres.</w:t>
      </w:r>
    </w:p>
    <w:p w14:paraId="140612A3"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2.1.2 Consolidar al estado como un destino favorable para la inversión extranjera</w:t>
      </w:r>
    </w:p>
    <w:p w14:paraId="4805A3A6"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2.1.3 Impulsar la internacionalización de la economía guanajuatense</w:t>
      </w:r>
    </w:p>
    <w:p w14:paraId="1B63E622"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2.2.1 Aprovechar las ventajas comparativas, locales y regionales, y activar las cadenas de valor que incluyen a las micro, pequeñas y medianas empresas locales que generan el desarrollo económico y social de sus comunidades</w:t>
      </w:r>
    </w:p>
    <w:p w14:paraId="62805D1F"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2.4.1 Consolidar un sector agroalimentario productivo, que garantice la seguridad alimentaria en el estado</w:t>
      </w:r>
    </w:p>
    <w:p w14:paraId="718165FF"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2.5.1 Fortalecer el sistema de innovación de Guanajuato y su articulación con las demandas productivas y sociales</w:t>
      </w:r>
    </w:p>
    <w:p w14:paraId="0C32CB85" w14:textId="77777777" w:rsidR="00794EB9" w:rsidRPr="00794EB9" w:rsidRDefault="00794EB9" w:rsidP="00794EB9">
      <w:pPr>
        <w:pStyle w:val="Prrafodelista"/>
        <w:ind w:left="1637"/>
        <w:jc w:val="both"/>
        <w:rPr>
          <w:rFonts w:ascii="Arial" w:hAnsi="Arial" w:cs="Arial"/>
          <w:sz w:val="22"/>
          <w:szCs w:val="22"/>
        </w:rPr>
      </w:pPr>
    </w:p>
    <w:p w14:paraId="13B665BE"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5769D4E2"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2.1 Economía formal y generadora de empleos de calidad. Consolidar los parques y zonas industriales a favor de la creación de empleos formales de calidad, inclusivos y de la equidad salarial.</w:t>
      </w:r>
    </w:p>
    <w:p w14:paraId="1218B80C" w14:textId="77777777" w:rsidR="00794EB9" w:rsidRPr="00794EB9" w:rsidRDefault="00794EB9" w:rsidP="00794EB9">
      <w:pPr>
        <w:pStyle w:val="Prrafodelista"/>
        <w:ind w:left="1637"/>
        <w:jc w:val="both"/>
        <w:rPr>
          <w:rFonts w:ascii="Arial" w:hAnsi="Arial" w:cs="Arial"/>
          <w:sz w:val="22"/>
          <w:szCs w:val="22"/>
        </w:rPr>
      </w:pPr>
    </w:p>
    <w:p w14:paraId="595964F2" w14:textId="77777777" w:rsidR="00794EB9" w:rsidRPr="00794EB9" w:rsidRDefault="00794EB9" w:rsidP="00794EB9">
      <w:pPr>
        <w:pStyle w:val="Prrafodelista"/>
        <w:ind w:left="1637"/>
        <w:jc w:val="both"/>
        <w:rPr>
          <w:rFonts w:ascii="Arial" w:hAnsi="Arial" w:cs="Arial"/>
          <w:sz w:val="22"/>
          <w:szCs w:val="22"/>
        </w:rPr>
      </w:pPr>
    </w:p>
    <w:p w14:paraId="558287C8"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57" w:type="dxa"/>
          <w:bottom w:w="57" w:type="dxa"/>
        </w:tblCellMar>
        <w:tblLook w:val="04A0" w:firstRow="1" w:lastRow="0" w:firstColumn="1" w:lastColumn="0" w:noHBand="0" w:noVBand="1"/>
      </w:tblPr>
      <w:tblGrid>
        <w:gridCol w:w="1718"/>
        <w:gridCol w:w="2184"/>
        <w:gridCol w:w="1464"/>
        <w:gridCol w:w="1617"/>
        <w:gridCol w:w="1845"/>
      </w:tblGrid>
      <w:tr w:rsidR="00794EB9" w:rsidRPr="00794EB9" w14:paraId="4116B882" w14:textId="77777777" w:rsidTr="00C307FB">
        <w:trPr>
          <w:trHeight w:val="57"/>
        </w:trPr>
        <w:tc>
          <w:tcPr>
            <w:tcW w:w="973" w:type="pct"/>
            <w:shd w:val="clear" w:color="auto" w:fill="E8E7E9"/>
            <w:vAlign w:val="center"/>
          </w:tcPr>
          <w:p w14:paraId="0B9FE4C4"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37" w:type="pct"/>
            <w:shd w:val="clear" w:color="auto" w:fill="E8E7E9"/>
            <w:vAlign w:val="center"/>
          </w:tcPr>
          <w:p w14:paraId="1017F644"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29" w:type="pct"/>
            <w:shd w:val="clear" w:color="auto" w:fill="E8E7E9"/>
            <w:vAlign w:val="center"/>
          </w:tcPr>
          <w:p w14:paraId="024F57FD"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6" w:type="pct"/>
            <w:shd w:val="clear" w:color="auto" w:fill="E8E7E9"/>
            <w:vAlign w:val="center"/>
          </w:tcPr>
          <w:p w14:paraId="38EF2AC0"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45" w:type="pct"/>
            <w:shd w:val="clear" w:color="auto" w:fill="E8E7E9"/>
            <w:vAlign w:val="center"/>
          </w:tcPr>
          <w:p w14:paraId="4A47D72D"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7352D2E6" w14:textId="77777777" w:rsidTr="00C307FB">
        <w:trPr>
          <w:trHeight w:val="57"/>
        </w:trPr>
        <w:tc>
          <w:tcPr>
            <w:tcW w:w="973" w:type="pct"/>
            <w:vAlign w:val="center"/>
          </w:tcPr>
          <w:p w14:paraId="1FB120EE"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bCs/>
                <w:sz w:val="22"/>
                <w:szCs w:val="22"/>
              </w:rPr>
              <w:t>Número de empleos formales</w:t>
            </w:r>
          </w:p>
        </w:tc>
        <w:tc>
          <w:tcPr>
            <w:tcW w:w="1237" w:type="pct"/>
            <w:vAlign w:val="center"/>
          </w:tcPr>
          <w:p w14:paraId="69490BCC"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promedio anual de trabajadores asegurados en el Instituto Mexicano del Seguro Social (IMSS) de enero a diciembre.</w:t>
            </w:r>
          </w:p>
        </w:tc>
        <w:tc>
          <w:tcPr>
            <w:tcW w:w="829" w:type="pct"/>
            <w:vAlign w:val="center"/>
          </w:tcPr>
          <w:p w14:paraId="325679E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381 mil 887 trabajadores asegurados</w:t>
            </w:r>
          </w:p>
        </w:tc>
        <w:tc>
          <w:tcPr>
            <w:tcW w:w="916" w:type="pct"/>
            <w:vAlign w:val="center"/>
          </w:tcPr>
          <w:p w14:paraId="3A90A416"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Asegurados. Datos abiertos del IMSS. 2020</w:t>
            </w:r>
          </w:p>
        </w:tc>
        <w:tc>
          <w:tcPr>
            <w:tcW w:w="1045" w:type="pct"/>
            <w:vAlign w:val="center"/>
          </w:tcPr>
          <w:p w14:paraId="59F3A6CC"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500 mil trabajadores asegurados</w:t>
            </w:r>
          </w:p>
        </w:tc>
      </w:tr>
      <w:tr w:rsidR="00794EB9" w:rsidRPr="00794EB9" w14:paraId="27659DA4" w14:textId="77777777" w:rsidTr="00C307FB">
        <w:trPr>
          <w:trHeight w:val="57"/>
        </w:trPr>
        <w:tc>
          <w:tcPr>
            <w:tcW w:w="973" w:type="pct"/>
            <w:vAlign w:val="center"/>
          </w:tcPr>
          <w:p w14:paraId="4B71A5E2"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Porcentaje de ocupación en los parques industriales</w:t>
            </w:r>
          </w:p>
        </w:tc>
        <w:tc>
          <w:tcPr>
            <w:tcW w:w="1237" w:type="pct"/>
            <w:vAlign w:val="center"/>
          </w:tcPr>
          <w:p w14:paraId="61F5B155"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 xml:space="preserve">Es el porcentaje del área que ocupan las empresas instaladas en  parques industriales, respecto al área total de los seis parques industriales (Stiva, </w:t>
            </w:r>
            <w:r w:rsidRPr="00794EB9">
              <w:rPr>
                <w:rFonts w:ascii="Arial" w:hAnsi="Arial" w:cs="Arial"/>
                <w:sz w:val="22"/>
                <w:szCs w:val="22"/>
              </w:rPr>
              <w:lastRenderedPageBreak/>
              <w:t>Colinas I,  Colinas II, PILBA, VYNMSA y Parque Sur).</w:t>
            </w:r>
          </w:p>
        </w:tc>
        <w:tc>
          <w:tcPr>
            <w:tcW w:w="829" w:type="pct"/>
            <w:vAlign w:val="center"/>
          </w:tcPr>
          <w:p w14:paraId="29A0E8B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lastRenderedPageBreak/>
              <w:t>33.15%</w:t>
            </w:r>
          </w:p>
        </w:tc>
        <w:tc>
          <w:tcPr>
            <w:tcW w:w="916" w:type="pct"/>
            <w:vAlign w:val="center"/>
          </w:tcPr>
          <w:p w14:paraId="1D0D72DA"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Dirección General de Economía</w:t>
            </w:r>
          </w:p>
          <w:p w14:paraId="27FBE705"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Mayo 2021</w:t>
            </w:r>
          </w:p>
        </w:tc>
        <w:tc>
          <w:tcPr>
            <w:tcW w:w="1045" w:type="pct"/>
            <w:vAlign w:val="center"/>
          </w:tcPr>
          <w:p w14:paraId="05DA6BC8"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 xml:space="preserve">Aumentar al 50% el total de ocupación </w:t>
            </w:r>
          </w:p>
        </w:tc>
      </w:tr>
      <w:tr w:rsidR="00794EB9" w:rsidRPr="00794EB9" w14:paraId="4E4E9AA1" w14:textId="77777777" w:rsidTr="00C307FB">
        <w:trPr>
          <w:trHeight w:val="57"/>
        </w:trPr>
        <w:tc>
          <w:tcPr>
            <w:tcW w:w="973" w:type="pct"/>
            <w:tcBorders>
              <w:bottom w:val="single" w:sz="4" w:space="0" w:color="auto"/>
            </w:tcBorders>
            <w:shd w:val="clear" w:color="auto" w:fill="auto"/>
            <w:vAlign w:val="center"/>
          </w:tcPr>
          <w:p w14:paraId="005D6916"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Número de unidades económicas en parques industriales</w:t>
            </w:r>
          </w:p>
        </w:tc>
        <w:tc>
          <w:tcPr>
            <w:tcW w:w="1237" w:type="pct"/>
            <w:tcBorders>
              <w:bottom w:val="single" w:sz="4" w:space="0" w:color="auto"/>
            </w:tcBorders>
            <w:shd w:val="clear" w:color="auto" w:fill="auto"/>
            <w:vAlign w:val="center"/>
          </w:tcPr>
          <w:p w14:paraId="1A950F91"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el número total de empresas instaladas en los parques industriales.</w:t>
            </w:r>
          </w:p>
        </w:tc>
        <w:tc>
          <w:tcPr>
            <w:tcW w:w="829" w:type="pct"/>
            <w:tcBorders>
              <w:bottom w:val="single" w:sz="4" w:space="0" w:color="auto"/>
            </w:tcBorders>
            <w:shd w:val="clear" w:color="auto" w:fill="auto"/>
            <w:vAlign w:val="center"/>
          </w:tcPr>
          <w:p w14:paraId="6382E559"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45 empresas</w:t>
            </w:r>
          </w:p>
        </w:tc>
        <w:tc>
          <w:tcPr>
            <w:tcW w:w="916" w:type="pct"/>
            <w:tcBorders>
              <w:bottom w:val="single" w:sz="4" w:space="0" w:color="auto"/>
            </w:tcBorders>
            <w:shd w:val="clear" w:color="auto" w:fill="auto"/>
            <w:vAlign w:val="center"/>
          </w:tcPr>
          <w:p w14:paraId="2FA56DF7"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Dirección General de Economía</w:t>
            </w:r>
          </w:p>
          <w:p w14:paraId="78787897"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Mayo 2021</w:t>
            </w:r>
          </w:p>
        </w:tc>
        <w:tc>
          <w:tcPr>
            <w:tcW w:w="1045" w:type="pct"/>
            <w:tcBorders>
              <w:bottom w:val="single" w:sz="4" w:space="0" w:color="auto"/>
            </w:tcBorders>
          </w:tcPr>
          <w:p w14:paraId="40B72D38"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65 empresas instaladas en los parques industriales</w:t>
            </w:r>
          </w:p>
        </w:tc>
      </w:tr>
      <w:tr w:rsidR="00794EB9" w:rsidRPr="00794EB9" w14:paraId="497B82F1" w14:textId="77777777" w:rsidTr="00C307FB">
        <w:trPr>
          <w:trHeight w:val="57"/>
        </w:trPr>
        <w:tc>
          <w:tcPr>
            <w:tcW w:w="973" w:type="pct"/>
            <w:tcBorders>
              <w:bottom w:val="single" w:sz="4" w:space="0" w:color="auto"/>
            </w:tcBorders>
            <w:vAlign w:val="center"/>
          </w:tcPr>
          <w:p w14:paraId="388EF1CC"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bCs/>
                <w:sz w:val="22"/>
                <w:szCs w:val="22"/>
              </w:rPr>
              <w:t>Tasa de informalidad laboral</w:t>
            </w:r>
          </w:p>
        </w:tc>
        <w:tc>
          <w:tcPr>
            <w:tcW w:w="1237" w:type="pct"/>
            <w:tcBorders>
              <w:bottom w:val="single" w:sz="4" w:space="0" w:color="auto"/>
            </w:tcBorders>
            <w:shd w:val="clear" w:color="auto" w:fill="auto"/>
          </w:tcPr>
          <w:p w14:paraId="5EDEFABF"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el porcentaje de la población ocupada que es laboralmente vulnerable por la naturaleza de la unidad económica para la que trabaja y aquellos cuyo vínculo laboral no es reconocido por su fuente de trabajo.</w:t>
            </w:r>
          </w:p>
        </w:tc>
        <w:tc>
          <w:tcPr>
            <w:tcW w:w="829" w:type="pct"/>
            <w:tcBorders>
              <w:bottom w:val="single" w:sz="4" w:space="0" w:color="auto"/>
            </w:tcBorders>
            <w:vAlign w:val="center"/>
          </w:tcPr>
          <w:p w14:paraId="2B4650D9"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47.30%</w:t>
            </w:r>
          </w:p>
        </w:tc>
        <w:tc>
          <w:tcPr>
            <w:tcW w:w="916" w:type="pct"/>
            <w:tcBorders>
              <w:bottom w:val="single" w:sz="4" w:space="0" w:color="auto"/>
            </w:tcBorders>
            <w:vAlign w:val="center"/>
          </w:tcPr>
          <w:p w14:paraId="4398580B"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Encuesta Nacional de Ocupación y Empleo (ENOE). Cuarto trimestre 2020</w:t>
            </w:r>
          </w:p>
        </w:tc>
        <w:tc>
          <w:tcPr>
            <w:tcW w:w="1045" w:type="pct"/>
            <w:tcBorders>
              <w:bottom w:val="single" w:sz="4" w:space="0" w:color="auto"/>
            </w:tcBorders>
            <w:vAlign w:val="center"/>
          </w:tcPr>
          <w:p w14:paraId="46767536"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al 44.5% la Tasa de informalidad laboral</w:t>
            </w:r>
          </w:p>
        </w:tc>
      </w:tr>
    </w:tbl>
    <w:p w14:paraId="225B27BA" w14:textId="77777777" w:rsidR="00794EB9" w:rsidRPr="00794EB9" w:rsidRDefault="00794EB9" w:rsidP="00794EB9">
      <w:pPr>
        <w:jc w:val="both"/>
        <w:rPr>
          <w:rFonts w:ascii="Arial" w:hAnsi="Arial" w:cs="Arial"/>
          <w:b/>
          <w:sz w:val="22"/>
          <w:szCs w:val="22"/>
        </w:rPr>
      </w:pPr>
    </w:p>
    <w:p w14:paraId="1E0FCBAF"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2.2 Desarrollo rural sustentable. Aumentar la productividad y la eficiencia del sector agroalimentario, consolidando un modelo de desarrollo rural sostenible, incluyente y articulado.</w:t>
      </w:r>
    </w:p>
    <w:p w14:paraId="5F05CC7E"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57" w:type="dxa"/>
          <w:bottom w:w="57" w:type="dxa"/>
        </w:tblCellMar>
        <w:tblLook w:val="04A0" w:firstRow="1" w:lastRow="0" w:firstColumn="1" w:lastColumn="0" w:noHBand="0" w:noVBand="1"/>
      </w:tblPr>
      <w:tblGrid>
        <w:gridCol w:w="1708"/>
        <w:gridCol w:w="2124"/>
        <w:gridCol w:w="1439"/>
        <w:gridCol w:w="1757"/>
        <w:gridCol w:w="1800"/>
      </w:tblGrid>
      <w:tr w:rsidR="00794EB9" w:rsidRPr="00794EB9" w14:paraId="029E08E1" w14:textId="77777777" w:rsidTr="00C307FB">
        <w:trPr>
          <w:trHeight w:val="57"/>
        </w:trPr>
        <w:tc>
          <w:tcPr>
            <w:tcW w:w="973" w:type="pct"/>
            <w:tcBorders>
              <w:top w:val="single" w:sz="4" w:space="0" w:color="auto"/>
            </w:tcBorders>
            <w:shd w:val="clear" w:color="auto" w:fill="E8E7E9"/>
            <w:vAlign w:val="center"/>
          </w:tcPr>
          <w:p w14:paraId="7C82E865"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37" w:type="pct"/>
            <w:tcBorders>
              <w:top w:val="single" w:sz="4" w:space="0" w:color="auto"/>
            </w:tcBorders>
            <w:shd w:val="clear" w:color="auto" w:fill="E8E7E9"/>
            <w:vAlign w:val="center"/>
          </w:tcPr>
          <w:p w14:paraId="451A56BD"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29" w:type="pct"/>
            <w:tcBorders>
              <w:top w:val="single" w:sz="4" w:space="0" w:color="auto"/>
            </w:tcBorders>
            <w:shd w:val="clear" w:color="auto" w:fill="E8E7E9"/>
            <w:vAlign w:val="center"/>
          </w:tcPr>
          <w:p w14:paraId="1E7E67CE"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6" w:type="pct"/>
            <w:tcBorders>
              <w:top w:val="single" w:sz="4" w:space="0" w:color="auto"/>
            </w:tcBorders>
            <w:shd w:val="clear" w:color="auto" w:fill="E8E7E9"/>
            <w:vAlign w:val="center"/>
          </w:tcPr>
          <w:p w14:paraId="726106D3"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45" w:type="pct"/>
            <w:tcBorders>
              <w:top w:val="single" w:sz="4" w:space="0" w:color="auto"/>
            </w:tcBorders>
            <w:shd w:val="clear" w:color="auto" w:fill="E8E7E9"/>
            <w:vAlign w:val="center"/>
          </w:tcPr>
          <w:p w14:paraId="0F4FC750" w14:textId="77777777" w:rsidR="00794EB9" w:rsidRPr="00794EB9" w:rsidRDefault="00794EB9" w:rsidP="00C307FB">
            <w:pPr>
              <w:ind w:hanging="2"/>
              <w:jc w:val="center"/>
              <w:rPr>
                <w:rFonts w:ascii="Arial" w:hAnsi="Arial" w:cs="Arial"/>
                <w:b/>
                <w:sz w:val="22"/>
                <w:szCs w:val="22"/>
              </w:rPr>
            </w:pPr>
            <w:r w:rsidRPr="00794EB9">
              <w:rPr>
                <w:rFonts w:ascii="Arial" w:hAnsi="Arial" w:cs="Arial"/>
                <w:b/>
                <w:sz w:val="22"/>
                <w:szCs w:val="22"/>
              </w:rPr>
              <w:t>Meta 2030</w:t>
            </w:r>
          </w:p>
        </w:tc>
      </w:tr>
      <w:tr w:rsidR="00794EB9" w:rsidRPr="00794EB9" w14:paraId="36A5359D" w14:textId="77777777" w:rsidTr="00C307FB">
        <w:trPr>
          <w:trHeight w:val="57"/>
        </w:trPr>
        <w:tc>
          <w:tcPr>
            <w:tcW w:w="973" w:type="pct"/>
            <w:tcBorders>
              <w:top w:val="single" w:sz="4" w:space="0" w:color="auto"/>
            </w:tcBorders>
            <w:vAlign w:val="center"/>
          </w:tcPr>
          <w:p w14:paraId="03C757CA"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bCs/>
                <w:sz w:val="22"/>
                <w:szCs w:val="22"/>
              </w:rPr>
              <w:t>Valor de la producción agrícola de riego</w:t>
            </w:r>
          </w:p>
        </w:tc>
        <w:tc>
          <w:tcPr>
            <w:tcW w:w="1237" w:type="pct"/>
            <w:tcBorders>
              <w:top w:val="single" w:sz="4" w:space="0" w:color="auto"/>
            </w:tcBorders>
            <w:vAlign w:val="center"/>
          </w:tcPr>
          <w:p w14:paraId="117F8EC5"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valor de la producción agrícola de riego de un año.</w:t>
            </w:r>
          </w:p>
        </w:tc>
        <w:tc>
          <w:tcPr>
            <w:tcW w:w="829" w:type="pct"/>
            <w:tcBorders>
              <w:top w:val="single" w:sz="4" w:space="0" w:color="auto"/>
            </w:tcBorders>
            <w:vAlign w:val="center"/>
          </w:tcPr>
          <w:p w14:paraId="6594D061"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543 millones 514 mil 800 pesos</w:t>
            </w:r>
          </w:p>
        </w:tc>
        <w:tc>
          <w:tcPr>
            <w:tcW w:w="916" w:type="pct"/>
            <w:tcBorders>
              <w:top w:val="single" w:sz="4" w:space="0" w:color="auto"/>
            </w:tcBorders>
            <w:vAlign w:val="center"/>
          </w:tcPr>
          <w:p w14:paraId="190B0C5E"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SAGARPA. Sistema de Información Agroalimentaria y Pesquera. 2019</w:t>
            </w:r>
          </w:p>
        </w:tc>
        <w:tc>
          <w:tcPr>
            <w:tcW w:w="1045" w:type="pct"/>
            <w:tcBorders>
              <w:top w:val="single" w:sz="4" w:space="0" w:color="auto"/>
            </w:tcBorders>
            <w:vAlign w:val="center"/>
          </w:tcPr>
          <w:p w14:paraId="57E63C54"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585 millones de pesos</w:t>
            </w:r>
          </w:p>
        </w:tc>
      </w:tr>
      <w:tr w:rsidR="00794EB9" w:rsidRPr="00794EB9" w14:paraId="60479F6F" w14:textId="77777777" w:rsidTr="00C307FB">
        <w:trPr>
          <w:trHeight w:val="57"/>
        </w:trPr>
        <w:tc>
          <w:tcPr>
            <w:tcW w:w="973" w:type="pct"/>
            <w:tcBorders>
              <w:bottom w:val="single" w:sz="4" w:space="0" w:color="auto"/>
            </w:tcBorders>
            <w:vAlign w:val="center"/>
          </w:tcPr>
          <w:p w14:paraId="7B068C5E"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bCs/>
                <w:sz w:val="22"/>
                <w:szCs w:val="22"/>
              </w:rPr>
              <w:t>Valor de las exportaciones del sector agroindustrial</w:t>
            </w:r>
          </w:p>
        </w:tc>
        <w:tc>
          <w:tcPr>
            <w:tcW w:w="1237" w:type="pct"/>
            <w:tcBorders>
              <w:bottom w:val="single" w:sz="4" w:space="0" w:color="auto"/>
            </w:tcBorders>
            <w:vAlign w:val="center"/>
          </w:tcPr>
          <w:p w14:paraId="4543E52A"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Monto de las exportaciones del sector agroindustrial.</w:t>
            </w:r>
          </w:p>
        </w:tc>
        <w:tc>
          <w:tcPr>
            <w:tcW w:w="829" w:type="pct"/>
            <w:tcBorders>
              <w:bottom w:val="single" w:sz="4" w:space="0" w:color="auto"/>
            </w:tcBorders>
            <w:vAlign w:val="center"/>
          </w:tcPr>
          <w:p w14:paraId="58BB4F3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13.3 millones de dólares</w:t>
            </w:r>
          </w:p>
        </w:tc>
        <w:tc>
          <w:tcPr>
            <w:tcW w:w="916" w:type="pct"/>
            <w:tcBorders>
              <w:bottom w:val="single" w:sz="4" w:space="0" w:color="auto"/>
            </w:tcBorders>
            <w:vAlign w:val="center"/>
          </w:tcPr>
          <w:p w14:paraId="24DA5AA7"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Coordinadora de Fomento al Comercio Exterior. Primer semestre 2020</w:t>
            </w:r>
          </w:p>
        </w:tc>
        <w:tc>
          <w:tcPr>
            <w:tcW w:w="1045" w:type="pct"/>
            <w:tcBorders>
              <w:bottom w:val="single" w:sz="4" w:space="0" w:color="auto"/>
            </w:tcBorders>
            <w:vAlign w:val="center"/>
          </w:tcPr>
          <w:p w14:paraId="67D48D8F"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19 millones de dólares</w:t>
            </w:r>
          </w:p>
        </w:tc>
      </w:tr>
      <w:tr w:rsidR="00794EB9" w:rsidRPr="00794EB9" w14:paraId="1ED504E9" w14:textId="77777777" w:rsidTr="00C307FB">
        <w:trPr>
          <w:trHeight w:val="57"/>
        </w:trPr>
        <w:tc>
          <w:tcPr>
            <w:tcW w:w="973" w:type="pct"/>
            <w:tcBorders>
              <w:bottom w:val="single" w:sz="4" w:space="0" w:color="auto"/>
            </w:tcBorders>
            <w:vAlign w:val="center"/>
          </w:tcPr>
          <w:p w14:paraId="36BC4229"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bCs/>
                <w:sz w:val="22"/>
                <w:szCs w:val="22"/>
              </w:rPr>
              <w:t>Valor de la producción de carne en canal y otros productos de origen animal</w:t>
            </w:r>
          </w:p>
        </w:tc>
        <w:tc>
          <w:tcPr>
            <w:tcW w:w="1237" w:type="pct"/>
            <w:tcBorders>
              <w:bottom w:val="single" w:sz="4" w:space="0" w:color="auto"/>
            </w:tcBorders>
            <w:vAlign w:val="center"/>
          </w:tcPr>
          <w:p w14:paraId="6F42FAC1"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valor de la producción de carne en canal de bovino, porcino, ovino, caprino y aves, además de leche, huevo y miel, de un año.</w:t>
            </w:r>
          </w:p>
        </w:tc>
        <w:tc>
          <w:tcPr>
            <w:tcW w:w="829" w:type="pct"/>
            <w:tcBorders>
              <w:bottom w:val="single" w:sz="4" w:space="0" w:color="auto"/>
            </w:tcBorders>
            <w:vAlign w:val="center"/>
          </w:tcPr>
          <w:p w14:paraId="779AB279"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706 millones 969 mil 400 pesos</w:t>
            </w:r>
          </w:p>
        </w:tc>
        <w:tc>
          <w:tcPr>
            <w:tcW w:w="916" w:type="pct"/>
            <w:tcBorders>
              <w:bottom w:val="single" w:sz="4" w:space="0" w:color="auto"/>
            </w:tcBorders>
            <w:vAlign w:val="center"/>
          </w:tcPr>
          <w:p w14:paraId="04BDCF9C"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SAGARPA. Sistema de Información Agroalimentaria y Pesquera. 2019</w:t>
            </w:r>
          </w:p>
        </w:tc>
        <w:tc>
          <w:tcPr>
            <w:tcW w:w="1045" w:type="pct"/>
            <w:tcBorders>
              <w:bottom w:val="single" w:sz="4" w:space="0" w:color="auto"/>
            </w:tcBorders>
            <w:vAlign w:val="center"/>
          </w:tcPr>
          <w:p w14:paraId="00D24CB2"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830 millones de pesos</w:t>
            </w:r>
          </w:p>
        </w:tc>
      </w:tr>
      <w:tr w:rsidR="00794EB9" w:rsidRPr="00794EB9" w14:paraId="69367D5F" w14:textId="77777777" w:rsidTr="00C307FB">
        <w:trPr>
          <w:trHeight w:val="57"/>
        </w:trPr>
        <w:tc>
          <w:tcPr>
            <w:tcW w:w="973" w:type="pct"/>
            <w:tcBorders>
              <w:bottom w:val="single" w:sz="4" w:space="0" w:color="auto"/>
            </w:tcBorders>
            <w:vAlign w:val="center"/>
          </w:tcPr>
          <w:p w14:paraId="6D2A139E"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bCs/>
                <w:sz w:val="22"/>
                <w:szCs w:val="22"/>
              </w:rPr>
              <w:lastRenderedPageBreak/>
              <w:t>Número de trabajadores asegurados en el sector primario</w:t>
            </w:r>
          </w:p>
        </w:tc>
        <w:tc>
          <w:tcPr>
            <w:tcW w:w="1237" w:type="pct"/>
            <w:tcBorders>
              <w:bottom w:val="single" w:sz="4" w:space="0" w:color="auto"/>
            </w:tcBorders>
            <w:vAlign w:val="center"/>
          </w:tcPr>
          <w:p w14:paraId="023F89DA"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el promedio anual de trabajadores asegurados en el IMSS en el sector agricultura, ganadería y silvicultura.</w:t>
            </w:r>
          </w:p>
        </w:tc>
        <w:tc>
          <w:tcPr>
            <w:tcW w:w="829" w:type="pct"/>
            <w:tcBorders>
              <w:bottom w:val="single" w:sz="4" w:space="0" w:color="auto"/>
            </w:tcBorders>
            <w:vAlign w:val="center"/>
          </w:tcPr>
          <w:p w14:paraId="5A982C36"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3 mil 556 trabajadores asegurados</w:t>
            </w:r>
          </w:p>
        </w:tc>
        <w:tc>
          <w:tcPr>
            <w:tcW w:w="916" w:type="pct"/>
            <w:tcBorders>
              <w:bottom w:val="single" w:sz="4" w:space="0" w:color="auto"/>
            </w:tcBorders>
            <w:vAlign w:val="center"/>
          </w:tcPr>
          <w:p w14:paraId="1AE5006B"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IMSS. Datos abiertos.  2020</w:t>
            </w:r>
          </w:p>
        </w:tc>
        <w:tc>
          <w:tcPr>
            <w:tcW w:w="1045" w:type="pct"/>
            <w:tcBorders>
              <w:bottom w:val="single" w:sz="4" w:space="0" w:color="auto"/>
            </w:tcBorders>
            <w:vAlign w:val="center"/>
          </w:tcPr>
          <w:p w14:paraId="5E4DC975"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5 mil 500 trabajadores asegurados</w:t>
            </w:r>
          </w:p>
        </w:tc>
      </w:tr>
    </w:tbl>
    <w:p w14:paraId="6A74869E" w14:textId="77777777" w:rsidR="00794EB9" w:rsidRPr="00794EB9" w:rsidRDefault="00794EB9" w:rsidP="00794EB9">
      <w:pPr>
        <w:jc w:val="both"/>
        <w:rPr>
          <w:rFonts w:ascii="Arial" w:hAnsi="Arial" w:cs="Arial"/>
          <w:b/>
          <w:sz w:val="22"/>
          <w:szCs w:val="22"/>
        </w:rPr>
      </w:pPr>
    </w:p>
    <w:p w14:paraId="135D44D3"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2.3 Entorno para el emprendimiento y la innovación. Fomentar la inversión en la innovación, el desarrollo tecnológico y el emprendimiento como ente principal de competitividad.</w:t>
      </w:r>
    </w:p>
    <w:p w14:paraId="7C261BEE"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57" w:type="dxa"/>
          <w:bottom w:w="57" w:type="dxa"/>
        </w:tblCellMar>
        <w:tblLook w:val="04A0" w:firstRow="1" w:lastRow="0" w:firstColumn="1" w:lastColumn="0" w:noHBand="0" w:noVBand="1"/>
      </w:tblPr>
      <w:tblGrid>
        <w:gridCol w:w="1831"/>
        <w:gridCol w:w="2107"/>
        <w:gridCol w:w="1390"/>
        <w:gridCol w:w="1733"/>
        <w:gridCol w:w="1767"/>
      </w:tblGrid>
      <w:tr w:rsidR="00794EB9" w:rsidRPr="00794EB9" w14:paraId="1AE0B5C9" w14:textId="77777777" w:rsidTr="00C307FB">
        <w:trPr>
          <w:trHeight w:val="57"/>
        </w:trPr>
        <w:tc>
          <w:tcPr>
            <w:tcW w:w="973" w:type="pct"/>
            <w:tcBorders>
              <w:top w:val="single" w:sz="4" w:space="0" w:color="auto"/>
            </w:tcBorders>
            <w:shd w:val="clear" w:color="auto" w:fill="E8E7E9"/>
            <w:vAlign w:val="center"/>
          </w:tcPr>
          <w:p w14:paraId="5D0A6C06"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37" w:type="pct"/>
            <w:tcBorders>
              <w:top w:val="single" w:sz="4" w:space="0" w:color="auto"/>
            </w:tcBorders>
            <w:shd w:val="clear" w:color="auto" w:fill="E8E7E9"/>
            <w:vAlign w:val="center"/>
          </w:tcPr>
          <w:p w14:paraId="73DF180A"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29" w:type="pct"/>
            <w:tcBorders>
              <w:top w:val="single" w:sz="4" w:space="0" w:color="auto"/>
            </w:tcBorders>
            <w:shd w:val="clear" w:color="auto" w:fill="E8E7E9"/>
            <w:vAlign w:val="center"/>
          </w:tcPr>
          <w:p w14:paraId="50AA2D1F"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6" w:type="pct"/>
            <w:tcBorders>
              <w:top w:val="single" w:sz="4" w:space="0" w:color="auto"/>
            </w:tcBorders>
            <w:shd w:val="clear" w:color="auto" w:fill="E8E7E9"/>
            <w:vAlign w:val="center"/>
          </w:tcPr>
          <w:p w14:paraId="2B91D0E9"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45" w:type="pct"/>
            <w:tcBorders>
              <w:top w:val="single" w:sz="4" w:space="0" w:color="auto"/>
            </w:tcBorders>
            <w:shd w:val="clear" w:color="auto" w:fill="E8E7E9"/>
            <w:vAlign w:val="center"/>
          </w:tcPr>
          <w:p w14:paraId="14083B89"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074D7030" w14:textId="77777777" w:rsidTr="00C307FB">
        <w:trPr>
          <w:trHeight w:val="57"/>
        </w:trPr>
        <w:tc>
          <w:tcPr>
            <w:tcW w:w="973" w:type="pct"/>
            <w:tcBorders>
              <w:top w:val="single" w:sz="4" w:space="0" w:color="auto"/>
            </w:tcBorders>
            <w:vAlign w:val="center"/>
          </w:tcPr>
          <w:p w14:paraId="39AAB0A5"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 xml:space="preserve">Posición en la tabla del subíndice de Innovación </w:t>
            </w:r>
          </w:p>
        </w:tc>
        <w:tc>
          <w:tcPr>
            <w:tcW w:w="1237" w:type="pct"/>
            <w:tcBorders>
              <w:top w:val="single" w:sz="4" w:space="0" w:color="auto"/>
            </w:tcBorders>
            <w:vAlign w:val="center"/>
          </w:tcPr>
          <w:p w14:paraId="64476E80"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Este indicador es un subíndice del Índice de competitividad Urbana (ICU) que mide la capacidad para competir en sectores de alto valor agregado, intensivos en conocimiento y tecnología de punta. Se considera la habilidad para generar y aplicar conocimiento nuevo.</w:t>
            </w:r>
          </w:p>
        </w:tc>
        <w:tc>
          <w:tcPr>
            <w:tcW w:w="829" w:type="pct"/>
            <w:tcBorders>
              <w:top w:val="single" w:sz="4" w:space="0" w:color="auto"/>
            </w:tcBorders>
            <w:vAlign w:val="center"/>
          </w:tcPr>
          <w:p w14:paraId="2367060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Posición 11 de las 15 ciudades con más de un millón de habitantes</w:t>
            </w:r>
          </w:p>
        </w:tc>
        <w:tc>
          <w:tcPr>
            <w:tcW w:w="916" w:type="pct"/>
            <w:tcBorders>
              <w:top w:val="single" w:sz="4" w:space="0" w:color="auto"/>
            </w:tcBorders>
            <w:vAlign w:val="center"/>
          </w:tcPr>
          <w:p w14:paraId="426033F5"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Instituto Mexicano para la Competitividad, A.C. 2020</w:t>
            </w:r>
          </w:p>
        </w:tc>
        <w:tc>
          <w:tcPr>
            <w:tcW w:w="1045" w:type="pct"/>
            <w:tcBorders>
              <w:top w:val="single" w:sz="4" w:space="0" w:color="auto"/>
            </w:tcBorders>
            <w:vAlign w:val="center"/>
          </w:tcPr>
          <w:p w14:paraId="7FB614EB"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posiciones en la tabla para estar en las  primeras 5 de las 15 ciudades con más de un millón de habitantes</w:t>
            </w:r>
          </w:p>
        </w:tc>
      </w:tr>
      <w:tr w:rsidR="00794EB9" w:rsidRPr="00794EB9" w14:paraId="623EB507" w14:textId="77777777" w:rsidTr="00C307FB">
        <w:trPr>
          <w:trHeight w:val="57"/>
        </w:trPr>
        <w:tc>
          <w:tcPr>
            <w:tcW w:w="973" w:type="pct"/>
            <w:tcBorders>
              <w:top w:val="single" w:sz="4" w:space="0" w:color="auto"/>
            </w:tcBorders>
            <w:vAlign w:val="center"/>
          </w:tcPr>
          <w:p w14:paraId="40D59BCF"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 xml:space="preserve">Número de Microempresas </w:t>
            </w:r>
          </w:p>
        </w:tc>
        <w:tc>
          <w:tcPr>
            <w:tcW w:w="1237" w:type="pct"/>
            <w:tcBorders>
              <w:top w:val="single" w:sz="4" w:space="0" w:color="auto"/>
            </w:tcBorders>
            <w:vAlign w:val="center"/>
          </w:tcPr>
          <w:p w14:paraId="5DC71AC8"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el número de unidades económicas que emplean de 0 a 10 personas.</w:t>
            </w:r>
          </w:p>
        </w:tc>
        <w:tc>
          <w:tcPr>
            <w:tcW w:w="829" w:type="pct"/>
            <w:tcBorders>
              <w:top w:val="single" w:sz="4" w:space="0" w:color="auto"/>
            </w:tcBorders>
            <w:vAlign w:val="center"/>
          </w:tcPr>
          <w:p w14:paraId="3A5B488B"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67 mil 498 unidades económicas</w:t>
            </w:r>
          </w:p>
        </w:tc>
        <w:tc>
          <w:tcPr>
            <w:tcW w:w="916" w:type="pct"/>
            <w:tcBorders>
              <w:top w:val="single" w:sz="4" w:space="0" w:color="auto"/>
            </w:tcBorders>
            <w:vAlign w:val="center"/>
          </w:tcPr>
          <w:p w14:paraId="5AFAC6D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Censos Económicos. 2019</w:t>
            </w:r>
          </w:p>
        </w:tc>
        <w:tc>
          <w:tcPr>
            <w:tcW w:w="1045" w:type="pct"/>
            <w:tcBorders>
              <w:top w:val="single" w:sz="4" w:space="0" w:color="auto"/>
            </w:tcBorders>
            <w:vAlign w:val="center"/>
          </w:tcPr>
          <w:p w14:paraId="61AA6DAF"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75 mil 000 unidades económicas</w:t>
            </w:r>
          </w:p>
        </w:tc>
      </w:tr>
      <w:tr w:rsidR="00794EB9" w:rsidRPr="00794EB9" w14:paraId="73B2BA3F" w14:textId="77777777" w:rsidTr="00C307FB">
        <w:trPr>
          <w:trHeight w:val="57"/>
        </w:trPr>
        <w:tc>
          <w:tcPr>
            <w:tcW w:w="973" w:type="pct"/>
            <w:tcBorders>
              <w:bottom w:val="single" w:sz="4" w:space="0" w:color="auto"/>
            </w:tcBorders>
            <w:vAlign w:val="center"/>
          </w:tcPr>
          <w:p w14:paraId="1AB3C14F"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 xml:space="preserve">Número de Pequeñas y Medianas empresas (PYMES) </w:t>
            </w:r>
          </w:p>
        </w:tc>
        <w:tc>
          <w:tcPr>
            <w:tcW w:w="1237" w:type="pct"/>
            <w:tcBorders>
              <w:bottom w:val="single" w:sz="4" w:space="0" w:color="auto"/>
            </w:tcBorders>
            <w:vAlign w:val="center"/>
          </w:tcPr>
          <w:p w14:paraId="7D0BBF86"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el número de unidades económicas que emplean de 11 a 50 personas (pequeñas empresas) y de 51 a 250 personas (medianas empresas).</w:t>
            </w:r>
          </w:p>
        </w:tc>
        <w:tc>
          <w:tcPr>
            <w:tcW w:w="829" w:type="pct"/>
            <w:tcBorders>
              <w:bottom w:val="single" w:sz="4" w:space="0" w:color="auto"/>
            </w:tcBorders>
            <w:vAlign w:val="center"/>
          </w:tcPr>
          <w:p w14:paraId="46BF70F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5 mil 218 unidades económicas</w:t>
            </w:r>
          </w:p>
        </w:tc>
        <w:tc>
          <w:tcPr>
            <w:tcW w:w="916" w:type="pct"/>
            <w:tcBorders>
              <w:bottom w:val="single" w:sz="4" w:space="0" w:color="auto"/>
            </w:tcBorders>
            <w:vAlign w:val="center"/>
          </w:tcPr>
          <w:p w14:paraId="395E76B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Censos Económicos. 2019</w:t>
            </w:r>
          </w:p>
        </w:tc>
        <w:tc>
          <w:tcPr>
            <w:tcW w:w="1045" w:type="pct"/>
            <w:tcBorders>
              <w:bottom w:val="single" w:sz="4" w:space="0" w:color="auto"/>
            </w:tcBorders>
            <w:vAlign w:val="center"/>
          </w:tcPr>
          <w:p w14:paraId="77FE593F"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6 mil 500 unidades económicas</w:t>
            </w:r>
          </w:p>
        </w:tc>
      </w:tr>
      <w:tr w:rsidR="00794EB9" w:rsidRPr="00794EB9" w14:paraId="4F669DD4" w14:textId="77777777" w:rsidTr="00C307FB">
        <w:trPr>
          <w:trHeight w:val="57"/>
        </w:trPr>
        <w:tc>
          <w:tcPr>
            <w:tcW w:w="973" w:type="pct"/>
            <w:tcBorders>
              <w:bottom w:val="single" w:sz="4" w:space="0" w:color="auto"/>
            </w:tcBorders>
            <w:vAlign w:val="center"/>
          </w:tcPr>
          <w:p w14:paraId="2AA0068A"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lastRenderedPageBreak/>
              <w:t xml:space="preserve">Número de grandes empresas </w:t>
            </w:r>
          </w:p>
        </w:tc>
        <w:tc>
          <w:tcPr>
            <w:tcW w:w="1237" w:type="pct"/>
            <w:tcBorders>
              <w:bottom w:val="single" w:sz="4" w:space="0" w:color="auto"/>
            </w:tcBorders>
            <w:vAlign w:val="center"/>
          </w:tcPr>
          <w:p w14:paraId="58279527"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el número de unidades económicas que emplean a 251 y más personas.</w:t>
            </w:r>
          </w:p>
        </w:tc>
        <w:tc>
          <w:tcPr>
            <w:tcW w:w="829" w:type="pct"/>
            <w:tcBorders>
              <w:bottom w:val="single" w:sz="4" w:space="0" w:color="auto"/>
            </w:tcBorders>
            <w:vAlign w:val="center"/>
          </w:tcPr>
          <w:p w14:paraId="0191DBC7"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218 unidades económicas</w:t>
            </w:r>
          </w:p>
        </w:tc>
        <w:tc>
          <w:tcPr>
            <w:tcW w:w="916" w:type="pct"/>
            <w:tcBorders>
              <w:bottom w:val="single" w:sz="4" w:space="0" w:color="auto"/>
            </w:tcBorders>
            <w:vAlign w:val="center"/>
          </w:tcPr>
          <w:p w14:paraId="53A9164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Censos Económicos. 2019</w:t>
            </w:r>
          </w:p>
        </w:tc>
        <w:tc>
          <w:tcPr>
            <w:tcW w:w="1045" w:type="pct"/>
            <w:tcBorders>
              <w:bottom w:val="single" w:sz="4" w:space="0" w:color="auto"/>
            </w:tcBorders>
            <w:vAlign w:val="center"/>
          </w:tcPr>
          <w:p w14:paraId="18C818A8"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300 unidades económicas</w:t>
            </w:r>
          </w:p>
        </w:tc>
      </w:tr>
    </w:tbl>
    <w:p w14:paraId="2EC19BB8" w14:textId="77777777" w:rsidR="00794EB9" w:rsidRPr="00794EB9" w:rsidRDefault="00794EB9" w:rsidP="00794EB9">
      <w:pPr>
        <w:jc w:val="both"/>
        <w:rPr>
          <w:rFonts w:ascii="Arial" w:hAnsi="Arial" w:cs="Arial"/>
          <w:b/>
          <w:sz w:val="22"/>
          <w:szCs w:val="22"/>
        </w:rPr>
      </w:pPr>
    </w:p>
    <w:p w14:paraId="547FA32E"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2.4 Fortalecimiento de sectores estratégicos y de la economía local. Impulsar los sectores que muestran un alto potencial de desarrollo favoreciendo la diversificación y el fortalecimiento de la economía local.</w:t>
      </w:r>
    </w:p>
    <w:p w14:paraId="3FA40489"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57" w:type="dxa"/>
          <w:bottom w:w="57" w:type="dxa"/>
        </w:tblCellMar>
        <w:tblLook w:val="04A0" w:firstRow="1" w:lastRow="0" w:firstColumn="1" w:lastColumn="0" w:noHBand="0" w:noVBand="1"/>
      </w:tblPr>
      <w:tblGrid>
        <w:gridCol w:w="1720"/>
        <w:gridCol w:w="2183"/>
        <w:gridCol w:w="1463"/>
        <w:gridCol w:w="1617"/>
        <w:gridCol w:w="1845"/>
      </w:tblGrid>
      <w:tr w:rsidR="00794EB9" w:rsidRPr="00794EB9" w14:paraId="30CFB1E8" w14:textId="77777777" w:rsidTr="00C307FB">
        <w:trPr>
          <w:trHeight w:val="57"/>
        </w:trPr>
        <w:tc>
          <w:tcPr>
            <w:tcW w:w="973" w:type="pct"/>
            <w:tcBorders>
              <w:top w:val="single" w:sz="4" w:space="0" w:color="auto"/>
            </w:tcBorders>
            <w:shd w:val="clear" w:color="auto" w:fill="E8E7E9"/>
            <w:vAlign w:val="center"/>
          </w:tcPr>
          <w:p w14:paraId="124EDA08"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37" w:type="pct"/>
            <w:tcBorders>
              <w:top w:val="single" w:sz="4" w:space="0" w:color="auto"/>
            </w:tcBorders>
            <w:shd w:val="clear" w:color="auto" w:fill="E8E7E9"/>
            <w:vAlign w:val="center"/>
          </w:tcPr>
          <w:p w14:paraId="760F2BB6"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29" w:type="pct"/>
            <w:tcBorders>
              <w:top w:val="single" w:sz="4" w:space="0" w:color="auto"/>
            </w:tcBorders>
            <w:shd w:val="clear" w:color="auto" w:fill="E8E7E9"/>
            <w:vAlign w:val="center"/>
          </w:tcPr>
          <w:p w14:paraId="3F0CD7E8"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6" w:type="pct"/>
            <w:tcBorders>
              <w:top w:val="single" w:sz="4" w:space="0" w:color="auto"/>
            </w:tcBorders>
            <w:shd w:val="clear" w:color="auto" w:fill="E8E7E9"/>
            <w:vAlign w:val="center"/>
          </w:tcPr>
          <w:p w14:paraId="6AC3C39C"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45" w:type="pct"/>
            <w:tcBorders>
              <w:top w:val="single" w:sz="4" w:space="0" w:color="auto"/>
            </w:tcBorders>
            <w:shd w:val="clear" w:color="auto" w:fill="E8E7E9"/>
            <w:vAlign w:val="center"/>
          </w:tcPr>
          <w:p w14:paraId="733419D3"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6F4F4785" w14:textId="77777777" w:rsidTr="00C307FB">
        <w:trPr>
          <w:trHeight w:val="57"/>
        </w:trPr>
        <w:tc>
          <w:tcPr>
            <w:tcW w:w="973" w:type="pct"/>
            <w:tcBorders>
              <w:top w:val="single" w:sz="4" w:space="0" w:color="auto"/>
            </w:tcBorders>
            <w:vAlign w:val="center"/>
          </w:tcPr>
          <w:p w14:paraId="2AE8EDAB"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Porcentaje de concentración económica</w:t>
            </w:r>
          </w:p>
        </w:tc>
        <w:tc>
          <w:tcPr>
            <w:tcW w:w="1237" w:type="pct"/>
            <w:tcBorders>
              <w:top w:val="single" w:sz="4" w:space="0" w:color="auto"/>
            </w:tcBorders>
          </w:tcPr>
          <w:p w14:paraId="44F29189"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el porcentaje de Valor Agregado Censal Bruto (VACB) que captan los 10 principales subsectores económicos del municipio.</w:t>
            </w:r>
          </w:p>
        </w:tc>
        <w:tc>
          <w:tcPr>
            <w:tcW w:w="829" w:type="pct"/>
            <w:tcBorders>
              <w:top w:val="single" w:sz="4" w:space="0" w:color="auto"/>
            </w:tcBorders>
            <w:vAlign w:val="center"/>
          </w:tcPr>
          <w:p w14:paraId="28C61B7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56.20%</w:t>
            </w:r>
          </w:p>
        </w:tc>
        <w:tc>
          <w:tcPr>
            <w:tcW w:w="916" w:type="pct"/>
            <w:tcBorders>
              <w:top w:val="single" w:sz="4" w:space="0" w:color="auto"/>
            </w:tcBorders>
            <w:vAlign w:val="center"/>
          </w:tcPr>
          <w:p w14:paraId="5319B219"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Censos Económicos 2019</w:t>
            </w:r>
          </w:p>
        </w:tc>
        <w:tc>
          <w:tcPr>
            <w:tcW w:w="1045" w:type="pct"/>
            <w:tcBorders>
              <w:top w:val="single" w:sz="4" w:space="0" w:color="auto"/>
            </w:tcBorders>
            <w:vAlign w:val="center"/>
          </w:tcPr>
          <w:p w14:paraId="1BD2568E"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al 48%</w:t>
            </w:r>
          </w:p>
        </w:tc>
      </w:tr>
      <w:tr w:rsidR="00794EB9" w:rsidRPr="00794EB9" w14:paraId="1F824FFD" w14:textId="77777777" w:rsidTr="00C307FB">
        <w:trPr>
          <w:trHeight w:val="57"/>
        </w:trPr>
        <w:tc>
          <w:tcPr>
            <w:tcW w:w="973" w:type="pct"/>
            <w:vAlign w:val="center"/>
          </w:tcPr>
          <w:p w14:paraId="4F77B386"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Porcentaje de VACB de los sectores perteneciente a las nuevas vocaciones</w:t>
            </w:r>
          </w:p>
        </w:tc>
        <w:tc>
          <w:tcPr>
            <w:tcW w:w="1237" w:type="pct"/>
            <w:vAlign w:val="center"/>
          </w:tcPr>
          <w:p w14:paraId="3E2EFF69"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el porcentaje de Valor Agregado Censal Bruto que generan los sectores denominados nuevas vocaciones: Sector automotriz, Servicios logísticos, Equipos eléctricos y electrónicos, Servicios médicos, Servicios de recolección y remediación de desechos.</w:t>
            </w:r>
          </w:p>
        </w:tc>
        <w:tc>
          <w:tcPr>
            <w:tcW w:w="829" w:type="pct"/>
            <w:vAlign w:val="center"/>
          </w:tcPr>
          <w:p w14:paraId="2C092FEB"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6.75%</w:t>
            </w:r>
          </w:p>
        </w:tc>
        <w:tc>
          <w:tcPr>
            <w:tcW w:w="916" w:type="pct"/>
            <w:vAlign w:val="center"/>
          </w:tcPr>
          <w:p w14:paraId="77801CD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Censos Económicos 2019</w:t>
            </w:r>
          </w:p>
        </w:tc>
        <w:tc>
          <w:tcPr>
            <w:tcW w:w="1045" w:type="pct"/>
            <w:vAlign w:val="center"/>
          </w:tcPr>
          <w:p w14:paraId="08E049F7"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al 13%</w:t>
            </w:r>
          </w:p>
        </w:tc>
      </w:tr>
      <w:tr w:rsidR="00794EB9" w:rsidRPr="00794EB9" w14:paraId="01652234" w14:textId="77777777" w:rsidTr="00C307FB">
        <w:trPr>
          <w:trHeight w:val="57"/>
        </w:trPr>
        <w:tc>
          <w:tcPr>
            <w:tcW w:w="973" w:type="pct"/>
            <w:vAlign w:val="center"/>
          </w:tcPr>
          <w:p w14:paraId="65436CC8"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bCs/>
                <w:sz w:val="22"/>
                <w:szCs w:val="22"/>
              </w:rPr>
              <w:t>Derrama económica del sector turismo</w:t>
            </w:r>
          </w:p>
        </w:tc>
        <w:tc>
          <w:tcPr>
            <w:tcW w:w="1237" w:type="pct"/>
            <w:vAlign w:val="center"/>
          </w:tcPr>
          <w:p w14:paraId="66B1269F"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el valor promedio (en pesos corrientes) de los gastos que son realizados por los visitantes al municipio.</w:t>
            </w:r>
          </w:p>
        </w:tc>
        <w:tc>
          <w:tcPr>
            <w:tcW w:w="829" w:type="pct"/>
            <w:vAlign w:val="center"/>
          </w:tcPr>
          <w:p w14:paraId="3523862B"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 mil 854 millones de pesos</w:t>
            </w:r>
          </w:p>
        </w:tc>
        <w:tc>
          <w:tcPr>
            <w:tcW w:w="916" w:type="pct"/>
            <w:vAlign w:val="center"/>
          </w:tcPr>
          <w:p w14:paraId="2EDEE262"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Observatorio Turístico del Estado de Guanajuato. Perfil del visitante. 2019</w:t>
            </w:r>
          </w:p>
        </w:tc>
        <w:tc>
          <w:tcPr>
            <w:tcW w:w="1045" w:type="pct"/>
            <w:vAlign w:val="center"/>
          </w:tcPr>
          <w:p w14:paraId="379F9D5F"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27 mil millones de pesos</w:t>
            </w:r>
          </w:p>
        </w:tc>
      </w:tr>
    </w:tbl>
    <w:p w14:paraId="1FDDCC74" w14:textId="77777777" w:rsidR="00794EB9" w:rsidRPr="00794EB9" w:rsidRDefault="00794EB9" w:rsidP="00794EB9">
      <w:pPr>
        <w:jc w:val="both"/>
        <w:rPr>
          <w:rFonts w:ascii="Arial" w:hAnsi="Arial" w:cs="Arial"/>
          <w:b/>
          <w:sz w:val="22"/>
          <w:szCs w:val="22"/>
        </w:rPr>
      </w:pPr>
    </w:p>
    <w:p w14:paraId="1AF95463"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3.5 Educación equitativa, pertinente y de calidad. Promover el aprendizaje equitativo, pertinente y de calidad a lo largo de la vida.</w:t>
      </w:r>
    </w:p>
    <w:p w14:paraId="6A271B90"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2014"/>
        <w:gridCol w:w="2159"/>
        <w:gridCol w:w="1458"/>
        <w:gridCol w:w="1460"/>
        <w:gridCol w:w="1737"/>
      </w:tblGrid>
      <w:tr w:rsidR="00794EB9" w:rsidRPr="00794EB9" w14:paraId="653DFB3F" w14:textId="77777777" w:rsidTr="00C307FB">
        <w:trPr>
          <w:trHeight w:val="57"/>
        </w:trPr>
        <w:tc>
          <w:tcPr>
            <w:tcW w:w="1048" w:type="pct"/>
            <w:shd w:val="clear" w:color="auto" w:fill="E8E7E9"/>
            <w:vAlign w:val="center"/>
          </w:tcPr>
          <w:p w14:paraId="79595157"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lastRenderedPageBreak/>
              <w:t>Indicadores</w:t>
            </w:r>
          </w:p>
        </w:tc>
        <w:tc>
          <w:tcPr>
            <w:tcW w:w="1246" w:type="pct"/>
            <w:shd w:val="clear" w:color="auto" w:fill="E8E7E9"/>
            <w:vAlign w:val="center"/>
          </w:tcPr>
          <w:p w14:paraId="72928005"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shd w:val="clear" w:color="auto" w:fill="E8E7E9"/>
            <w:vAlign w:val="center"/>
          </w:tcPr>
          <w:p w14:paraId="7946451C"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50" w:type="pct"/>
            <w:shd w:val="clear" w:color="auto" w:fill="E8E7E9"/>
            <w:vAlign w:val="center"/>
          </w:tcPr>
          <w:p w14:paraId="17D648C6"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07" w:type="pct"/>
            <w:shd w:val="clear" w:color="auto" w:fill="E8E7E9"/>
            <w:vAlign w:val="center"/>
          </w:tcPr>
          <w:p w14:paraId="12B28250"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6634723D" w14:textId="77777777" w:rsidTr="00C307FB">
        <w:trPr>
          <w:trHeight w:val="57"/>
        </w:trPr>
        <w:tc>
          <w:tcPr>
            <w:tcW w:w="1048" w:type="pct"/>
            <w:vAlign w:val="center"/>
          </w:tcPr>
          <w:p w14:paraId="15DC84F8"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Años promedio de escolaridad de la población económicamente activa</w:t>
            </w:r>
          </w:p>
        </w:tc>
        <w:tc>
          <w:tcPr>
            <w:tcW w:w="1246" w:type="pct"/>
            <w:vAlign w:val="center"/>
          </w:tcPr>
          <w:p w14:paraId="47E5D2D8"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número promedio de años de educación formal que ha cursado la población económicamente activa (PEA).</w:t>
            </w:r>
          </w:p>
        </w:tc>
        <w:tc>
          <w:tcPr>
            <w:tcW w:w="849" w:type="pct"/>
            <w:vAlign w:val="center"/>
          </w:tcPr>
          <w:p w14:paraId="56D67D8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10.5 años de escolaridad promedio</w:t>
            </w:r>
          </w:p>
        </w:tc>
        <w:tc>
          <w:tcPr>
            <w:tcW w:w="850" w:type="pct"/>
            <w:vAlign w:val="center"/>
          </w:tcPr>
          <w:p w14:paraId="7D99EAA5"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INEGI. Microdatos de la ENOE (cuarto trimestre de 2020)</w:t>
            </w:r>
          </w:p>
        </w:tc>
        <w:tc>
          <w:tcPr>
            <w:tcW w:w="1007" w:type="pct"/>
            <w:vAlign w:val="center"/>
          </w:tcPr>
          <w:p w14:paraId="14CBB6E7"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12 años de escolaridad promedio</w:t>
            </w:r>
          </w:p>
        </w:tc>
      </w:tr>
    </w:tbl>
    <w:p w14:paraId="050F8274" w14:textId="77777777" w:rsidR="00794EB9" w:rsidRPr="00794EB9" w:rsidRDefault="00794EB9" w:rsidP="00794EB9">
      <w:pPr>
        <w:pStyle w:val="Prrafodelista"/>
        <w:ind w:left="1637"/>
        <w:jc w:val="both"/>
        <w:rPr>
          <w:rFonts w:ascii="Arial" w:hAnsi="Arial" w:cs="Arial"/>
          <w:sz w:val="22"/>
          <w:szCs w:val="22"/>
        </w:rPr>
      </w:pPr>
    </w:p>
    <w:p w14:paraId="3F0C4C05"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4.2 Co-creación: colaboración y participación ciudadana. Generar canales de innovación pública y social para el involucramiento efectivo de la ciudadanía y de las juventudes, en el proceso de cambio y en la toma de decisiones de interés colectivo.</w:t>
      </w:r>
    </w:p>
    <w:p w14:paraId="55CD3847"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Look w:val="04A0" w:firstRow="1" w:lastRow="0" w:firstColumn="1" w:lastColumn="0" w:noHBand="0" w:noVBand="1"/>
      </w:tblPr>
      <w:tblGrid>
        <w:gridCol w:w="1855"/>
        <w:gridCol w:w="1714"/>
        <w:gridCol w:w="1696"/>
        <w:gridCol w:w="1745"/>
        <w:gridCol w:w="1818"/>
      </w:tblGrid>
      <w:tr w:rsidR="00794EB9" w:rsidRPr="00794EB9" w14:paraId="5C940B22" w14:textId="77777777" w:rsidTr="00C307FB">
        <w:trPr>
          <w:trHeight w:val="57"/>
        </w:trPr>
        <w:tc>
          <w:tcPr>
            <w:tcW w:w="967" w:type="pct"/>
            <w:tcBorders>
              <w:top w:val="single" w:sz="4" w:space="0" w:color="auto"/>
            </w:tcBorders>
            <w:shd w:val="clear" w:color="auto" w:fill="E8E7E9"/>
            <w:vAlign w:val="center"/>
          </w:tcPr>
          <w:p w14:paraId="3CF4DB2D"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69" w:type="pct"/>
            <w:tcBorders>
              <w:top w:val="single" w:sz="4" w:space="0" w:color="auto"/>
            </w:tcBorders>
            <w:shd w:val="clear" w:color="auto" w:fill="E8E7E9"/>
            <w:vAlign w:val="center"/>
          </w:tcPr>
          <w:p w14:paraId="18892FF5"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tcBorders>
              <w:top w:val="single" w:sz="4" w:space="0" w:color="auto"/>
            </w:tcBorders>
            <w:shd w:val="clear" w:color="auto" w:fill="E8E7E9"/>
            <w:vAlign w:val="center"/>
          </w:tcPr>
          <w:p w14:paraId="62017EFA"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0" w:type="pct"/>
            <w:tcBorders>
              <w:top w:val="single" w:sz="4" w:space="0" w:color="auto"/>
            </w:tcBorders>
            <w:shd w:val="clear" w:color="auto" w:fill="E8E7E9"/>
            <w:vAlign w:val="center"/>
          </w:tcPr>
          <w:p w14:paraId="6E7126C4"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969" w:type="pct"/>
            <w:tcBorders>
              <w:top w:val="single" w:sz="4" w:space="0" w:color="auto"/>
            </w:tcBorders>
            <w:shd w:val="clear" w:color="auto" w:fill="E8E7E9"/>
            <w:vAlign w:val="center"/>
          </w:tcPr>
          <w:p w14:paraId="05E92744"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17235B66" w14:textId="77777777" w:rsidTr="00C307FB">
        <w:trPr>
          <w:trHeight w:val="57"/>
        </w:trPr>
        <w:tc>
          <w:tcPr>
            <w:tcW w:w="967" w:type="pct"/>
            <w:vAlign w:val="center"/>
          </w:tcPr>
          <w:p w14:paraId="367BF05E" w14:textId="77777777" w:rsidR="00794EB9" w:rsidRPr="00794EB9" w:rsidRDefault="00794EB9" w:rsidP="00C307FB">
            <w:pPr>
              <w:ind w:hanging="2"/>
              <w:jc w:val="center"/>
              <w:rPr>
                <w:rFonts w:ascii="Arial" w:hAnsi="Arial" w:cs="Arial"/>
                <w:iCs/>
                <w:sz w:val="22"/>
                <w:szCs w:val="22"/>
              </w:rPr>
            </w:pPr>
            <w:r w:rsidRPr="00794EB9">
              <w:rPr>
                <w:rFonts w:ascii="Arial" w:hAnsi="Arial" w:cs="Arial"/>
                <w:b/>
                <w:bCs/>
                <w:sz w:val="22"/>
                <w:szCs w:val="22"/>
              </w:rPr>
              <w:t xml:space="preserve"> Número de Organizaciones de la Sociedad Civil (OSC) por cada 100 mil habitantes</w:t>
            </w:r>
          </w:p>
        </w:tc>
        <w:tc>
          <w:tcPr>
            <w:tcW w:w="1269" w:type="pct"/>
            <w:vAlign w:val="center"/>
          </w:tcPr>
          <w:p w14:paraId="4BC117E5"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Se refiere al número de organizaciones de la sociedad civil (OSC) por cada 100 mil habitantes.</w:t>
            </w:r>
          </w:p>
        </w:tc>
        <w:tc>
          <w:tcPr>
            <w:tcW w:w="885" w:type="pct"/>
            <w:vAlign w:val="center"/>
          </w:tcPr>
          <w:p w14:paraId="49BE8C8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24 organizaciones de la sociedad civil (OSC) por cada 100 mil habitantes</w:t>
            </w:r>
          </w:p>
        </w:tc>
        <w:tc>
          <w:tcPr>
            <w:tcW w:w="910" w:type="pct"/>
            <w:vAlign w:val="center"/>
          </w:tcPr>
          <w:p w14:paraId="2E22C75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Comisión de Fomento de las Actividades de las Organizaciones de la Sociedad Civil, OSC registradas a 2020.</w:t>
            </w:r>
          </w:p>
        </w:tc>
        <w:tc>
          <w:tcPr>
            <w:tcW w:w="969" w:type="pct"/>
            <w:vAlign w:val="center"/>
          </w:tcPr>
          <w:p w14:paraId="0745ADA6"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30 organizaciones de la sociedad civil (OSC) por cada 100 mil habitantes</w:t>
            </w:r>
          </w:p>
        </w:tc>
      </w:tr>
    </w:tbl>
    <w:p w14:paraId="42762455" w14:textId="77777777" w:rsidR="00794EB9" w:rsidRPr="00794EB9" w:rsidRDefault="00794EB9" w:rsidP="00794EB9">
      <w:pPr>
        <w:jc w:val="both"/>
        <w:rPr>
          <w:rFonts w:ascii="Arial" w:hAnsi="Arial" w:cs="Arial"/>
          <w:b/>
          <w:sz w:val="22"/>
          <w:szCs w:val="22"/>
        </w:rPr>
      </w:pPr>
    </w:p>
    <w:p w14:paraId="495CA745" w14:textId="77777777" w:rsidR="00794EB9" w:rsidRPr="00794EB9" w:rsidRDefault="00794EB9" w:rsidP="00794EB9">
      <w:pPr>
        <w:jc w:val="both"/>
        <w:rPr>
          <w:rFonts w:ascii="Arial" w:hAnsi="Arial" w:cs="Arial"/>
          <w:b/>
          <w:sz w:val="22"/>
          <w:szCs w:val="22"/>
        </w:rPr>
      </w:pPr>
    </w:p>
    <w:p w14:paraId="0289EC78"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VM3. León 450</w:t>
      </w:r>
    </w:p>
    <w:p w14:paraId="00416860"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Establecer el sustento de planeación, infraestructura y conectividad para el desarrollo del proyecto de gran visión: León 450, que plantea el desarrollo de la ciudad y su zona metropolitana para las siguientes décadas.</w:t>
      </w:r>
    </w:p>
    <w:p w14:paraId="684DE7DE" w14:textId="77777777" w:rsidR="00794EB9" w:rsidRPr="00794EB9" w:rsidRDefault="00794EB9" w:rsidP="00794EB9">
      <w:pPr>
        <w:jc w:val="both"/>
        <w:rPr>
          <w:rFonts w:ascii="Arial" w:hAnsi="Arial" w:cs="Arial"/>
          <w:b/>
          <w:sz w:val="22"/>
          <w:szCs w:val="22"/>
        </w:rPr>
      </w:pPr>
    </w:p>
    <w:p w14:paraId="0FC51AF2"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17A75D54"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8: Promover el crecimiento económico inclusivo y sostenible, el empleo y el trabajo decente para todos</w:t>
      </w:r>
    </w:p>
    <w:p w14:paraId="0AB427D3"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9: Construir infraestructuras resilientes, promover la industrialización sostenible y fomentar la innovación</w:t>
      </w:r>
    </w:p>
    <w:p w14:paraId="3C6887FE"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 Lograr que las ciudades sean más inclusivas, seguras, resilientes y sostenibles</w:t>
      </w:r>
    </w:p>
    <w:p w14:paraId="1135F9E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16: Promover sociedades justas, pacíficas e inclusivas</w:t>
      </w:r>
    </w:p>
    <w:p w14:paraId="5EC122EE" w14:textId="77777777" w:rsidR="00794EB9" w:rsidRPr="00794EB9" w:rsidRDefault="00794EB9" w:rsidP="00794EB9">
      <w:pPr>
        <w:pStyle w:val="Prrafodelista"/>
        <w:ind w:left="1637"/>
        <w:jc w:val="both"/>
        <w:rPr>
          <w:rFonts w:ascii="Arial" w:hAnsi="Arial" w:cs="Arial"/>
          <w:sz w:val="22"/>
          <w:szCs w:val="22"/>
        </w:rPr>
      </w:pPr>
    </w:p>
    <w:p w14:paraId="3265E2A6"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09B4BA26"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2.3.1 Consolidar el potencial turístico de Guanajuato e impulsarlo a ser uno de los principales destinos turísticos a nivel nacional, con posicionamiento internacional</w:t>
      </w:r>
    </w:p>
    <w:p w14:paraId="7555EDFD"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2.5.1 Fortalecer el sistema de innovación de Guanajuato y su articulación con las demandas productivas y sociales</w:t>
      </w:r>
    </w:p>
    <w:p w14:paraId="7C97E6DC"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lastRenderedPageBreak/>
        <w:t>OBJETIVO 3.2.1 Lograr una administración sostenible del territorio, que impulse el desarrollo de comunidades y ciudades humanas y sostenibles</w:t>
      </w:r>
    </w:p>
    <w:p w14:paraId="6A80921C"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3.2.3 Asegurar una movilidad fluida, sostenible y segura para todas las y los guanajuatenses y visitantes a la entidad</w:t>
      </w:r>
    </w:p>
    <w:p w14:paraId="617236AE"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4.1.1 Incrementar la eficiencia y la eficacia del sector público estatal,</w:t>
      </w:r>
    </w:p>
    <w:p w14:paraId="75A88A5F"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con el involucramiento corresponsable de la sociedad</w:t>
      </w:r>
    </w:p>
    <w:p w14:paraId="5DD1648F"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4.1.3 Fortalecer las capacidades institucionales de las administraciones públicas municipales, para que su actuación se conduzca con apego a los procesos de planeación, transparencia y evaluación de resultados que requiere la sociedad</w:t>
      </w:r>
    </w:p>
    <w:p w14:paraId="450B9A24" w14:textId="77777777" w:rsidR="00794EB9" w:rsidRPr="00794EB9" w:rsidRDefault="00794EB9" w:rsidP="00794EB9">
      <w:pPr>
        <w:pStyle w:val="Prrafodelista"/>
        <w:ind w:left="1637"/>
        <w:jc w:val="both"/>
        <w:rPr>
          <w:rFonts w:ascii="Arial" w:hAnsi="Arial" w:cs="Arial"/>
          <w:sz w:val="22"/>
          <w:szCs w:val="22"/>
        </w:rPr>
      </w:pPr>
    </w:p>
    <w:p w14:paraId="692528E6"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519EE6E1"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1.5. Movilidad sustentable e incluyente. Contar con una movilidad accesible e incluyente, con esquemas de intermodalidad urbana y metropolitana, que favorezca el ordenamiento territorial.</w:t>
      </w:r>
    </w:p>
    <w:p w14:paraId="580C3215"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57" w:type="dxa"/>
          <w:bottom w:w="57" w:type="dxa"/>
        </w:tblCellMar>
        <w:tblLook w:val="04A0" w:firstRow="1" w:lastRow="0" w:firstColumn="1" w:lastColumn="0" w:noHBand="0" w:noVBand="1"/>
      </w:tblPr>
      <w:tblGrid>
        <w:gridCol w:w="1793"/>
        <w:gridCol w:w="2153"/>
        <w:gridCol w:w="1544"/>
        <w:gridCol w:w="1452"/>
        <w:gridCol w:w="1886"/>
      </w:tblGrid>
      <w:tr w:rsidR="00794EB9" w:rsidRPr="00794EB9" w14:paraId="3793C3DA" w14:textId="77777777" w:rsidTr="00C307FB">
        <w:trPr>
          <w:trHeight w:val="57"/>
        </w:trPr>
        <w:tc>
          <w:tcPr>
            <w:tcW w:w="950" w:type="pct"/>
            <w:tcBorders>
              <w:top w:val="single" w:sz="4" w:space="0" w:color="auto"/>
            </w:tcBorders>
            <w:shd w:val="clear" w:color="auto" w:fill="E8E7E9"/>
            <w:vAlign w:val="center"/>
          </w:tcPr>
          <w:p w14:paraId="66EA427E"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E8E7E9"/>
            <w:vAlign w:val="center"/>
          </w:tcPr>
          <w:p w14:paraId="4405C712"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E8E7E9"/>
            <w:vAlign w:val="center"/>
          </w:tcPr>
          <w:p w14:paraId="2CB2DB93"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E8E7E9"/>
            <w:vAlign w:val="center"/>
          </w:tcPr>
          <w:p w14:paraId="649E6EAA"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84" w:type="pct"/>
            <w:tcBorders>
              <w:top w:val="single" w:sz="4" w:space="0" w:color="auto"/>
            </w:tcBorders>
            <w:shd w:val="clear" w:color="auto" w:fill="E8E7E9"/>
            <w:vAlign w:val="center"/>
          </w:tcPr>
          <w:p w14:paraId="2D086EEA"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31D4E70F" w14:textId="77777777" w:rsidTr="00C307FB">
        <w:trPr>
          <w:trHeight w:val="57"/>
        </w:trPr>
        <w:tc>
          <w:tcPr>
            <w:tcW w:w="950" w:type="pct"/>
            <w:tcBorders>
              <w:top w:val="single" w:sz="4" w:space="0" w:color="auto"/>
            </w:tcBorders>
            <w:vAlign w:val="center"/>
          </w:tcPr>
          <w:p w14:paraId="3ACD488E"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bCs/>
                <w:sz w:val="22"/>
                <w:szCs w:val="22"/>
              </w:rPr>
              <w:t>Porcentaje de cobertura de intermodalidad urbana</w:t>
            </w:r>
          </w:p>
        </w:tc>
        <w:tc>
          <w:tcPr>
            <w:tcW w:w="1236" w:type="pct"/>
            <w:tcBorders>
              <w:top w:val="single" w:sz="4" w:space="0" w:color="auto"/>
            </w:tcBorders>
            <w:vAlign w:val="center"/>
          </w:tcPr>
          <w:p w14:paraId="70653890"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el porcentaje de la cobertura con infraestructura que permite la conexión del transporte público y ciclovías dentro del límite urbano.</w:t>
            </w:r>
          </w:p>
        </w:tc>
        <w:tc>
          <w:tcPr>
            <w:tcW w:w="891" w:type="pct"/>
            <w:tcBorders>
              <w:top w:val="single" w:sz="4" w:space="0" w:color="auto"/>
            </w:tcBorders>
            <w:vAlign w:val="center"/>
          </w:tcPr>
          <w:p w14:paraId="7637E95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6.05%</w:t>
            </w:r>
          </w:p>
        </w:tc>
        <w:tc>
          <w:tcPr>
            <w:tcW w:w="839" w:type="pct"/>
            <w:tcBorders>
              <w:top w:val="single" w:sz="4" w:space="0" w:color="auto"/>
            </w:tcBorders>
            <w:vAlign w:val="center"/>
          </w:tcPr>
          <w:p w14:paraId="5A009B21"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w:t>
            </w:r>
          </w:p>
          <w:p w14:paraId="644C350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Mayo de 2021</w:t>
            </w:r>
          </w:p>
        </w:tc>
        <w:tc>
          <w:tcPr>
            <w:tcW w:w="1084" w:type="pct"/>
            <w:tcBorders>
              <w:top w:val="single" w:sz="4" w:space="0" w:color="auto"/>
            </w:tcBorders>
            <w:vAlign w:val="center"/>
          </w:tcPr>
          <w:p w14:paraId="5A9C1B6C"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t>Aumentar a 15.5%</w:t>
            </w:r>
          </w:p>
        </w:tc>
      </w:tr>
      <w:tr w:rsidR="00794EB9" w:rsidRPr="00794EB9" w14:paraId="57D89C53" w14:textId="77777777" w:rsidTr="00C307FB">
        <w:trPr>
          <w:trHeight w:val="57"/>
        </w:trPr>
        <w:tc>
          <w:tcPr>
            <w:tcW w:w="950" w:type="pct"/>
            <w:tcBorders>
              <w:top w:val="single" w:sz="4" w:space="0" w:color="auto"/>
            </w:tcBorders>
            <w:shd w:val="clear" w:color="auto" w:fill="auto"/>
            <w:vAlign w:val="center"/>
          </w:tcPr>
          <w:p w14:paraId="4FB108B5"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Porcentaje de accesibilidad en el sistema vial</w:t>
            </w:r>
          </w:p>
        </w:tc>
        <w:tc>
          <w:tcPr>
            <w:tcW w:w="1236" w:type="pct"/>
            <w:tcBorders>
              <w:top w:val="single" w:sz="4" w:space="0" w:color="auto"/>
            </w:tcBorders>
            <w:shd w:val="clear" w:color="auto" w:fill="auto"/>
            <w:vAlign w:val="center"/>
          </w:tcPr>
          <w:p w14:paraId="55A7F4EC"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el porcentaje de vialidades pavimentadas con respecto a la red vial total proyectada dentro del límite urbano.</w:t>
            </w:r>
          </w:p>
        </w:tc>
        <w:tc>
          <w:tcPr>
            <w:tcW w:w="891" w:type="pct"/>
            <w:tcBorders>
              <w:top w:val="single" w:sz="4" w:space="0" w:color="auto"/>
            </w:tcBorders>
            <w:shd w:val="clear" w:color="auto" w:fill="auto"/>
            <w:vAlign w:val="center"/>
          </w:tcPr>
          <w:p w14:paraId="276BF487"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89.88%</w:t>
            </w:r>
          </w:p>
        </w:tc>
        <w:tc>
          <w:tcPr>
            <w:tcW w:w="839" w:type="pct"/>
            <w:tcBorders>
              <w:top w:val="single" w:sz="4" w:space="0" w:color="auto"/>
            </w:tcBorders>
            <w:shd w:val="clear" w:color="auto" w:fill="auto"/>
            <w:vAlign w:val="center"/>
          </w:tcPr>
          <w:p w14:paraId="73909D01"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DGOP</w:t>
            </w:r>
          </w:p>
          <w:p w14:paraId="0DE437E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Abril de 2021</w:t>
            </w:r>
          </w:p>
        </w:tc>
        <w:tc>
          <w:tcPr>
            <w:tcW w:w="1084" w:type="pct"/>
            <w:tcBorders>
              <w:top w:val="single" w:sz="4" w:space="0" w:color="auto"/>
            </w:tcBorders>
            <w:shd w:val="clear" w:color="auto" w:fill="auto"/>
            <w:vAlign w:val="center"/>
          </w:tcPr>
          <w:p w14:paraId="0740B125"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92%</w:t>
            </w:r>
          </w:p>
        </w:tc>
      </w:tr>
      <w:tr w:rsidR="00794EB9" w:rsidRPr="00794EB9" w14:paraId="34166B1F" w14:textId="77777777" w:rsidTr="00C307FB">
        <w:trPr>
          <w:trHeight w:val="57"/>
        </w:trPr>
        <w:tc>
          <w:tcPr>
            <w:tcW w:w="950" w:type="pct"/>
            <w:vAlign w:val="center"/>
          </w:tcPr>
          <w:p w14:paraId="2BF20BB9"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Porcentaje de conectividad de las ciclovías existentes con cierre de circuitos</w:t>
            </w:r>
          </w:p>
        </w:tc>
        <w:tc>
          <w:tcPr>
            <w:tcW w:w="1236" w:type="pct"/>
            <w:vAlign w:val="center"/>
          </w:tcPr>
          <w:p w14:paraId="7FB87D70"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Se refiere al porcentaje de ciclovías existentes que se conectan entre sí dentro del límite urbano.</w:t>
            </w:r>
          </w:p>
        </w:tc>
        <w:tc>
          <w:tcPr>
            <w:tcW w:w="891" w:type="pct"/>
            <w:vAlign w:val="center"/>
          </w:tcPr>
          <w:p w14:paraId="63B12B98"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91.56 %</w:t>
            </w:r>
          </w:p>
        </w:tc>
        <w:tc>
          <w:tcPr>
            <w:tcW w:w="839" w:type="pct"/>
            <w:vAlign w:val="center"/>
          </w:tcPr>
          <w:p w14:paraId="1EE25471"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w:t>
            </w:r>
          </w:p>
          <w:p w14:paraId="6BCE2DF1"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Mayo de 2021</w:t>
            </w:r>
          </w:p>
        </w:tc>
        <w:tc>
          <w:tcPr>
            <w:tcW w:w="1084" w:type="pct"/>
            <w:vAlign w:val="center"/>
          </w:tcPr>
          <w:p w14:paraId="5FC56DE9"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t>Aumentar a 92.9%</w:t>
            </w:r>
          </w:p>
        </w:tc>
      </w:tr>
    </w:tbl>
    <w:p w14:paraId="5B18582E" w14:textId="77777777" w:rsidR="00794EB9" w:rsidRPr="00794EB9" w:rsidRDefault="00794EB9" w:rsidP="00794EB9">
      <w:pPr>
        <w:pStyle w:val="Prrafodelista"/>
        <w:ind w:left="1637"/>
        <w:jc w:val="both"/>
        <w:rPr>
          <w:rFonts w:ascii="Arial" w:hAnsi="Arial" w:cs="Arial"/>
          <w:sz w:val="22"/>
          <w:szCs w:val="22"/>
        </w:rPr>
      </w:pPr>
    </w:p>
    <w:p w14:paraId="4FFBC755"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1.6 Modelo urbano integrador. Lograr una ciudad incluyente, accesible, consolidada y densificada con procesos de regeneración, ordenamiento e integración entre los sistemas de movilidad e infraestructura verde.</w:t>
      </w:r>
    </w:p>
    <w:p w14:paraId="091AF3EE"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57" w:type="dxa"/>
          <w:bottom w:w="57" w:type="dxa"/>
        </w:tblCellMar>
        <w:tblLook w:val="04A0" w:firstRow="1" w:lastRow="0" w:firstColumn="1" w:lastColumn="0" w:noHBand="0" w:noVBand="1"/>
      </w:tblPr>
      <w:tblGrid>
        <w:gridCol w:w="1678"/>
        <w:gridCol w:w="2182"/>
        <w:gridCol w:w="1573"/>
        <w:gridCol w:w="1481"/>
        <w:gridCol w:w="1914"/>
      </w:tblGrid>
      <w:tr w:rsidR="00794EB9" w:rsidRPr="00794EB9" w14:paraId="2395710C" w14:textId="77777777" w:rsidTr="00C307FB">
        <w:trPr>
          <w:trHeight w:val="57"/>
        </w:trPr>
        <w:tc>
          <w:tcPr>
            <w:tcW w:w="950" w:type="pct"/>
            <w:tcBorders>
              <w:top w:val="single" w:sz="4" w:space="0" w:color="auto"/>
            </w:tcBorders>
            <w:shd w:val="clear" w:color="auto" w:fill="D9D9D9" w:themeFill="background1" w:themeFillShade="D9"/>
            <w:vAlign w:val="center"/>
          </w:tcPr>
          <w:p w14:paraId="6A0CA216"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lastRenderedPageBreak/>
              <w:t>Indicadores</w:t>
            </w:r>
          </w:p>
        </w:tc>
        <w:tc>
          <w:tcPr>
            <w:tcW w:w="1236" w:type="pct"/>
            <w:tcBorders>
              <w:top w:val="single" w:sz="4" w:space="0" w:color="auto"/>
            </w:tcBorders>
            <w:shd w:val="clear" w:color="auto" w:fill="D9D9D9" w:themeFill="background1" w:themeFillShade="D9"/>
            <w:vAlign w:val="center"/>
          </w:tcPr>
          <w:p w14:paraId="01B321C7"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D9D9D9" w:themeFill="background1" w:themeFillShade="D9"/>
            <w:vAlign w:val="center"/>
          </w:tcPr>
          <w:p w14:paraId="50238577"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D9D9D9" w:themeFill="background1" w:themeFillShade="D9"/>
            <w:vAlign w:val="center"/>
          </w:tcPr>
          <w:p w14:paraId="7DC40C95"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84" w:type="pct"/>
            <w:tcBorders>
              <w:top w:val="single" w:sz="4" w:space="0" w:color="auto"/>
            </w:tcBorders>
            <w:shd w:val="clear" w:color="auto" w:fill="D9D9D9" w:themeFill="background1" w:themeFillShade="D9"/>
            <w:vAlign w:val="center"/>
          </w:tcPr>
          <w:p w14:paraId="6523A59D"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22ED04CB" w14:textId="77777777" w:rsidTr="00C307FB">
        <w:trPr>
          <w:trHeight w:val="57"/>
        </w:trPr>
        <w:tc>
          <w:tcPr>
            <w:tcW w:w="950" w:type="pct"/>
            <w:tcBorders>
              <w:top w:val="single" w:sz="4" w:space="0" w:color="auto"/>
            </w:tcBorders>
            <w:shd w:val="clear" w:color="auto" w:fill="auto"/>
            <w:vAlign w:val="center"/>
          </w:tcPr>
          <w:p w14:paraId="371E9A40"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 xml:space="preserve">Superficie de baldíos </w:t>
            </w:r>
          </w:p>
        </w:tc>
        <w:tc>
          <w:tcPr>
            <w:tcW w:w="1236" w:type="pct"/>
            <w:tcBorders>
              <w:top w:val="single" w:sz="4" w:space="0" w:color="auto"/>
            </w:tcBorders>
            <w:shd w:val="clear" w:color="auto" w:fill="auto"/>
            <w:vAlign w:val="center"/>
          </w:tcPr>
          <w:p w14:paraId="2C104844"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la extensión  de las zonas no construidas dentro del área urbana.</w:t>
            </w:r>
          </w:p>
        </w:tc>
        <w:tc>
          <w:tcPr>
            <w:tcW w:w="891" w:type="pct"/>
            <w:tcBorders>
              <w:top w:val="single" w:sz="4" w:space="0" w:color="auto"/>
            </w:tcBorders>
            <w:shd w:val="clear" w:color="auto" w:fill="auto"/>
            <w:vAlign w:val="center"/>
          </w:tcPr>
          <w:p w14:paraId="07B1295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5 mil 077 hectáreas</w:t>
            </w:r>
          </w:p>
        </w:tc>
        <w:tc>
          <w:tcPr>
            <w:tcW w:w="839" w:type="pct"/>
            <w:tcBorders>
              <w:top w:val="single" w:sz="4" w:space="0" w:color="auto"/>
            </w:tcBorders>
            <w:shd w:val="clear" w:color="auto" w:fill="auto"/>
            <w:vAlign w:val="center"/>
          </w:tcPr>
          <w:p w14:paraId="328B401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 xml:space="preserve">IMPLAN </w:t>
            </w:r>
          </w:p>
          <w:p w14:paraId="2325FA76"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84" w:type="pct"/>
            <w:tcBorders>
              <w:top w:val="single" w:sz="4" w:space="0" w:color="auto"/>
            </w:tcBorders>
            <w:shd w:val="clear" w:color="auto" w:fill="auto"/>
            <w:vAlign w:val="center"/>
          </w:tcPr>
          <w:p w14:paraId="03064761"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 xml:space="preserve">Ocupar 1 mil 300 hectáreas baldías </w:t>
            </w:r>
          </w:p>
        </w:tc>
      </w:tr>
      <w:tr w:rsidR="00794EB9" w:rsidRPr="00794EB9" w14:paraId="3755C994" w14:textId="77777777" w:rsidTr="00C307FB">
        <w:trPr>
          <w:trHeight w:val="57"/>
        </w:trPr>
        <w:tc>
          <w:tcPr>
            <w:tcW w:w="950" w:type="pct"/>
            <w:shd w:val="clear" w:color="auto" w:fill="auto"/>
            <w:vAlign w:val="center"/>
          </w:tcPr>
          <w:p w14:paraId="79DDAE32"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Densidad de la zona urbana</w:t>
            </w:r>
          </w:p>
        </w:tc>
        <w:tc>
          <w:tcPr>
            <w:tcW w:w="1236" w:type="pct"/>
            <w:shd w:val="clear" w:color="auto" w:fill="auto"/>
            <w:vAlign w:val="center"/>
          </w:tcPr>
          <w:p w14:paraId="4870ABD3"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Es la relación entre la zona urbana y el número de personas que la habitan, en este caso, habitantes por hectárea.</w:t>
            </w:r>
          </w:p>
        </w:tc>
        <w:tc>
          <w:tcPr>
            <w:tcW w:w="891" w:type="pct"/>
            <w:shd w:val="clear" w:color="auto" w:fill="auto"/>
            <w:vAlign w:val="center"/>
          </w:tcPr>
          <w:p w14:paraId="257C9AA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68.44 habitantes por hectárea</w:t>
            </w:r>
          </w:p>
        </w:tc>
        <w:tc>
          <w:tcPr>
            <w:tcW w:w="839" w:type="pct"/>
            <w:shd w:val="clear" w:color="auto" w:fill="auto"/>
            <w:vAlign w:val="center"/>
          </w:tcPr>
          <w:p w14:paraId="3845490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 Cálculos propios con información de INEGI. Censo de Población y Vivienda 2020.</w:t>
            </w:r>
          </w:p>
        </w:tc>
        <w:tc>
          <w:tcPr>
            <w:tcW w:w="1084" w:type="pct"/>
            <w:shd w:val="clear" w:color="auto" w:fill="auto"/>
            <w:vAlign w:val="center"/>
          </w:tcPr>
          <w:p w14:paraId="550EE436" w14:textId="77777777" w:rsidR="00794EB9" w:rsidRPr="00794EB9" w:rsidRDefault="00794EB9" w:rsidP="00C307FB">
            <w:pPr>
              <w:ind w:hanging="2"/>
              <w:jc w:val="center"/>
              <w:rPr>
                <w:rFonts w:ascii="Arial" w:hAnsi="Arial" w:cs="Arial"/>
                <w:sz w:val="22"/>
                <w:szCs w:val="22"/>
              </w:rPr>
            </w:pPr>
            <w:r w:rsidRPr="00794EB9">
              <w:rPr>
                <w:rFonts w:ascii="Arial" w:hAnsi="Arial" w:cs="Arial"/>
                <w:b/>
                <w:bCs/>
                <w:sz w:val="22"/>
                <w:szCs w:val="22"/>
              </w:rPr>
              <w:t>Aumentar a 75 habitantes por hectárea</w:t>
            </w:r>
          </w:p>
        </w:tc>
      </w:tr>
    </w:tbl>
    <w:p w14:paraId="7123040F" w14:textId="77777777" w:rsidR="00794EB9" w:rsidRPr="00794EB9" w:rsidRDefault="00794EB9" w:rsidP="00794EB9">
      <w:pPr>
        <w:rPr>
          <w:rFonts w:ascii="Arial" w:hAnsi="Arial" w:cs="Arial"/>
          <w:b/>
          <w:bCs/>
          <w:sz w:val="22"/>
          <w:szCs w:val="22"/>
        </w:rPr>
      </w:pPr>
    </w:p>
    <w:p w14:paraId="675FB6B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3.1. Recreación accesible y de calidad. Ampliar la oferta de sitios y opciones de recreación y esparcimiento, con altos estándares de calidad, que sean accesibles para las y los leoneses y visitantes.</w:t>
      </w:r>
    </w:p>
    <w:p w14:paraId="5DF1BA09"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753D2519" w14:textId="77777777" w:rsidTr="00C307FB">
        <w:trPr>
          <w:trHeight w:val="57"/>
        </w:trPr>
        <w:tc>
          <w:tcPr>
            <w:tcW w:w="1048" w:type="pct"/>
            <w:tcBorders>
              <w:bottom w:val="single" w:sz="4" w:space="0" w:color="auto"/>
            </w:tcBorders>
            <w:shd w:val="clear" w:color="auto" w:fill="E8E7E9"/>
            <w:vAlign w:val="center"/>
          </w:tcPr>
          <w:p w14:paraId="1D7ADB84"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tcBorders>
              <w:bottom w:val="single" w:sz="4" w:space="0" w:color="auto"/>
            </w:tcBorders>
            <w:shd w:val="clear" w:color="auto" w:fill="E8E7E9"/>
            <w:vAlign w:val="center"/>
          </w:tcPr>
          <w:p w14:paraId="0D440E2E"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tcBorders>
              <w:bottom w:val="single" w:sz="4" w:space="0" w:color="auto"/>
            </w:tcBorders>
            <w:shd w:val="clear" w:color="auto" w:fill="E8E7E9"/>
            <w:vAlign w:val="center"/>
          </w:tcPr>
          <w:p w14:paraId="06E0A92C"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50" w:type="pct"/>
            <w:tcBorders>
              <w:bottom w:val="single" w:sz="4" w:space="0" w:color="auto"/>
            </w:tcBorders>
            <w:shd w:val="clear" w:color="auto" w:fill="E8E7E9"/>
            <w:vAlign w:val="center"/>
          </w:tcPr>
          <w:p w14:paraId="73C6A1C5"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07" w:type="pct"/>
            <w:tcBorders>
              <w:bottom w:val="single" w:sz="4" w:space="0" w:color="auto"/>
            </w:tcBorders>
            <w:shd w:val="clear" w:color="auto" w:fill="E8E7E9"/>
            <w:vAlign w:val="center"/>
          </w:tcPr>
          <w:p w14:paraId="263909E4"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03644AAB" w14:textId="77777777" w:rsidTr="00C307FB">
        <w:trPr>
          <w:trHeight w:val="57"/>
        </w:trPr>
        <w:tc>
          <w:tcPr>
            <w:tcW w:w="1048" w:type="pct"/>
            <w:tcBorders>
              <w:bottom w:val="single" w:sz="4" w:space="0" w:color="auto"/>
            </w:tcBorders>
            <w:shd w:val="clear" w:color="auto" w:fill="auto"/>
            <w:vAlign w:val="center"/>
          </w:tcPr>
          <w:p w14:paraId="45C535E7"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 xml:space="preserve">Superficie de espacios públicos </w:t>
            </w:r>
          </w:p>
        </w:tc>
        <w:tc>
          <w:tcPr>
            <w:tcW w:w="1246" w:type="pct"/>
            <w:tcBorders>
              <w:bottom w:val="single" w:sz="4" w:space="0" w:color="auto"/>
            </w:tcBorders>
            <w:shd w:val="clear" w:color="auto" w:fill="auto"/>
            <w:vAlign w:val="center"/>
          </w:tcPr>
          <w:p w14:paraId="39B1C8A4" w14:textId="77777777" w:rsidR="00794EB9" w:rsidRPr="00794EB9" w:rsidRDefault="00794EB9" w:rsidP="00C307FB">
            <w:pPr>
              <w:ind w:hanging="2"/>
              <w:rPr>
                <w:rFonts w:ascii="Arial" w:hAnsi="Arial" w:cs="Arial"/>
                <w:b/>
                <w:bCs/>
                <w:sz w:val="22"/>
                <w:szCs w:val="22"/>
              </w:rPr>
            </w:pPr>
            <w:r w:rsidRPr="00794EB9">
              <w:rPr>
                <w:rFonts w:ascii="Arial" w:hAnsi="Arial" w:cs="Arial"/>
                <w:sz w:val="22"/>
                <w:szCs w:val="22"/>
              </w:rPr>
              <w:t>Es la suma conformada por los espacios públicos como áreas verdes, parques, parques lineales y plazas que se encuentran dentro de la zona urbana y prestan un beneficio para el intercambio del tejido social.</w:t>
            </w:r>
          </w:p>
        </w:tc>
        <w:tc>
          <w:tcPr>
            <w:tcW w:w="849" w:type="pct"/>
            <w:tcBorders>
              <w:bottom w:val="single" w:sz="4" w:space="0" w:color="auto"/>
            </w:tcBorders>
            <w:shd w:val="clear" w:color="auto" w:fill="auto"/>
            <w:vAlign w:val="center"/>
          </w:tcPr>
          <w:p w14:paraId="746B20BA" w14:textId="77777777" w:rsidR="00794EB9" w:rsidRPr="00794EB9" w:rsidRDefault="00794EB9" w:rsidP="00C307FB">
            <w:pPr>
              <w:ind w:hanging="2"/>
              <w:jc w:val="center"/>
              <w:rPr>
                <w:rFonts w:ascii="Arial" w:hAnsi="Arial" w:cs="Arial"/>
                <w:b/>
                <w:bCs/>
                <w:sz w:val="22"/>
                <w:szCs w:val="22"/>
              </w:rPr>
            </w:pPr>
            <w:r w:rsidRPr="00794EB9">
              <w:rPr>
                <w:rFonts w:ascii="Arial" w:hAnsi="Arial" w:cs="Arial"/>
                <w:sz w:val="22"/>
                <w:szCs w:val="22"/>
              </w:rPr>
              <w:t>816.1 Hectáreas</w:t>
            </w:r>
          </w:p>
        </w:tc>
        <w:tc>
          <w:tcPr>
            <w:tcW w:w="850" w:type="pct"/>
            <w:tcBorders>
              <w:bottom w:val="single" w:sz="4" w:space="0" w:color="auto"/>
            </w:tcBorders>
            <w:shd w:val="clear" w:color="auto" w:fill="auto"/>
            <w:vAlign w:val="center"/>
          </w:tcPr>
          <w:p w14:paraId="4CD38804"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w:t>
            </w:r>
          </w:p>
          <w:p w14:paraId="6A15D27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07" w:type="pct"/>
            <w:tcBorders>
              <w:bottom w:val="single" w:sz="4" w:space="0" w:color="auto"/>
            </w:tcBorders>
            <w:shd w:val="clear" w:color="auto" w:fill="auto"/>
            <w:vAlign w:val="center"/>
          </w:tcPr>
          <w:p w14:paraId="62376D2D"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Incrementar a 827 Hectáreas la superficie de espacios públicos</w:t>
            </w:r>
          </w:p>
        </w:tc>
      </w:tr>
      <w:tr w:rsidR="00794EB9" w:rsidRPr="00794EB9" w14:paraId="5E9F66DF" w14:textId="77777777" w:rsidTr="00C307FB">
        <w:trPr>
          <w:trHeight w:val="57"/>
        </w:trPr>
        <w:tc>
          <w:tcPr>
            <w:tcW w:w="1048" w:type="pct"/>
            <w:tcBorders>
              <w:bottom w:val="single" w:sz="4" w:space="0" w:color="auto"/>
            </w:tcBorders>
            <w:shd w:val="clear" w:color="auto" w:fill="auto"/>
            <w:vAlign w:val="center"/>
          </w:tcPr>
          <w:p w14:paraId="39912424"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Porcentaje de cobertura geográfica de los espacios públicos</w:t>
            </w:r>
          </w:p>
          <w:p w14:paraId="10243E64" w14:textId="77777777" w:rsidR="00794EB9" w:rsidRPr="00794EB9" w:rsidRDefault="00794EB9" w:rsidP="00C307FB">
            <w:pPr>
              <w:ind w:hanging="2"/>
              <w:jc w:val="center"/>
              <w:rPr>
                <w:rFonts w:ascii="Arial" w:hAnsi="Arial" w:cs="Arial"/>
                <w:b/>
                <w:bCs/>
                <w:sz w:val="22"/>
                <w:szCs w:val="22"/>
              </w:rPr>
            </w:pPr>
          </w:p>
        </w:tc>
        <w:tc>
          <w:tcPr>
            <w:tcW w:w="1246" w:type="pct"/>
            <w:tcBorders>
              <w:bottom w:val="single" w:sz="4" w:space="0" w:color="auto"/>
            </w:tcBorders>
            <w:shd w:val="clear" w:color="auto" w:fill="auto"/>
            <w:vAlign w:val="center"/>
          </w:tcPr>
          <w:p w14:paraId="597A367A" w14:textId="77777777" w:rsidR="00794EB9" w:rsidRPr="00794EB9" w:rsidRDefault="00794EB9" w:rsidP="00C307FB">
            <w:pPr>
              <w:ind w:hanging="2"/>
              <w:rPr>
                <w:rFonts w:ascii="Arial" w:hAnsi="Arial" w:cs="Arial"/>
                <w:b/>
                <w:bCs/>
                <w:sz w:val="22"/>
                <w:szCs w:val="22"/>
              </w:rPr>
            </w:pPr>
            <w:r w:rsidRPr="00794EB9">
              <w:rPr>
                <w:rFonts w:ascii="Arial" w:hAnsi="Arial" w:cs="Arial"/>
                <w:sz w:val="22"/>
                <w:szCs w:val="22"/>
              </w:rPr>
              <w:t xml:space="preserve">Es el porcentaje de cobertura geográfica de los espacios públicos como áreas verdes, parques, parques lineales y plazas en un radio de 400 metros </w:t>
            </w:r>
            <w:r w:rsidRPr="00794EB9">
              <w:rPr>
                <w:rFonts w:ascii="Arial" w:hAnsi="Arial" w:cs="Arial"/>
                <w:bCs/>
                <w:sz w:val="22"/>
                <w:szCs w:val="22"/>
              </w:rPr>
              <w:t xml:space="preserve"> de su perímetro en relación al área dentro del límite urbano</w:t>
            </w:r>
            <w:r w:rsidRPr="00794EB9">
              <w:rPr>
                <w:rFonts w:ascii="Arial" w:hAnsi="Arial" w:cs="Arial"/>
                <w:b/>
                <w:bCs/>
                <w:sz w:val="22"/>
                <w:szCs w:val="22"/>
              </w:rPr>
              <w:t>.</w:t>
            </w:r>
          </w:p>
        </w:tc>
        <w:tc>
          <w:tcPr>
            <w:tcW w:w="849" w:type="pct"/>
            <w:tcBorders>
              <w:bottom w:val="single" w:sz="4" w:space="0" w:color="auto"/>
            </w:tcBorders>
            <w:shd w:val="clear" w:color="auto" w:fill="auto"/>
            <w:vAlign w:val="center"/>
          </w:tcPr>
          <w:p w14:paraId="4088D058" w14:textId="77777777" w:rsidR="00794EB9" w:rsidRPr="00794EB9" w:rsidRDefault="00794EB9" w:rsidP="00C307FB">
            <w:pPr>
              <w:ind w:hanging="2"/>
              <w:jc w:val="center"/>
              <w:rPr>
                <w:rFonts w:ascii="Arial" w:hAnsi="Arial" w:cs="Arial"/>
                <w:b/>
                <w:bCs/>
                <w:sz w:val="22"/>
                <w:szCs w:val="22"/>
              </w:rPr>
            </w:pPr>
            <w:r w:rsidRPr="00794EB9">
              <w:rPr>
                <w:rFonts w:ascii="Arial" w:hAnsi="Arial" w:cs="Arial"/>
                <w:sz w:val="22"/>
                <w:szCs w:val="22"/>
              </w:rPr>
              <w:t xml:space="preserve">82.20% de cobertura geográfica de espacios públicos </w:t>
            </w:r>
          </w:p>
        </w:tc>
        <w:tc>
          <w:tcPr>
            <w:tcW w:w="850" w:type="pct"/>
            <w:tcBorders>
              <w:bottom w:val="single" w:sz="4" w:space="0" w:color="auto"/>
            </w:tcBorders>
            <w:shd w:val="clear" w:color="auto" w:fill="auto"/>
            <w:vAlign w:val="center"/>
          </w:tcPr>
          <w:p w14:paraId="5BAD9AA1"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w:t>
            </w:r>
          </w:p>
          <w:p w14:paraId="2E120A7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07" w:type="pct"/>
            <w:tcBorders>
              <w:bottom w:val="single" w:sz="4" w:space="0" w:color="auto"/>
            </w:tcBorders>
            <w:shd w:val="clear" w:color="auto" w:fill="auto"/>
            <w:vAlign w:val="center"/>
          </w:tcPr>
          <w:p w14:paraId="0527B034"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85%</w:t>
            </w:r>
          </w:p>
        </w:tc>
      </w:tr>
      <w:tr w:rsidR="00794EB9" w:rsidRPr="00794EB9" w14:paraId="3AF3B0CF" w14:textId="77777777" w:rsidTr="00C307FB">
        <w:trPr>
          <w:trHeight w:val="57"/>
        </w:trPr>
        <w:tc>
          <w:tcPr>
            <w:tcW w:w="1048" w:type="pct"/>
            <w:tcBorders>
              <w:bottom w:val="single" w:sz="4" w:space="0" w:color="auto"/>
            </w:tcBorders>
            <w:shd w:val="clear" w:color="auto" w:fill="auto"/>
            <w:vAlign w:val="center"/>
          </w:tcPr>
          <w:p w14:paraId="243A6AC1"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lastRenderedPageBreak/>
              <w:t>Porcentaje de espacios públicos en buen estado</w:t>
            </w:r>
          </w:p>
        </w:tc>
        <w:tc>
          <w:tcPr>
            <w:tcW w:w="1246" w:type="pct"/>
            <w:tcBorders>
              <w:bottom w:val="single" w:sz="4" w:space="0" w:color="auto"/>
            </w:tcBorders>
            <w:shd w:val="clear" w:color="auto" w:fill="auto"/>
            <w:vAlign w:val="center"/>
          </w:tcPr>
          <w:p w14:paraId="701E3D9C" w14:textId="77777777" w:rsidR="00794EB9" w:rsidRPr="00794EB9" w:rsidRDefault="00794EB9" w:rsidP="00C307FB">
            <w:pPr>
              <w:ind w:hanging="2"/>
              <w:rPr>
                <w:rFonts w:ascii="Arial" w:hAnsi="Arial" w:cs="Arial"/>
                <w:b/>
                <w:bCs/>
                <w:sz w:val="22"/>
                <w:szCs w:val="22"/>
              </w:rPr>
            </w:pPr>
            <w:r w:rsidRPr="00794EB9">
              <w:rPr>
                <w:rFonts w:ascii="Arial" w:hAnsi="Arial" w:cs="Arial"/>
                <w:sz w:val="22"/>
                <w:szCs w:val="22"/>
              </w:rPr>
              <w:t>Es el porcentaje de espacios públicos como áreas verdes, parques, parques lineales y plazas, con condiciones físicas en buen estado.</w:t>
            </w:r>
          </w:p>
        </w:tc>
        <w:tc>
          <w:tcPr>
            <w:tcW w:w="849" w:type="pct"/>
            <w:tcBorders>
              <w:bottom w:val="single" w:sz="4" w:space="0" w:color="auto"/>
            </w:tcBorders>
            <w:shd w:val="clear" w:color="auto" w:fill="auto"/>
            <w:vAlign w:val="center"/>
          </w:tcPr>
          <w:p w14:paraId="532E7F29" w14:textId="77777777" w:rsidR="00794EB9" w:rsidRPr="00794EB9" w:rsidRDefault="00794EB9" w:rsidP="00C307FB">
            <w:pPr>
              <w:ind w:hanging="2"/>
              <w:jc w:val="center"/>
              <w:rPr>
                <w:rFonts w:ascii="Arial" w:hAnsi="Arial" w:cs="Arial"/>
                <w:b/>
                <w:bCs/>
                <w:sz w:val="22"/>
                <w:szCs w:val="22"/>
              </w:rPr>
            </w:pPr>
            <w:r w:rsidRPr="00794EB9">
              <w:rPr>
                <w:rFonts w:ascii="Arial" w:hAnsi="Arial" w:cs="Arial"/>
                <w:sz w:val="22"/>
                <w:szCs w:val="22"/>
              </w:rPr>
              <w:t>74.89% espacios en buenas condiciones</w:t>
            </w:r>
          </w:p>
        </w:tc>
        <w:tc>
          <w:tcPr>
            <w:tcW w:w="850" w:type="pct"/>
            <w:tcBorders>
              <w:bottom w:val="single" w:sz="4" w:space="0" w:color="auto"/>
            </w:tcBorders>
            <w:shd w:val="clear" w:color="auto" w:fill="auto"/>
            <w:vAlign w:val="center"/>
          </w:tcPr>
          <w:p w14:paraId="39D11A8B"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w:t>
            </w:r>
          </w:p>
          <w:p w14:paraId="25F40763"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2020</w:t>
            </w:r>
          </w:p>
        </w:tc>
        <w:tc>
          <w:tcPr>
            <w:tcW w:w="1007" w:type="pct"/>
            <w:tcBorders>
              <w:bottom w:val="single" w:sz="4" w:space="0" w:color="auto"/>
            </w:tcBorders>
            <w:shd w:val="clear" w:color="auto" w:fill="auto"/>
            <w:vAlign w:val="center"/>
          </w:tcPr>
          <w:p w14:paraId="1DCC1FFB"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78%</w:t>
            </w:r>
          </w:p>
        </w:tc>
      </w:tr>
    </w:tbl>
    <w:p w14:paraId="31D2B9C3" w14:textId="77777777" w:rsidR="00794EB9" w:rsidRPr="00794EB9" w:rsidRDefault="00794EB9" w:rsidP="00794EB9">
      <w:pPr>
        <w:jc w:val="both"/>
        <w:rPr>
          <w:rFonts w:ascii="Arial" w:hAnsi="Arial" w:cs="Arial"/>
          <w:sz w:val="22"/>
          <w:szCs w:val="22"/>
        </w:rPr>
      </w:pPr>
    </w:p>
    <w:p w14:paraId="7C2D2908"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3.2 Equidad social. Mejorar las condiciones socioeconómicas de la población en alguna situación de pobreza contribuyendo a la reducción de las desigualdades.</w:t>
      </w:r>
    </w:p>
    <w:p w14:paraId="6B8C04C6"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1E0DE59C" w14:textId="77777777" w:rsidTr="00C307FB">
        <w:trPr>
          <w:trHeight w:val="57"/>
        </w:trPr>
        <w:tc>
          <w:tcPr>
            <w:tcW w:w="1048" w:type="pct"/>
            <w:shd w:val="clear" w:color="auto" w:fill="E8E7E9"/>
            <w:vAlign w:val="center"/>
          </w:tcPr>
          <w:p w14:paraId="75A01D48"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46" w:type="pct"/>
            <w:shd w:val="clear" w:color="auto" w:fill="E8E7E9"/>
            <w:vAlign w:val="center"/>
          </w:tcPr>
          <w:p w14:paraId="1A904F04"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shd w:val="clear" w:color="auto" w:fill="E8E7E9"/>
            <w:vAlign w:val="center"/>
          </w:tcPr>
          <w:p w14:paraId="2D3409AC"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850" w:type="pct"/>
            <w:shd w:val="clear" w:color="auto" w:fill="E8E7E9"/>
            <w:vAlign w:val="center"/>
          </w:tcPr>
          <w:p w14:paraId="4063CE52"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1007" w:type="pct"/>
            <w:shd w:val="clear" w:color="auto" w:fill="E8E7E9"/>
            <w:vAlign w:val="center"/>
          </w:tcPr>
          <w:p w14:paraId="4FEEFA87"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45D5316E" w14:textId="77777777" w:rsidTr="00C307FB">
        <w:trPr>
          <w:trHeight w:val="57"/>
        </w:trPr>
        <w:tc>
          <w:tcPr>
            <w:tcW w:w="1048" w:type="pct"/>
            <w:vAlign w:val="center"/>
          </w:tcPr>
          <w:p w14:paraId="162E5FFA"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Porcentaje de población en pobreza</w:t>
            </w:r>
          </w:p>
        </w:tc>
        <w:tc>
          <w:tcPr>
            <w:tcW w:w="1246" w:type="pct"/>
            <w:vAlign w:val="center"/>
          </w:tcPr>
          <w:p w14:paraId="0C24A62E"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Mide el porcentaje de personas que viven en alguna situación de pobreza con respecto al total de la población municipal.</w:t>
            </w:r>
          </w:p>
        </w:tc>
        <w:tc>
          <w:tcPr>
            <w:tcW w:w="849" w:type="pct"/>
            <w:vAlign w:val="center"/>
          </w:tcPr>
          <w:p w14:paraId="7507FA90"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31.5%</w:t>
            </w:r>
          </w:p>
        </w:tc>
        <w:tc>
          <w:tcPr>
            <w:tcW w:w="850" w:type="pct"/>
            <w:vAlign w:val="center"/>
          </w:tcPr>
          <w:p w14:paraId="4E246DE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CONEVAL. Medición de la Pobreza municipal 2015</w:t>
            </w:r>
          </w:p>
        </w:tc>
        <w:tc>
          <w:tcPr>
            <w:tcW w:w="1007" w:type="pct"/>
            <w:vAlign w:val="center"/>
          </w:tcPr>
          <w:p w14:paraId="669A3AF8"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25%</w:t>
            </w:r>
          </w:p>
        </w:tc>
      </w:tr>
      <w:tr w:rsidR="00794EB9" w:rsidRPr="00794EB9" w14:paraId="6B5ED558" w14:textId="77777777" w:rsidTr="00C307FB">
        <w:trPr>
          <w:trHeight w:val="57"/>
        </w:trPr>
        <w:tc>
          <w:tcPr>
            <w:tcW w:w="1048" w:type="pct"/>
            <w:vAlign w:val="center"/>
          </w:tcPr>
          <w:p w14:paraId="1ED63409"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Porcentaje de población que habita en polígonos de desarrollo</w:t>
            </w:r>
          </w:p>
        </w:tc>
        <w:tc>
          <w:tcPr>
            <w:tcW w:w="1246" w:type="pct"/>
            <w:vAlign w:val="center"/>
          </w:tcPr>
          <w:p w14:paraId="1A970667"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t xml:space="preserve">Es el porcentaje de población urbana que habita las zonas más vulnerables socialmente de la ciudad de León.  </w:t>
            </w:r>
          </w:p>
        </w:tc>
        <w:tc>
          <w:tcPr>
            <w:tcW w:w="849" w:type="pct"/>
            <w:vAlign w:val="center"/>
          </w:tcPr>
          <w:p w14:paraId="2EDD5BA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24.5%</w:t>
            </w:r>
          </w:p>
        </w:tc>
        <w:tc>
          <w:tcPr>
            <w:tcW w:w="850" w:type="pct"/>
            <w:vAlign w:val="center"/>
          </w:tcPr>
          <w:p w14:paraId="7D13203D"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IMPLAN. Cálculos propios con INEGI. Censo de Población y Vivienda 2020</w:t>
            </w:r>
          </w:p>
        </w:tc>
        <w:tc>
          <w:tcPr>
            <w:tcW w:w="1007" w:type="pct"/>
            <w:vAlign w:val="center"/>
          </w:tcPr>
          <w:p w14:paraId="61C8B1EE"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Disminuir a 22.5%</w:t>
            </w:r>
          </w:p>
        </w:tc>
      </w:tr>
      <w:tr w:rsidR="00794EB9" w:rsidRPr="00794EB9" w14:paraId="4185911B" w14:textId="77777777" w:rsidTr="00C307FB">
        <w:trPr>
          <w:trHeight w:val="57"/>
        </w:trPr>
        <w:tc>
          <w:tcPr>
            <w:tcW w:w="1048" w:type="pct"/>
            <w:tcBorders>
              <w:bottom w:val="single" w:sz="4" w:space="0" w:color="auto"/>
            </w:tcBorders>
            <w:vAlign w:val="center"/>
          </w:tcPr>
          <w:p w14:paraId="302B81AA"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Porcentaje de hogares que disponen de internet</w:t>
            </w:r>
          </w:p>
        </w:tc>
        <w:tc>
          <w:tcPr>
            <w:tcW w:w="1246" w:type="pct"/>
            <w:tcBorders>
              <w:bottom w:val="single" w:sz="4" w:space="0" w:color="auto"/>
            </w:tcBorders>
            <w:vAlign w:val="center"/>
          </w:tcPr>
          <w:p w14:paraId="101A116E" w14:textId="77777777" w:rsidR="00794EB9" w:rsidRPr="00794EB9" w:rsidRDefault="00794EB9" w:rsidP="00C307FB">
            <w:pPr>
              <w:ind w:hanging="2"/>
              <w:rPr>
                <w:rFonts w:ascii="Arial" w:hAnsi="Arial" w:cs="Arial"/>
                <w:sz w:val="22"/>
                <w:szCs w:val="22"/>
              </w:rPr>
            </w:pPr>
            <w:r w:rsidRPr="00794EB9">
              <w:rPr>
                <w:rFonts w:ascii="Arial" w:hAnsi="Arial" w:cs="Arial"/>
                <w:bCs/>
                <w:sz w:val="22"/>
                <w:szCs w:val="22"/>
              </w:rPr>
              <w:t xml:space="preserve">Mide el porcentaje de hogares del municipio que cuentan con conexión a internet. </w:t>
            </w:r>
          </w:p>
        </w:tc>
        <w:tc>
          <w:tcPr>
            <w:tcW w:w="849" w:type="pct"/>
            <w:tcBorders>
              <w:bottom w:val="single" w:sz="4" w:space="0" w:color="auto"/>
            </w:tcBorders>
            <w:vAlign w:val="center"/>
          </w:tcPr>
          <w:p w14:paraId="531B650D" w14:textId="77777777" w:rsidR="00794EB9" w:rsidRPr="00794EB9" w:rsidRDefault="00794EB9" w:rsidP="00C307FB">
            <w:pPr>
              <w:ind w:hanging="2"/>
              <w:jc w:val="center"/>
              <w:rPr>
                <w:rFonts w:ascii="Arial" w:hAnsi="Arial" w:cs="Arial"/>
                <w:sz w:val="22"/>
                <w:szCs w:val="22"/>
              </w:rPr>
            </w:pPr>
            <w:r w:rsidRPr="00794EB9">
              <w:rPr>
                <w:rFonts w:ascii="Arial" w:hAnsi="Arial" w:cs="Arial"/>
                <w:bCs/>
                <w:sz w:val="22"/>
                <w:szCs w:val="22"/>
              </w:rPr>
              <w:t>59.7%</w:t>
            </w:r>
          </w:p>
        </w:tc>
        <w:tc>
          <w:tcPr>
            <w:tcW w:w="850" w:type="pct"/>
            <w:tcBorders>
              <w:bottom w:val="single" w:sz="4" w:space="0" w:color="auto"/>
            </w:tcBorders>
            <w:vAlign w:val="center"/>
          </w:tcPr>
          <w:p w14:paraId="5D00977C" w14:textId="77777777" w:rsidR="00794EB9" w:rsidRPr="00794EB9" w:rsidRDefault="00794EB9" w:rsidP="00C307FB">
            <w:pPr>
              <w:ind w:hanging="2"/>
              <w:jc w:val="center"/>
              <w:rPr>
                <w:rFonts w:ascii="Arial" w:hAnsi="Arial" w:cs="Arial"/>
                <w:sz w:val="22"/>
                <w:szCs w:val="22"/>
              </w:rPr>
            </w:pPr>
            <w:r w:rsidRPr="00794EB9">
              <w:rPr>
                <w:rFonts w:ascii="Arial" w:hAnsi="Arial" w:cs="Arial"/>
                <w:bCs/>
                <w:sz w:val="22"/>
                <w:szCs w:val="22"/>
              </w:rPr>
              <w:t>INEGI. Censo de Población y Vivienda 2020</w:t>
            </w:r>
          </w:p>
        </w:tc>
        <w:tc>
          <w:tcPr>
            <w:tcW w:w="1007" w:type="pct"/>
            <w:tcBorders>
              <w:bottom w:val="single" w:sz="4" w:space="0" w:color="auto"/>
            </w:tcBorders>
            <w:vAlign w:val="center"/>
          </w:tcPr>
          <w:p w14:paraId="7AC0623C"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 80%</w:t>
            </w:r>
          </w:p>
        </w:tc>
      </w:tr>
    </w:tbl>
    <w:p w14:paraId="3C1C95A5" w14:textId="77777777" w:rsidR="00794EB9" w:rsidRPr="00794EB9" w:rsidRDefault="00794EB9" w:rsidP="00794EB9">
      <w:pPr>
        <w:jc w:val="both"/>
        <w:rPr>
          <w:rFonts w:ascii="Arial" w:hAnsi="Arial" w:cs="Arial"/>
          <w:sz w:val="22"/>
          <w:szCs w:val="22"/>
        </w:rPr>
      </w:pPr>
    </w:p>
    <w:p w14:paraId="2FA5B6CE"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4.4 Planeación, anticipación y gestión estratégica. Consolidar el modelo de planeación y anticipación estratégica "León hacia el futuro", articulando los procesos de inteligencia y gestión del desarrollo local.</w:t>
      </w:r>
    </w:p>
    <w:p w14:paraId="0362CAD7"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jc w:val="center"/>
        <w:tblLook w:val="04A0" w:firstRow="1" w:lastRow="0" w:firstColumn="1" w:lastColumn="0" w:noHBand="0" w:noVBand="1"/>
      </w:tblPr>
      <w:tblGrid>
        <w:gridCol w:w="1672"/>
        <w:gridCol w:w="2206"/>
        <w:gridCol w:w="1528"/>
        <w:gridCol w:w="1745"/>
        <w:gridCol w:w="1677"/>
      </w:tblGrid>
      <w:tr w:rsidR="00794EB9" w:rsidRPr="00794EB9" w14:paraId="7E95129D" w14:textId="77777777" w:rsidTr="00C307FB">
        <w:trPr>
          <w:trHeight w:val="57"/>
          <w:jc w:val="center"/>
        </w:trPr>
        <w:tc>
          <w:tcPr>
            <w:tcW w:w="967" w:type="pct"/>
            <w:tcBorders>
              <w:top w:val="single" w:sz="4" w:space="0" w:color="auto"/>
            </w:tcBorders>
            <w:shd w:val="clear" w:color="auto" w:fill="E8E7E9"/>
            <w:vAlign w:val="center"/>
          </w:tcPr>
          <w:p w14:paraId="000C50F5"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69" w:type="pct"/>
            <w:tcBorders>
              <w:top w:val="single" w:sz="4" w:space="0" w:color="auto"/>
            </w:tcBorders>
            <w:shd w:val="clear" w:color="auto" w:fill="E8E7E9"/>
            <w:vAlign w:val="center"/>
          </w:tcPr>
          <w:p w14:paraId="738A78FA"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tcBorders>
              <w:top w:val="single" w:sz="4" w:space="0" w:color="auto"/>
            </w:tcBorders>
            <w:shd w:val="clear" w:color="auto" w:fill="E8E7E9"/>
            <w:vAlign w:val="center"/>
          </w:tcPr>
          <w:p w14:paraId="225014F2"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0" w:type="pct"/>
            <w:tcBorders>
              <w:top w:val="single" w:sz="4" w:space="0" w:color="auto"/>
            </w:tcBorders>
            <w:shd w:val="clear" w:color="auto" w:fill="E8E7E9"/>
            <w:vAlign w:val="center"/>
          </w:tcPr>
          <w:p w14:paraId="75404E6B"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969" w:type="pct"/>
            <w:tcBorders>
              <w:top w:val="single" w:sz="4" w:space="0" w:color="auto"/>
            </w:tcBorders>
            <w:shd w:val="clear" w:color="auto" w:fill="E8E7E9"/>
            <w:vAlign w:val="center"/>
          </w:tcPr>
          <w:p w14:paraId="3F0D5C27"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Meta 2030</w:t>
            </w:r>
          </w:p>
        </w:tc>
      </w:tr>
      <w:tr w:rsidR="00794EB9" w:rsidRPr="00794EB9" w14:paraId="58BE2DB3" w14:textId="77777777" w:rsidTr="00C307FB">
        <w:trPr>
          <w:trHeight w:val="57"/>
          <w:jc w:val="center"/>
        </w:trPr>
        <w:tc>
          <w:tcPr>
            <w:tcW w:w="967" w:type="pct"/>
            <w:tcBorders>
              <w:top w:val="single" w:sz="4" w:space="0" w:color="auto"/>
            </w:tcBorders>
            <w:vAlign w:val="center"/>
          </w:tcPr>
          <w:p w14:paraId="37F8180F"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 xml:space="preserve">Porcentaje de recursos humanos municipales </w:t>
            </w:r>
            <w:r w:rsidRPr="00794EB9">
              <w:rPr>
                <w:rFonts w:ascii="Arial" w:hAnsi="Arial" w:cs="Arial"/>
                <w:b/>
                <w:iCs/>
                <w:sz w:val="22"/>
                <w:szCs w:val="22"/>
              </w:rPr>
              <w:lastRenderedPageBreak/>
              <w:t>con educación superior en áreas de planeación y gestión territorial</w:t>
            </w:r>
          </w:p>
        </w:tc>
        <w:tc>
          <w:tcPr>
            <w:tcW w:w="1269" w:type="pct"/>
            <w:tcBorders>
              <w:top w:val="single" w:sz="4" w:space="0" w:color="auto"/>
            </w:tcBorders>
            <w:vAlign w:val="center"/>
          </w:tcPr>
          <w:p w14:paraId="43BFB737" w14:textId="77777777" w:rsidR="00794EB9" w:rsidRPr="00794EB9" w:rsidRDefault="00794EB9" w:rsidP="00C307FB">
            <w:pPr>
              <w:ind w:hanging="2"/>
              <w:rPr>
                <w:rFonts w:ascii="Arial" w:hAnsi="Arial" w:cs="Arial"/>
                <w:sz w:val="22"/>
                <w:szCs w:val="22"/>
              </w:rPr>
            </w:pPr>
            <w:r w:rsidRPr="00794EB9">
              <w:rPr>
                <w:rFonts w:ascii="Arial" w:hAnsi="Arial" w:cs="Arial"/>
                <w:sz w:val="22"/>
                <w:szCs w:val="22"/>
              </w:rPr>
              <w:lastRenderedPageBreak/>
              <w:t xml:space="preserve">Mide el porcentaje de recursos humanos municipales con </w:t>
            </w:r>
            <w:r w:rsidRPr="00794EB9">
              <w:rPr>
                <w:rFonts w:ascii="Arial" w:hAnsi="Arial" w:cs="Arial"/>
                <w:sz w:val="22"/>
                <w:szCs w:val="22"/>
              </w:rPr>
              <w:lastRenderedPageBreak/>
              <w:t>educación superior (licenciatura o posgrado) en áreas de planeación y gestión territorial</w:t>
            </w:r>
          </w:p>
        </w:tc>
        <w:tc>
          <w:tcPr>
            <w:tcW w:w="885" w:type="pct"/>
            <w:tcBorders>
              <w:top w:val="single" w:sz="4" w:space="0" w:color="auto"/>
            </w:tcBorders>
            <w:vAlign w:val="center"/>
          </w:tcPr>
          <w:p w14:paraId="2CE48290"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lastRenderedPageBreak/>
              <w:t>71.4%</w:t>
            </w:r>
          </w:p>
        </w:tc>
        <w:tc>
          <w:tcPr>
            <w:tcW w:w="910" w:type="pct"/>
            <w:tcBorders>
              <w:top w:val="single" w:sz="4" w:space="0" w:color="auto"/>
            </w:tcBorders>
            <w:vAlign w:val="center"/>
          </w:tcPr>
          <w:p w14:paraId="55719006"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 xml:space="preserve">INEGI. Censo Nacional de Gobiernos Municipales y </w:t>
            </w:r>
            <w:r w:rsidRPr="00794EB9">
              <w:rPr>
                <w:rFonts w:ascii="Arial" w:hAnsi="Arial" w:cs="Arial"/>
                <w:sz w:val="22"/>
                <w:szCs w:val="22"/>
              </w:rPr>
              <w:lastRenderedPageBreak/>
              <w:t>Demarcaciones Territoriales de la Ciudad de México. 2019</w:t>
            </w:r>
          </w:p>
        </w:tc>
        <w:tc>
          <w:tcPr>
            <w:tcW w:w="969" w:type="pct"/>
            <w:tcBorders>
              <w:top w:val="single" w:sz="4" w:space="0" w:color="auto"/>
            </w:tcBorders>
            <w:vAlign w:val="center"/>
          </w:tcPr>
          <w:p w14:paraId="00AF1B7D"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lastRenderedPageBreak/>
              <w:t>Aumentar al 80%</w:t>
            </w:r>
          </w:p>
        </w:tc>
      </w:tr>
    </w:tbl>
    <w:p w14:paraId="12EC1B13" w14:textId="77777777" w:rsidR="00794EB9" w:rsidRPr="00794EB9" w:rsidRDefault="00794EB9" w:rsidP="00794EB9">
      <w:pPr>
        <w:jc w:val="both"/>
        <w:rPr>
          <w:rFonts w:ascii="Arial" w:hAnsi="Arial" w:cs="Arial"/>
          <w:sz w:val="22"/>
          <w:szCs w:val="22"/>
        </w:rPr>
      </w:pPr>
    </w:p>
    <w:p w14:paraId="06D76E30"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4.5 Tecnología y conectividad digital. Ampliar la cobertura de conectividad digital, favoreciendo la tele gestión y una mayor eficiencia de servicios públicos.</w:t>
      </w:r>
    </w:p>
    <w:p w14:paraId="11AAE974"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Look w:val="04A0" w:firstRow="1" w:lastRow="0" w:firstColumn="1" w:lastColumn="0" w:noHBand="0" w:noVBand="1"/>
      </w:tblPr>
      <w:tblGrid>
        <w:gridCol w:w="1706"/>
        <w:gridCol w:w="2241"/>
        <w:gridCol w:w="1563"/>
        <w:gridCol w:w="1607"/>
        <w:gridCol w:w="1711"/>
      </w:tblGrid>
      <w:tr w:rsidR="00794EB9" w:rsidRPr="00794EB9" w14:paraId="30AC2710" w14:textId="77777777" w:rsidTr="00C307FB">
        <w:trPr>
          <w:trHeight w:val="57"/>
        </w:trPr>
        <w:tc>
          <w:tcPr>
            <w:tcW w:w="967" w:type="pct"/>
            <w:tcBorders>
              <w:top w:val="single" w:sz="4" w:space="0" w:color="auto"/>
            </w:tcBorders>
            <w:shd w:val="clear" w:color="auto" w:fill="E8E7E9"/>
            <w:vAlign w:val="center"/>
          </w:tcPr>
          <w:p w14:paraId="64CABB97"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sz w:val="22"/>
                <w:szCs w:val="22"/>
              </w:rPr>
              <w:t>Indicadores</w:t>
            </w:r>
          </w:p>
        </w:tc>
        <w:tc>
          <w:tcPr>
            <w:tcW w:w="1269" w:type="pct"/>
            <w:tcBorders>
              <w:top w:val="single" w:sz="4" w:space="0" w:color="auto"/>
            </w:tcBorders>
            <w:shd w:val="clear" w:color="auto" w:fill="E8E7E9"/>
            <w:vAlign w:val="center"/>
          </w:tcPr>
          <w:p w14:paraId="508B6F63"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tcBorders>
              <w:top w:val="single" w:sz="4" w:space="0" w:color="auto"/>
            </w:tcBorders>
            <w:shd w:val="clear" w:color="auto" w:fill="E8E7E9"/>
            <w:vAlign w:val="center"/>
          </w:tcPr>
          <w:p w14:paraId="103D1983"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Valor Actual</w:t>
            </w:r>
          </w:p>
        </w:tc>
        <w:tc>
          <w:tcPr>
            <w:tcW w:w="910" w:type="pct"/>
            <w:tcBorders>
              <w:top w:val="single" w:sz="4" w:space="0" w:color="auto"/>
            </w:tcBorders>
            <w:shd w:val="clear" w:color="auto" w:fill="E8E7E9"/>
            <w:vAlign w:val="center"/>
          </w:tcPr>
          <w:p w14:paraId="13086353" w14:textId="77777777" w:rsidR="00794EB9" w:rsidRPr="00794EB9" w:rsidRDefault="00794EB9" w:rsidP="00C307FB">
            <w:pPr>
              <w:ind w:hanging="2"/>
              <w:jc w:val="center"/>
              <w:rPr>
                <w:rFonts w:ascii="Arial" w:hAnsi="Arial" w:cs="Arial"/>
                <w:sz w:val="22"/>
                <w:szCs w:val="22"/>
              </w:rPr>
            </w:pPr>
            <w:r w:rsidRPr="00794EB9">
              <w:rPr>
                <w:rFonts w:ascii="Arial" w:hAnsi="Arial" w:cs="Arial"/>
                <w:b/>
                <w:sz w:val="22"/>
                <w:szCs w:val="22"/>
              </w:rPr>
              <w:t>Fuente</w:t>
            </w:r>
          </w:p>
        </w:tc>
        <w:tc>
          <w:tcPr>
            <w:tcW w:w="969" w:type="pct"/>
            <w:tcBorders>
              <w:top w:val="single" w:sz="4" w:space="0" w:color="auto"/>
            </w:tcBorders>
            <w:shd w:val="clear" w:color="auto" w:fill="E8E7E9"/>
            <w:vAlign w:val="center"/>
          </w:tcPr>
          <w:p w14:paraId="43D72B7D"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5E14074F" w14:textId="77777777" w:rsidTr="00C307FB">
        <w:trPr>
          <w:trHeight w:val="57"/>
        </w:trPr>
        <w:tc>
          <w:tcPr>
            <w:tcW w:w="967" w:type="pct"/>
            <w:tcBorders>
              <w:top w:val="single" w:sz="4" w:space="0" w:color="auto"/>
            </w:tcBorders>
            <w:vAlign w:val="center"/>
          </w:tcPr>
          <w:p w14:paraId="576363AF" w14:textId="77777777" w:rsidR="00794EB9" w:rsidRPr="00794EB9" w:rsidRDefault="00794EB9" w:rsidP="00C307FB">
            <w:pPr>
              <w:ind w:hanging="2"/>
              <w:jc w:val="center"/>
              <w:rPr>
                <w:rFonts w:ascii="Arial" w:hAnsi="Arial" w:cs="Arial"/>
                <w:b/>
                <w:iCs/>
                <w:sz w:val="22"/>
                <w:szCs w:val="22"/>
              </w:rPr>
            </w:pPr>
            <w:r w:rsidRPr="00794EB9">
              <w:rPr>
                <w:rFonts w:ascii="Arial" w:hAnsi="Arial" w:cs="Arial"/>
                <w:b/>
                <w:iCs/>
                <w:sz w:val="22"/>
                <w:szCs w:val="22"/>
              </w:rPr>
              <w:t>Porcentaje de luminarias integradas al sistema de Tele-gestión</w:t>
            </w:r>
          </w:p>
        </w:tc>
        <w:tc>
          <w:tcPr>
            <w:tcW w:w="1269" w:type="pct"/>
            <w:tcBorders>
              <w:top w:val="single" w:sz="4" w:space="0" w:color="auto"/>
            </w:tcBorders>
            <w:vAlign w:val="center"/>
          </w:tcPr>
          <w:p w14:paraId="1AF4065F"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Es el porcentaje del número de luminarias del Sistema Vial Primario que cuentan con sistema de tele gestión</w:t>
            </w:r>
          </w:p>
        </w:tc>
        <w:tc>
          <w:tcPr>
            <w:tcW w:w="885" w:type="pct"/>
            <w:tcBorders>
              <w:top w:val="single" w:sz="4" w:space="0" w:color="auto"/>
            </w:tcBorders>
            <w:vAlign w:val="center"/>
          </w:tcPr>
          <w:p w14:paraId="1EA51D2A"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41% de las luminarias del Sistema Vial Primario</w:t>
            </w:r>
          </w:p>
        </w:tc>
        <w:tc>
          <w:tcPr>
            <w:tcW w:w="910" w:type="pct"/>
            <w:tcBorders>
              <w:top w:val="single" w:sz="4" w:space="0" w:color="auto"/>
            </w:tcBorders>
            <w:vAlign w:val="center"/>
          </w:tcPr>
          <w:p w14:paraId="3F5CA601" w14:textId="77777777" w:rsidR="00794EB9" w:rsidRPr="00794EB9" w:rsidRDefault="00794EB9" w:rsidP="00C307FB">
            <w:pPr>
              <w:ind w:hanging="2"/>
              <w:jc w:val="center"/>
              <w:rPr>
                <w:rFonts w:ascii="Arial" w:hAnsi="Arial" w:cs="Arial"/>
                <w:sz w:val="22"/>
                <w:szCs w:val="22"/>
              </w:rPr>
            </w:pPr>
            <w:r w:rsidRPr="00794EB9">
              <w:rPr>
                <w:rFonts w:ascii="Arial" w:hAnsi="Arial" w:cs="Arial"/>
                <w:sz w:val="22"/>
                <w:szCs w:val="22"/>
              </w:rPr>
              <w:t>Dirección General de Obra Pública. 2020</w:t>
            </w:r>
          </w:p>
        </w:tc>
        <w:tc>
          <w:tcPr>
            <w:tcW w:w="969" w:type="pct"/>
            <w:tcBorders>
              <w:top w:val="single" w:sz="4" w:space="0" w:color="auto"/>
            </w:tcBorders>
            <w:vAlign w:val="center"/>
          </w:tcPr>
          <w:p w14:paraId="605954B8" w14:textId="77777777" w:rsidR="00794EB9" w:rsidRPr="00794EB9" w:rsidRDefault="00794EB9" w:rsidP="00C307FB">
            <w:pPr>
              <w:ind w:hanging="2"/>
              <w:jc w:val="center"/>
              <w:rPr>
                <w:rFonts w:ascii="Arial" w:hAnsi="Arial" w:cs="Arial"/>
                <w:b/>
                <w:bCs/>
                <w:sz w:val="22"/>
                <w:szCs w:val="22"/>
              </w:rPr>
            </w:pPr>
            <w:r w:rsidRPr="00794EB9">
              <w:rPr>
                <w:rFonts w:ascii="Arial" w:hAnsi="Arial" w:cs="Arial"/>
                <w:b/>
                <w:bCs/>
                <w:sz w:val="22"/>
                <w:szCs w:val="22"/>
              </w:rPr>
              <w:t>Aumentar al 100% de las luminarias del Sistema Vial Primario</w:t>
            </w:r>
          </w:p>
        </w:tc>
      </w:tr>
    </w:tbl>
    <w:p w14:paraId="41695431" w14:textId="77777777" w:rsidR="00794EB9" w:rsidRPr="00794EB9" w:rsidRDefault="00794EB9" w:rsidP="00794EB9">
      <w:pPr>
        <w:rPr>
          <w:rFonts w:ascii="Arial" w:hAnsi="Arial" w:cs="Arial"/>
          <w:b/>
          <w:bCs/>
          <w:sz w:val="22"/>
          <w:szCs w:val="22"/>
        </w:rPr>
      </w:pPr>
    </w:p>
    <w:p w14:paraId="00CFA443" w14:textId="77777777" w:rsidR="00794EB9" w:rsidRPr="00794EB9" w:rsidRDefault="00794EB9" w:rsidP="00794EB9">
      <w:pPr>
        <w:pStyle w:val="TtuloPG"/>
        <w:pBdr>
          <w:top w:val="single" w:sz="4" w:space="1" w:color="auto"/>
          <w:left w:val="single" w:sz="4" w:space="4" w:color="auto"/>
          <w:bottom w:val="single" w:sz="4" w:space="1" w:color="auto"/>
          <w:right w:val="single" w:sz="4" w:space="4" w:color="auto"/>
        </w:pBdr>
        <w:rPr>
          <w:color w:val="auto"/>
          <w:sz w:val="22"/>
          <w:szCs w:val="22"/>
        </w:rPr>
      </w:pPr>
      <w:r w:rsidRPr="00794EB9">
        <w:rPr>
          <w:color w:val="auto"/>
          <w:sz w:val="22"/>
          <w:szCs w:val="22"/>
        </w:rPr>
        <w:t>IX. REFERENCIAS CONSULTADAS</w:t>
      </w:r>
    </w:p>
    <w:p w14:paraId="38DD4441" w14:textId="77777777" w:rsidR="00794EB9" w:rsidRPr="00794EB9" w:rsidRDefault="00794EB9" w:rsidP="00794EB9">
      <w:pPr>
        <w:jc w:val="both"/>
        <w:rPr>
          <w:rFonts w:ascii="Arial" w:hAnsi="Arial" w:cs="Arial"/>
          <w:sz w:val="22"/>
          <w:szCs w:val="22"/>
        </w:rPr>
      </w:pPr>
    </w:p>
    <w:p w14:paraId="1B904802" w14:textId="77777777" w:rsidR="00794EB9" w:rsidRPr="00794EB9" w:rsidRDefault="00794EB9" w:rsidP="00794EB9">
      <w:pPr>
        <w:pStyle w:val="TtuloPG2"/>
        <w:ind w:left="0"/>
        <w:jc w:val="both"/>
        <w:rPr>
          <w:color w:val="auto"/>
          <w:sz w:val="22"/>
          <w:szCs w:val="22"/>
          <w:lang w:val="es-ES"/>
        </w:rPr>
      </w:pPr>
      <w:r w:rsidRPr="00794EB9">
        <w:rPr>
          <w:color w:val="auto"/>
          <w:sz w:val="22"/>
          <w:szCs w:val="22"/>
          <w:lang w:val="es-ES"/>
        </w:rPr>
        <w:t>LEYES</w:t>
      </w:r>
    </w:p>
    <w:p w14:paraId="0927443B"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Ley Orgánica Municipal para el Estado de Guanajuato.</w:t>
      </w:r>
    </w:p>
    <w:p w14:paraId="4271343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Ley de Planeación para el Estado de Guanajuato.</w:t>
      </w:r>
    </w:p>
    <w:p w14:paraId="0BEC34D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Reglamento Interior de la Administración Pública Municipal de León, Guanajuato.</w:t>
      </w:r>
    </w:p>
    <w:p w14:paraId="7FB2D07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Reglamento para la Protección, Mejoramiento y Conservación de la Imagen Urbana y del Patrimonio Cultural del municipio de León.</w:t>
      </w:r>
    </w:p>
    <w:p w14:paraId="09F3B129" w14:textId="77777777" w:rsidR="00794EB9" w:rsidRPr="00794EB9" w:rsidRDefault="00794EB9" w:rsidP="00794EB9">
      <w:pPr>
        <w:ind w:hanging="2"/>
        <w:jc w:val="both"/>
        <w:rPr>
          <w:rFonts w:ascii="Arial" w:hAnsi="Arial" w:cs="Arial"/>
          <w:sz w:val="22"/>
          <w:szCs w:val="22"/>
        </w:rPr>
      </w:pPr>
    </w:p>
    <w:p w14:paraId="64E01C3A" w14:textId="77777777" w:rsidR="00794EB9" w:rsidRPr="00794EB9" w:rsidRDefault="00794EB9" w:rsidP="00794EB9">
      <w:pPr>
        <w:pStyle w:val="TtuloPG2"/>
        <w:ind w:left="0"/>
        <w:jc w:val="both"/>
        <w:rPr>
          <w:color w:val="auto"/>
          <w:sz w:val="22"/>
          <w:szCs w:val="22"/>
          <w:lang w:val="es-ES"/>
        </w:rPr>
      </w:pPr>
      <w:r w:rsidRPr="00794EB9">
        <w:rPr>
          <w:color w:val="auto"/>
          <w:sz w:val="22"/>
          <w:szCs w:val="22"/>
          <w:lang w:val="es-ES"/>
        </w:rPr>
        <w:t>PLANES Y PROGRAMAS</w:t>
      </w:r>
    </w:p>
    <w:p w14:paraId="04A7CEF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Transformar nuestro mundo: la Agenda 2030 para el Desarrollo Sostenible. Resolución aprobada por la Asamblea General de las Naciones Unidas el 25 de septiembre de 2015. </w:t>
      </w:r>
    </w:p>
    <w:p w14:paraId="34BB90CE"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Plan Nacional de Desarrollo 2019 – 2024.</w:t>
      </w:r>
    </w:p>
    <w:p w14:paraId="1AAEF5B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Plan Estatal de Desarrollo. Guanajuato 2040.</w:t>
      </w:r>
    </w:p>
    <w:p w14:paraId="4515673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Programa de Gobierno del Estado de Guanajuato 2018 – 2024.</w:t>
      </w:r>
    </w:p>
    <w:p w14:paraId="61266F5E"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Plan Municipal de Desarrollo León Hacia el Futuro PMD Visión 2045.</w:t>
      </w:r>
    </w:p>
    <w:p w14:paraId="1A8B4BAF"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Programa Municipal de Desarrollo Urbano y de Ordenamiento Ecológico y Territorial (PMDUOET) 2020.</w:t>
      </w:r>
    </w:p>
    <w:p w14:paraId="6CE32694"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Plan de Trabajo del H. Ayuntamiento de León 2021 – 2024.</w:t>
      </w:r>
    </w:p>
    <w:p w14:paraId="614BE9D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Plan de Desarrollo Hidráulico Municipal 2021.</w:t>
      </w:r>
    </w:p>
    <w:p w14:paraId="38568A2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Programa Municipal de Cambio Climático de León, Guanajuato (2021).</w:t>
      </w:r>
    </w:p>
    <w:p w14:paraId="6AFE40EC" w14:textId="77777777" w:rsidR="00794EB9" w:rsidRPr="00794EB9" w:rsidRDefault="00794EB9" w:rsidP="00794EB9">
      <w:pPr>
        <w:ind w:hanging="2"/>
        <w:jc w:val="both"/>
        <w:rPr>
          <w:rFonts w:ascii="Arial" w:hAnsi="Arial" w:cs="Arial"/>
          <w:b/>
          <w:sz w:val="22"/>
          <w:szCs w:val="22"/>
        </w:rPr>
      </w:pPr>
      <w:r w:rsidRPr="00794EB9">
        <w:rPr>
          <w:rFonts w:ascii="Arial" w:hAnsi="Arial" w:cs="Arial"/>
          <w:sz w:val="22"/>
          <w:szCs w:val="22"/>
        </w:rPr>
        <w:t>Plan Integral de Movilidad Urbana Sustentable (PIMUS) 2018.</w:t>
      </w:r>
    </w:p>
    <w:p w14:paraId="370D8044" w14:textId="77777777" w:rsidR="00794EB9" w:rsidRPr="00794EB9" w:rsidRDefault="00794EB9" w:rsidP="00794EB9">
      <w:pPr>
        <w:pStyle w:val="TtuloPG2"/>
        <w:ind w:left="0"/>
        <w:jc w:val="both"/>
        <w:rPr>
          <w:color w:val="auto"/>
          <w:sz w:val="22"/>
          <w:szCs w:val="22"/>
        </w:rPr>
      </w:pPr>
    </w:p>
    <w:p w14:paraId="1BFE8526" w14:textId="77777777" w:rsidR="00794EB9" w:rsidRPr="00794EB9" w:rsidRDefault="00794EB9" w:rsidP="00794EB9">
      <w:pPr>
        <w:pStyle w:val="TtuloPG2"/>
        <w:ind w:left="0"/>
        <w:jc w:val="both"/>
        <w:rPr>
          <w:color w:val="auto"/>
          <w:sz w:val="22"/>
          <w:szCs w:val="22"/>
          <w:lang w:val="es-ES"/>
        </w:rPr>
      </w:pPr>
      <w:r w:rsidRPr="00794EB9">
        <w:rPr>
          <w:color w:val="auto"/>
          <w:sz w:val="22"/>
          <w:szCs w:val="22"/>
          <w:lang w:val="es-ES"/>
        </w:rPr>
        <w:t xml:space="preserve">ESTUDIOS </w:t>
      </w:r>
    </w:p>
    <w:p w14:paraId="0E46D17C"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Instituto Municipal de Planeación (IMPLAN). (2018). Actualización del Atlas de Riesgos del Municipio de León 2018, Etapa II de los Fenómenos Hidrometeorológico, Geológico y Sanitario Ambiental. León, Guanajuato.</w:t>
      </w:r>
    </w:p>
    <w:p w14:paraId="4DDF2AE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lastRenderedPageBreak/>
        <w:t>----- (IMPLAN). (2016). Actualización del Plan Maestro de Ciclovías 2016. León, Guanajuato.</w:t>
      </w:r>
    </w:p>
    <w:p w14:paraId="057CF9B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(2021). Efectos sociales y económicos en los hogares de los Polígonos de Desarrollo durante la pandemia del COVID-19. León, Guanajuato.</w:t>
      </w:r>
    </w:p>
    <w:p w14:paraId="2684C49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(2020). Estudio “análisis y estrategias para la vivienda deshabitada en León”. León, Guanajuato.</w:t>
      </w:r>
    </w:p>
    <w:p w14:paraId="4E777A6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(2018). Estudio Frontera Agrícola Zona Sur, Segunda Etapa. León, Guanajuato.</w:t>
      </w:r>
    </w:p>
    <w:p w14:paraId="58A074B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(2020). Manual para la Gestión de la Infraestructura Verde en la ciudad de León, Guanajuato. León, Guanajuato.</w:t>
      </w:r>
    </w:p>
    <w:p w14:paraId="1EA9CD5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(2014). Plan Maestro de la Ruta del Peatón. León, Guanajuato.</w:t>
      </w:r>
    </w:p>
    <w:p w14:paraId="73378C6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(2012). Plan Maestro de Parques Lineales. León, Guanajuato.</w:t>
      </w:r>
    </w:p>
    <w:p w14:paraId="3512005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(2017). Prospectiva León. Análisis y Proyección del Territorio. León, Guanajuato.</w:t>
      </w:r>
    </w:p>
    <w:p w14:paraId="0EA3068F"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(2014). Registro de Patrimonio Cultural de la Ciudad Histórica de León y sus Zonas Monumental, Histórica y Urbana. León, Guanajuato.</w:t>
      </w:r>
    </w:p>
    <w:p w14:paraId="1F3F5B5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(2021). Situación actual y retos prioritarios de la Educación Básica en el Municipio de León. León, Guanajuato.</w:t>
      </w:r>
    </w:p>
    <w:p w14:paraId="5C9FE5B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Secretaría de Desarrollo Agrario, Territorial y Urbano (SEDATU); Sociedad Alemana de Cooperación Internacional (GIZ); Instituto de Políticas para el Transporte y el Desarrollo (ITDP). (2019). Ciudades mexicanas – Pedaleando por un desarrollo bajo en carbono. Ciudad de México.</w:t>
      </w:r>
    </w:p>
    <w:p w14:paraId="7D3C2711" w14:textId="77777777" w:rsidR="00794EB9" w:rsidRPr="00794EB9" w:rsidRDefault="00794EB9" w:rsidP="00794EB9">
      <w:pPr>
        <w:pStyle w:val="TtuloPG2"/>
        <w:ind w:left="0"/>
        <w:jc w:val="both"/>
        <w:rPr>
          <w:color w:val="auto"/>
          <w:sz w:val="22"/>
          <w:szCs w:val="22"/>
        </w:rPr>
      </w:pPr>
    </w:p>
    <w:p w14:paraId="07B3C0F9" w14:textId="77777777" w:rsidR="00794EB9" w:rsidRPr="00794EB9" w:rsidRDefault="00794EB9" w:rsidP="00794EB9">
      <w:pPr>
        <w:pStyle w:val="TtuloPG2"/>
        <w:ind w:left="0"/>
        <w:jc w:val="both"/>
        <w:rPr>
          <w:color w:val="auto"/>
          <w:sz w:val="22"/>
          <w:szCs w:val="22"/>
        </w:rPr>
      </w:pPr>
    </w:p>
    <w:p w14:paraId="15FEC56F" w14:textId="77777777" w:rsidR="00794EB9" w:rsidRPr="00794EB9" w:rsidRDefault="00794EB9" w:rsidP="00794EB9">
      <w:pPr>
        <w:pStyle w:val="TtuloPG2"/>
        <w:ind w:left="0"/>
        <w:jc w:val="both"/>
        <w:rPr>
          <w:color w:val="auto"/>
          <w:sz w:val="22"/>
          <w:szCs w:val="22"/>
          <w:lang w:val="es-ES"/>
        </w:rPr>
      </w:pPr>
      <w:r w:rsidRPr="00794EB9">
        <w:rPr>
          <w:color w:val="auto"/>
          <w:sz w:val="22"/>
          <w:szCs w:val="22"/>
          <w:lang w:val="es-ES"/>
        </w:rPr>
        <w:t>ESTADÍSTICA</w:t>
      </w:r>
    </w:p>
    <w:p w14:paraId="69E8F6E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Banco de México. (2021). Ingresos por remesas: distribución por municipio, primer semestre 2021.</w:t>
      </w:r>
    </w:p>
    <w:p w14:paraId="29551C5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Comité de Prevención de Inundaciones del municipio de León. (2021). Zonas inundables 2021.  </w:t>
      </w:r>
    </w:p>
    <w:p w14:paraId="412D0B5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Consejo Nacional de Población (CONAPO). (2020). Índice de marginación urbana 2020.</w:t>
      </w:r>
    </w:p>
    <w:p w14:paraId="7818413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(CONAPO). (2020). Índice de marginación por localidad 2020.</w:t>
      </w:r>
    </w:p>
    <w:p w14:paraId="558A176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Consejo Nacional de Evaluación de la Política de Desarrollo Social (CONEVAL). (2020). Grado de accesibilidad a carretera pavimentada 2020.</w:t>
      </w:r>
    </w:p>
    <w:p w14:paraId="2DB05DD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(CONEVAL). (2020). Índice de rezago social por localidad 2020.</w:t>
      </w:r>
    </w:p>
    <w:p w14:paraId="620C433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(CONEVAL). (2015). Medición de la pobreza por municipio.</w:t>
      </w:r>
    </w:p>
    <w:p w14:paraId="0B7B6D7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Coordinadora de Fomento al Comercio Exterior de Estado de Guanajuato (COFOCE). (2020).  Estadísticas de comercio exterior del Estado de Guanajuato, 1°er semestre 2020.</w:t>
      </w:r>
    </w:p>
    <w:p w14:paraId="1923824B"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Dirección General de Medio Ambiente del municipio de León. (2021). Sistema de indicadores sobre la calidad del aire, primer semestre 2021.</w:t>
      </w:r>
    </w:p>
    <w:p w14:paraId="024A27BB"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Dirección General de Movilidad del municipio de León. (2021). Datos de movilidad, septiembre 2021.  </w:t>
      </w:r>
    </w:p>
    <w:p w14:paraId="71E2D20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Dirección General de Protección Civil del municipio de León. (2021). Peligro por inestabilidad de laderas, notificaciones 2018-2021.</w:t>
      </w:r>
    </w:p>
    <w:p w14:paraId="25A1218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Dirección General de Protección Civil del municipio de León. (2020). Peligro por zonas inundables, notificaciones 2018-2019.</w:t>
      </w:r>
    </w:p>
    <w:p w14:paraId="318F281B"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Gobierno de México. (2021). COVID-19 Tablero México, cifras al 1 de noviembre de 2021.</w:t>
      </w:r>
    </w:p>
    <w:p w14:paraId="5C02704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Gobierno de México. (2021). Sistema de Información Cultural.</w:t>
      </w:r>
    </w:p>
    <w:p w14:paraId="6499E67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Instituto Electoral del Estado de Guanajuato (IEEG). (2021). Participación electoral 2021.</w:t>
      </w:r>
    </w:p>
    <w:p w14:paraId="7F2AAC6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Instituto Mexicano de la Propiedad Industrial (IMPI). (2020). Registro de patentes y diseños industriales 2020.</w:t>
      </w:r>
    </w:p>
    <w:p w14:paraId="232406F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lastRenderedPageBreak/>
        <w:t>Instituto Mexicano del Seguro Social (IMSS). (2021). Puestos de trabajo afiliados y asegurados, septiembre 2021.</w:t>
      </w:r>
    </w:p>
    <w:p w14:paraId="382B0F36"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Instituto Mexicano para la Competitividad A.C. (IMCO). (2020). Barómetro de información presupuestal municipal 2020.</w:t>
      </w:r>
    </w:p>
    <w:p w14:paraId="66F3654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(IMCO). (2020). Índice de competitividad urbana 2020.</w:t>
      </w:r>
    </w:p>
    <w:p w14:paraId="22814CC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Instituto Municipal de Planeación (IMPLAN). (2021). Acervo Cartográfico del IMPLAN.</w:t>
      </w:r>
    </w:p>
    <w:p w14:paraId="556A5A8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(2020). Índice de Biodiversidad Urbana (IBU). León, Guanajuato.</w:t>
      </w:r>
    </w:p>
    <w:p w14:paraId="6C200C1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Instituto Nacional de Estadística y Geografía (INEGI). (2020). Accidentes de tránsito terrestre en zonas urbanas y suburbanas 2020.</w:t>
      </w:r>
    </w:p>
    <w:p w14:paraId="247DA64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(2010). Censo de Población y Vivienda 2010.</w:t>
      </w:r>
    </w:p>
    <w:p w14:paraId="0360C17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(2020). Censo de Población y Vivienda 2020.</w:t>
      </w:r>
    </w:p>
    <w:p w14:paraId="31E9E91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(2019). Censos Económicos, 2019.</w:t>
      </w:r>
    </w:p>
    <w:p w14:paraId="75A0C7F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(2019). Directorio Estadístico Nacional de Unidades Económicas (DENUE) 2021.</w:t>
      </w:r>
    </w:p>
    <w:p w14:paraId="34232A3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(2015). Encuesta Intercensal 2015.</w:t>
      </w:r>
    </w:p>
    <w:p w14:paraId="441651C6"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(2019). Encuesta Nacional de Calidad e Impacto Gubernamental 2019.</w:t>
      </w:r>
    </w:p>
    <w:p w14:paraId="274BE6B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(2021). Encuesta Nacional de Ocupación y Empleo (ENOE), 2°do trimestre 2021.</w:t>
      </w:r>
    </w:p>
    <w:p w14:paraId="25DE761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(2021). Encuesta Nacional de Seguridad Pública Urbana (ENSU) 3°er trimestre 2021.</w:t>
      </w:r>
    </w:p>
    <w:p w14:paraId="6264022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(2020). Encuesta Nacional de Victimización y Percepción sobre Seguridad Pública (ENVIPE) 2020.</w:t>
      </w:r>
    </w:p>
    <w:p w14:paraId="31B370CE"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(2020). Estadísticas de mortalidad 2020.</w:t>
      </w:r>
    </w:p>
    <w:p w14:paraId="4BFB521F"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(2021). Índice Nacional de Precios al Consumidor (INPC), septiembre 2021.</w:t>
      </w:r>
    </w:p>
    <w:p w14:paraId="038A4D7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Parametría. (2020). Encuesta de victimización y percepción de inseguridad en León 2020.</w:t>
      </w:r>
    </w:p>
    <w:p w14:paraId="6BC9F49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Registro Nacional de Población (RENAPO). (2020). Defunciones registradas 2020.</w:t>
      </w:r>
    </w:p>
    <w:p w14:paraId="3DBA21F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Secretaría de Educación del Estado de Guanajuato (SEG). Estadísticas educativas, ciclo escolar 2017 - 2018.</w:t>
      </w:r>
    </w:p>
    <w:p w14:paraId="28B524F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(SEG). Estadísticas educativas, ciclo escolar 2018 – 2019.</w:t>
      </w:r>
    </w:p>
    <w:p w14:paraId="48571E3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(SEG). Estadísticas educativas, ciclo escolar 2019 – 2020.</w:t>
      </w:r>
    </w:p>
    <w:p w14:paraId="512E4C8A"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Secretaría de Medio Ambiente y Ordenamiento Territorial del Estado de Guanajuato (SMAOT). (2021). Programa Estatal de Verificación Vehicular, primer semestre de 2021. </w:t>
      </w:r>
    </w:p>
    <w:p w14:paraId="783B24F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Secretaría de Finanzas, Inversión y Administración del Estado de Guanajuato. (2021). Estadísticas de vehículos de motor registrados, octubre 2021.</w:t>
      </w:r>
    </w:p>
    <w:p w14:paraId="1005377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Secretaría de Hacienda y Crédito Público (SHCP). (2021). Disciplina financiera de los municipios, 2°do trimestre 2021.</w:t>
      </w:r>
    </w:p>
    <w:p w14:paraId="332D010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Secretariado Ejecutivo del Sistema Nacional de Seguridad Pública (SESNSP). Incidencia delictiva del fuero común, enero a septiembre 2021.</w:t>
      </w:r>
    </w:p>
    <w:p w14:paraId="608D69F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Servicio de Información Agroalimentaria y Pesquera (SIAP). (2020). Estadísticas de producción agrícola y ganadera 2020.</w:t>
      </w:r>
    </w:p>
    <w:p w14:paraId="2C2735AC"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Servicio Sismológico Nacional (SSN). (2021). Catálogo de Sismos, epicentros agosto 2021.  </w:t>
      </w:r>
    </w:p>
    <w:p w14:paraId="7742D48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Sistema de Agua Potable y Alcantarillado de León (SAPAL). (2021). Sistema de indicadores, primer semestre 2021.</w:t>
      </w:r>
    </w:p>
    <w:p w14:paraId="59DF74F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Sistema Integral de Aseo Público del municipio de León (SIAP). (2021). Sistema de indicadores, primer semestre 2021.</w:t>
      </w:r>
    </w:p>
    <w:p w14:paraId="6C9602D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Sistema Nacional de Información Estadística del Sector Turismo de México (DATATUR). (2020). Estadísticas de actividad turística, septiembre 2020.</w:t>
      </w:r>
    </w:p>
    <w:p w14:paraId="51F6C76B" w14:textId="77777777" w:rsidR="00794EB9" w:rsidRPr="00794EB9" w:rsidRDefault="00794EB9" w:rsidP="00794EB9">
      <w:pPr>
        <w:ind w:hanging="2"/>
        <w:jc w:val="both"/>
        <w:rPr>
          <w:rFonts w:ascii="Arial" w:hAnsi="Arial" w:cs="Arial"/>
          <w:b/>
          <w:sz w:val="22"/>
          <w:szCs w:val="22"/>
        </w:rPr>
      </w:pPr>
      <w:r w:rsidRPr="00794EB9">
        <w:rPr>
          <w:rFonts w:ascii="Arial" w:hAnsi="Arial" w:cs="Arial"/>
          <w:sz w:val="22"/>
          <w:szCs w:val="22"/>
        </w:rPr>
        <w:t>Unidad de Transparencia municipal de León, Guanajuato. (2020). Cuenta pública 2020.</w:t>
      </w:r>
    </w:p>
    <w:p w14:paraId="034D3668" w14:textId="77777777" w:rsidR="00794EB9" w:rsidRPr="00794EB9" w:rsidRDefault="00794EB9" w:rsidP="00794EB9">
      <w:pPr>
        <w:pStyle w:val="TtuloPG2"/>
        <w:ind w:left="0"/>
        <w:jc w:val="both"/>
        <w:rPr>
          <w:color w:val="auto"/>
          <w:sz w:val="22"/>
          <w:szCs w:val="22"/>
          <w:lang w:val="es-ES"/>
        </w:rPr>
      </w:pPr>
    </w:p>
    <w:p w14:paraId="442CE1CA" w14:textId="77777777" w:rsidR="00794EB9" w:rsidRPr="00794EB9" w:rsidRDefault="00794EB9" w:rsidP="00794EB9">
      <w:pPr>
        <w:pStyle w:val="TtuloPG2"/>
        <w:ind w:left="0"/>
        <w:jc w:val="both"/>
        <w:rPr>
          <w:color w:val="auto"/>
          <w:sz w:val="22"/>
          <w:szCs w:val="22"/>
          <w:lang w:val="es-ES"/>
        </w:rPr>
      </w:pPr>
      <w:r w:rsidRPr="00794EB9">
        <w:rPr>
          <w:color w:val="auto"/>
          <w:sz w:val="22"/>
          <w:szCs w:val="22"/>
          <w:lang w:val="es-ES"/>
        </w:rPr>
        <w:t>MATERIAL CONSULTADO</w:t>
      </w:r>
    </w:p>
    <w:p w14:paraId="08DECA18" w14:textId="77777777" w:rsidR="00794EB9" w:rsidRPr="00794EB9" w:rsidRDefault="00794EB9" w:rsidP="00794EB9">
      <w:pPr>
        <w:jc w:val="both"/>
        <w:rPr>
          <w:rFonts w:ascii="Arial" w:hAnsi="Arial" w:cs="Arial"/>
          <w:sz w:val="22"/>
          <w:szCs w:val="22"/>
          <w:lang w:val="en-US"/>
        </w:rPr>
      </w:pPr>
      <w:r w:rsidRPr="00794EB9">
        <w:rPr>
          <w:rFonts w:ascii="Arial" w:hAnsi="Arial" w:cs="Arial"/>
          <w:sz w:val="22"/>
          <w:szCs w:val="22"/>
        </w:rPr>
        <w:lastRenderedPageBreak/>
        <w:t xml:space="preserve">Adame, Wendoline. (2021). Invertirá municipio 50 millones para reparar escuelas de León. 15 de junio de 2021, de Milenio. </w:t>
      </w:r>
      <w:r w:rsidRPr="00794EB9">
        <w:rPr>
          <w:rFonts w:ascii="Arial" w:hAnsi="Arial" w:cs="Arial"/>
          <w:sz w:val="22"/>
          <w:szCs w:val="22"/>
          <w:lang w:val="en-US"/>
        </w:rPr>
        <w:t>Sitio web: https://www.milenio.com/politica/comunidad/invertira-municipio-millones-reparar-escuelas-leon</w:t>
      </w:r>
    </w:p>
    <w:p w14:paraId="65FBBEAD"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Comisión Económica para América Latina y el Caribe (CEPAL). (2005). Metodología del marco lógico para la planificación, el seguimiento y la evaluación de proyectos y programas. Naciones Unidas: Santiago de Chile.</w:t>
      </w:r>
    </w:p>
    <w:p w14:paraId="05CEE963"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Lara, Diana. (2015). Grupos en situación de vulnerabilidad. Comisión Nacional de Derechos Humanos: Ciudad de México.</w:t>
      </w:r>
    </w:p>
    <w:p w14:paraId="6DDC3C13"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H. Ayuntamiento de León. (2021). Tercer Informe de Gobierno. León, Guanajuato.</w:t>
      </w:r>
    </w:p>
    <w:p w14:paraId="34F99F30" w14:textId="77777777" w:rsidR="00794EB9" w:rsidRPr="00794EB9" w:rsidRDefault="00794EB9" w:rsidP="00794EB9">
      <w:pPr>
        <w:jc w:val="both"/>
        <w:rPr>
          <w:rFonts w:ascii="Arial" w:hAnsi="Arial" w:cs="Arial"/>
          <w:sz w:val="22"/>
          <w:szCs w:val="22"/>
        </w:rPr>
      </w:pPr>
    </w:p>
    <w:p w14:paraId="675CB8B2" w14:textId="77777777" w:rsidR="00794EB9" w:rsidRPr="00794EB9" w:rsidRDefault="00794EB9" w:rsidP="00794EB9">
      <w:pPr>
        <w:rPr>
          <w:rFonts w:ascii="Arial" w:hAnsi="Arial" w:cs="Arial"/>
          <w:sz w:val="22"/>
          <w:szCs w:val="22"/>
        </w:rPr>
      </w:pPr>
      <w:r w:rsidRPr="00794EB9">
        <w:rPr>
          <w:rFonts w:ascii="Arial" w:hAnsi="Arial" w:cs="Arial"/>
          <w:sz w:val="22"/>
          <w:szCs w:val="22"/>
        </w:rPr>
        <w:br w:type="page"/>
      </w:r>
    </w:p>
    <w:p w14:paraId="6B2670B5" w14:textId="77777777" w:rsidR="00794EB9" w:rsidRPr="00794EB9" w:rsidRDefault="00794EB9" w:rsidP="00794EB9">
      <w:pPr>
        <w:pStyle w:val="TtuloPG"/>
        <w:rPr>
          <w:color w:val="auto"/>
          <w:sz w:val="22"/>
          <w:szCs w:val="22"/>
        </w:rPr>
      </w:pPr>
      <w:r w:rsidRPr="00794EB9">
        <w:rPr>
          <w:color w:val="auto"/>
          <w:sz w:val="22"/>
          <w:szCs w:val="22"/>
        </w:rPr>
        <w:lastRenderedPageBreak/>
        <w:t>ANEXO 1. Alineación del planteamiento estratégico general del Programa de Gobierno Municipal de León 2021-2024 con los objetivos y estrategias de instrumentos superiores de planeación</w:t>
      </w:r>
    </w:p>
    <w:p w14:paraId="3CBECD1C" w14:textId="77777777" w:rsidR="00794EB9" w:rsidRPr="00794EB9" w:rsidRDefault="00794EB9" w:rsidP="00794EB9">
      <w:pPr>
        <w:pStyle w:val="INormal"/>
        <w:rPr>
          <w:rFonts w:ascii="Arial" w:hAnsi="Arial"/>
          <w:sz w:val="22"/>
        </w:rPr>
      </w:pPr>
    </w:p>
    <w:tbl>
      <w:tblPr>
        <w:tblW w:w="5003" w:type="pct"/>
        <w:tblInd w:w="-5" w:type="dxa"/>
        <w:tblLayout w:type="fixed"/>
        <w:tblCellMar>
          <w:left w:w="70" w:type="dxa"/>
          <w:right w:w="70" w:type="dxa"/>
        </w:tblCellMar>
        <w:tblLook w:val="04A0" w:firstRow="1" w:lastRow="0" w:firstColumn="1" w:lastColumn="0" w:noHBand="0" w:noVBand="1"/>
      </w:tblPr>
      <w:tblGrid>
        <w:gridCol w:w="654"/>
        <w:gridCol w:w="955"/>
        <w:gridCol w:w="810"/>
        <w:gridCol w:w="1211"/>
        <w:gridCol w:w="1077"/>
        <w:gridCol w:w="1478"/>
        <w:gridCol w:w="1345"/>
        <w:gridCol w:w="1298"/>
      </w:tblGrid>
      <w:tr w:rsidR="00794EB9" w:rsidRPr="00794EB9" w14:paraId="0FB62FB2" w14:textId="77777777" w:rsidTr="00C307FB">
        <w:trPr>
          <w:trHeight w:val="20"/>
          <w:tblHeader/>
        </w:trPr>
        <w:tc>
          <w:tcPr>
            <w:tcW w:w="2055" w:type="pct"/>
            <w:gridSpan w:val="4"/>
            <w:tcBorders>
              <w:top w:val="single" w:sz="4" w:space="0" w:color="auto"/>
              <w:left w:val="single" w:sz="8" w:space="0" w:color="434343"/>
              <w:right w:val="single" w:sz="4" w:space="0" w:color="auto"/>
            </w:tcBorders>
            <w:shd w:val="clear" w:color="auto" w:fill="D9D9D9" w:themeFill="background1" w:themeFillShade="D9"/>
            <w:vAlign w:val="center"/>
          </w:tcPr>
          <w:p w14:paraId="7ECF80A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Plan Municipal de Desarrollo Visión 2045</w:t>
            </w:r>
          </w:p>
        </w:tc>
        <w:tc>
          <w:tcPr>
            <w:tcW w:w="610"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7987DD42" w14:textId="77777777" w:rsidR="00794EB9" w:rsidRPr="00794EB9" w:rsidRDefault="00794EB9" w:rsidP="00C307FB">
            <w:pPr>
              <w:ind w:hanging="2"/>
              <w:rPr>
                <w:rFonts w:ascii="Arial" w:hAnsi="Arial" w:cs="Arial"/>
                <w:b/>
                <w:bCs/>
                <w:sz w:val="22"/>
                <w:szCs w:val="22"/>
                <w:lang w:eastAsia="es-MX"/>
              </w:rPr>
            </w:pPr>
            <w:r w:rsidRPr="00794EB9">
              <w:rPr>
                <w:rFonts w:ascii="Arial" w:hAnsi="Arial" w:cs="Arial"/>
                <w:b/>
                <w:bCs/>
                <w:sz w:val="22"/>
                <w:szCs w:val="22"/>
                <w:lang w:eastAsia="es-MX"/>
              </w:rPr>
              <w:t>Agenda 2030 para el Desarrollo Sostenible</w:t>
            </w:r>
          </w:p>
        </w:tc>
        <w:tc>
          <w:tcPr>
            <w:tcW w:w="1599"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C403592" w14:textId="77777777" w:rsidR="00794EB9" w:rsidRPr="00794EB9" w:rsidRDefault="00794EB9" w:rsidP="00C307FB">
            <w:pPr>
              <w:ind w:hanging="2"/>
              <w:rPr>
                <w:rFonts w:ascii="Arial" w:hAnsi="Arial" w:cs="Arial"/>
                <w:b/>
                <w:bCs/>
                <w:sz w:val="22"/>
                <w:szCs w:val="22"/>
                <w:lang w:eastAsia="es-MX"/>
              </w:rPr>
            </w:pPr>
            <w:r w:rsidRPr="00794EB9">
              <w:rPr>
                <w:rFonts w:ascii="Arial" w:hAnsi="Arial" w:cs="Arial"/>
                <w:b/>
                <w:bCs/>
                <w:sz w:val="22"/>
                <w:szCs w:val="22"/>
                <w:lang w:eastAsia="es-MX"/>
              </w:rPr>
              <w:t>PED Guanajuato 2040</w:t>
            </w:r>
          </w:p>
        </w:tc>
        <w:tc>
          <w:tcPr>
            <w:tcW w:w="7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65400F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Programa de Gobierno 2021 - 2024</w:t>
            </w:r>
          </w:p>
        </w:tc>
      </w:tr>
      <w:tr w:rsidR="00794EB9" w:rsidRPr="00794EB9" w14:paraId="6FFCF307" w14:textId="77777777" w:rsidTr="00C307FB">
        <w:trPr>
          <w:trHeight w:val="20"/>
          <w:tblHeader/>
        </w:trPr>
        <w:tc>
          <w:tcPr>
            <w:tcW w:w="370" w:type="pct"/>
            <w:tcBorders>
              <w:top w:val="single" w:sz="4" w:space="0" w:color="auto"/>
              <w:left w:val="single" w:sz="8" w:space="0" w:color="434343"/>
              <w:bottom w:val="single" w:sz="4" w:space="0" w:color="auto"/>
              <w:right w:val="single" w:sz="8" w:space="0" w:color="434343"/>
            </w:tcBorders>
            <w:shd w:val="clear" w:color="auto" w:fill="D9D9D9" w:themeFill="background1" w:themeFillShade="D9"/>
            <w:vAlign w:val="center"/>
          </w:tcPr>
          <w:p w14:paraId="5B506E0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Pilares</w:t>
            </w:r>
          </w:p>
          <w:p w14:paraId="379A868C" w14:textId="77777777" w:rsidR="00794EB9" w:rsidRPr="00794EB9" w:rsidRDefault="00794EB9" w:rsidP="00C307FB">
            <w:pPr>
              <w:ind w:hanging="2"/>
              <w:rPr>
                <w:rFonts w:ascii="Arial" w:hAnsi="Arial" w:cs="Arial"/>
                <w:b/>
                <w:bCs/>
                <w:sz w:val="22"/>
                <w:szCs w:val="22"/>
                <w:lang w:eastAsia="es-MX"/>
              </w:rPr>
            </w:pPr>
          </w:p>
        </w:tc>
        <w:tc>
          <w:tcPr>
            <w:tcW w:w="541" w:type="pct"/>
            <w:tcBorders>
              <w:top w:val="single" w:sz="4" w:space="0" w:color="auto"/>
              <w:left w:val="nil"/>
              <w:bottom w:val="single" w:sz="4" w:space="0" w:color="auto"/>
              <w:right w:val="single" w:sz="8" w:space="0" w:color="434343"/>
            </w:tcBorders>
            <w:shd w:val="clear" w:color="auto" w:fill="D9D9D9" w:themeFill="background1" w:themeFillShade="D9"/>
            <w:vAlign w:val="center"/>
          </w:tcPr>
          <w:p w14:paraId="3E28679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Objetivos</w:t>
            </w:r>
          </w:p>
          <w:p w14:paraId="2F1A4D84" w14:textId="77777777" w:rsidR="00794EB9" w:rsidRPr="00794EB9" w:rsidRDefault="00794EB9" w:rsidP="00C307FB">
            <w:pPr>
              <w:ind w:hanging="2"/>
              <w:rPr>
                <w:rFonts w:ascii="Arial" w:hAnsi="Arial" w:cs="Arial"/>
                <w:b/>
                <w:bCs/>
                <w:sz w:val="22"/>
                <w:szCs w:val="22"/>
                <w:lang w:eastAsia="es-MX"/>
              </w:rPr>
            </w:pPr>
          </w:p>
        </w:tc>
        <w:tc>
          <w:tcPr>
            <w:tcW w:w="459" w:type="pct"/>
            <w:tcBorders>
              <w:top w:val="single" w:sz="4" w:space="0" w:color="auto"/>
              <w:left w:val="nil"/>
              <w:bottom w:val="single" w:sz="4" w:space="0" w:color="auto"/>
              <w:right w:val="single" w:sz="8" w:space="0" w:color="434343"/>
            </w:tcBorders>
            <w:shd w:val="clear" w:color="auto" w:fill="D9D9D9" w:themeFill="background1" w:themeFillShade="D9"/>
            <w:vAlign w:val="center"/>
          </w:tcPr>
          <w:p w14:paraId="1F1C960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Estrategias</w:t>
            </w:r>
          </w:p>
          <w:p w14:paraId="26B337B2" w14:textId="77777777" w:rsidR="00794EB9" w:rsidRPr="00794EB9" w:rsidRDefault="00794EB9" w:rsidP="00C307FB">
            <w:pPr>
              <w:ind w:hanging="2"/>
              <w:rPr>
                <w:rFonts w:ascii="Arial" w:hAnsi="Arial" w:cs="Arial"/>
                <w:b/>
                <w:bCs/>
                <w:sz w:val="22"/>
                <w:szCs w:val="22"/>
                <w:lang w:eastAsia="es-MX"/>
              </w:rPr>
            </w:pPr>
          </w:p>
        </w:tc>
        <w:tc>
          <w:tcPr>
            <w:tcW w:w="686"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46C7C4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Acciones</w:t>
            </w:r>
          </w:p>
          <w:p w14:paraId="10E7CC97" w14:textId="77777777" w:rsidR="00794EB9" w:rsidRPr="00794EB9" w:rsidRDefault="00794EB9" w:rsidP="00C307FB">
            <w:pPr>
              <w:ind w:hanging="2"/>
              <w:rPr>
                <w:rFonts w:ascii="Arial" w:hAnsi="Arial" w:cs="Arial"/>
                <w:b/>
                <w:bCs/>
                <w:sz w:val="22"/>
                <w:szCs w:val="22"/>
                <w:lang w:eastAsia="es-MX"/>
              </w:rPr>
            </w:pPr>
          </w:p>
        </w:tc>
        <w:tc>
          <w:tcPr>
            <w:tcW w:w="610" w:type="pct"/>
            <w:vMerge/>
            <w:tcBorders>
              <w:left w:val="single" w:sz="4" w:space="0" w:color="auto"/>
              <w:bottom w:val="single" w:sz="4" w:space="0" w:color="auto"/>
              <w:right w:val="single" w:sz="4" w:space="0" w:color="auto"/>
            </w:tcBorders>
            <w:shd w:val="clear" w:color="auto" w:fill="D9D9D9" w:themeFill="background1" w:themeFillShade="D9"/>
            <w:vAlign w:val="center"/>
          </w:tcPr>
          <w:p w14:paraId="27A083D0" w14:textId="77777777" w:rsidR="00794EB9" w:rsidRPr="00794EB9" w:rsidRDefault="00794EB9" w:rsidP="00C307FB">
            <w:pPr>
              <w:rPr>
                <w:rFonts w:ascii="Arial" w:hAnsi="Arial" w:cs="Arial"/>
                <w:b/>
                <w:bCs/>
                <w:sz w:val="22"/>
                <w:szCs w:val="22"/>
                <w:lang w:eastAsia="es-MX"/>
              </w:rPr>
            </w:pPr>
          </w:p>
        </w:tc>
        <w:tc>
          <w:tcPr>
            <w:tcW w:w="83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3ED9CED" w14:textId="77777777" w:rsidR="00794EB9" w:rsidRPr="00794EB9" w:rsidRDefault="00794EB9" w:rsidP="00C307FB">
            <w:pPr>
              <w:ind w:hanging="2"/>
              <w:rPr>
                <w:rFonts w:ascii="Arial" w:hAnsi="Arial" w:cs="Arial"/>
                <w:b/>
                <w:bCs/>
                <w:sz w:val="22"/>
                <w:szCs w:val="22"/>
                <w:lang w:eastAsia="es-MX"/>
              </w:rPr>
            </w:pPr>
            <w:r w:rsidRPr="00794EB9">
              <w:rPr>
                <w:rFonts w:ascii="Arial" w:hAnsi="Arial" w:cs="Arial"/>
                <w:b/>
                <w:bCs/>
                <w:sz w:val="22"/>
                <w:szCs w:val="22"/>
                <w:lang w:eastAsia="es-MX"/>
              </w:rPr>
              <w:t>Objetivos</w:t>
            </w:r>
          </w:p>
        </w:tc>
        <w:tc>
          <w:tcPr>
            <w:tcW w:w="76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DAA0C2F" w14:textId="77777777" w:rsidR="00794EB9" w:rsidRPr="00794EB9" w:rsidRDefault="00794EB9" w:rsidP="00C307FB">
            <w:pPr>
              <w:ind w:hanging="2"/>
              <w:rPr>
                <w:rFonts w:ascii="Arial" w:hAnsi="Arial" w:cs="Arial"/>
                <w:b/>
                <w:bCs/>
                <w:sz w:val="22"/>
                <w:szCs w:val="22"/>
                <w:lang w:eastAsia="es-MX"/>
              </w:rPr>
            </w:pPr>
            <w:r w:rsidRPr="00794EB9">
              <w:rPr>
                <w:rFonts w:ascii="Arial" w:hAnsi="Arial" w:cs="Arial"/>
                <w:b/>
                <w:bCs/>
                <w:sz w:val="22"/>
                <w:szCs w:val="22"/>
                <w:lang w:eastAsia="es-MX"/>
              </w:rPr>
              <w:t>Estrategias</w:t>
            </w:r>
          </w:p>
        </w:tc>
        <w:tc>
          <w:tcPr>
            <w:tcW w:w="7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FA249F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Programas y Proyectos</w:t>
            </w:r>
          </w:p>
        </w:tc>
      </w:tr>
      <w:tr w:rsidR="00794EB9" w:rsidRPr="00794EB9" w14:paraId="18EEFA4B" w14:textId="77777777" w:rsidTr="00C307FB">
        <w:trPr>
          <w:trHeight w:val="20"/>
        </w:trPr>
        <w:tc>
          <w:tcPr>
            <w:tcW w:w="37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04535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EFF38D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34FF2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2C594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68B1EF" w14:textId="77777777" w:rsidR="00794EB9" w:rsidRPr="00794EB9" w:rsidRDefault="00794EB9" w:rsidP="00C307FB">
            <w:pPr>
              <w:rPr>
                <w:rFonts w:ascii="Arial" w:hAnsi="Arial" w:cs="Arial"/>
                <w:b/>
                <w:bCs/>
                <w:sz w:val="22"/>
                <w:szCs w:val="22"/>
                <w:lang w:eastAsia="es-MX"/>
              </w:rPr>
            </w:pPr>
          </w:p>
        </w:tc>
        <w:tc>
          <w:tcPr>
            <w:tcW w:w="83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7EF4D2" w14:textId="77777777" w:rsidR="00794EB9" w:rsidRPr="00794EB9" w:rsidRDefault="00794EB9" w:rsidP="00C307FB">
            <w:pPr>
              <w:rPr>
                <w:rFonts w:ascii="Arial" w:hAnsi="Arial" w:cs="Arial"/>
                <w:b/>
                <w:bCs/>
                <w:sz w:val="22"/>
                <w:szCs w:val="22"/>
                <w:lang w:eastAsia="es-MX"/>
              </w:rPr>
            </w:pPr>
          </w:p>
        </w:tc>
        <w:tc>
          <w:tcPr>
            <w:tcW w:w="76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C82CB57" w14:textId="77777777" w:rsidR="00794EB9" w:rsidRPr="00794EB9" w:rsidRDefault="00794EB9" w:rsidP="00C307FB">
            <w:pPr>
              <w:rPr>
                <w:rFonts w:ascii="Arial" w:hAnsi="Arial" w:cs="Arial"/>
                <w:b/>
                <w:bCs/>
                <w:sz w:val="22"/>
                <w:szCs w:val="22"/>
                <w:lang w:eastAsia="es-MX"/>
              </w:rPr>
            </w:pPr>
          </w:p>
        </w:tc>
        <w:tc>
          <w:tcPr>
            <w:tcW w:w="7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0BFCB8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VT1. Gobierno Cercano 24/7.</w:t>
            </w:r>
          </w:p>
        </w:tc>
      </w:tr>
      <w:tr w:rsidR="00794EB9" w:rsidRPr="00794EB9" w14:paraId="466C838E" w14:textId="77777777" w:rsidTr="00C307FB">
        <w:trPr>
          <w:trHeight w:val="433"/>
        </w:trPr>
        <w:tc>
          <w:tcPr>
            <w:tcW w:w="370" w:type="pct"/>
            <w:vMerge w:val="restart"/>
            <w:tcBorders>
              <w:top w:val="single" w:sz="4" w:space="0" w:color="auto"/>
              <w:left w:val="single" w:sz="8" w:space="0" w:color="434343"/>
              <w:bottom w:val="single" w:sz="8" w:space="0" w:color="434343"/>
              <w:right w:val="single" w:sz="8" w:space="0" w:color="434343"/>
            </w:tcBorders>
            <w:shd w:val="clear" w:color="auto" w:fill="auto"/>
            <w:vAlign w:val="center"/>
            <w:hideMark/>
          </w:tcPr>
          <w:p w14:paraId="2304CE5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Gobierno abierto con liderazgo</w:t>
            </w:r>
          </w:p>
        </w:tc>
        <w:tc>
          <w:tcPr>
            <w:tcW w:w="541" w:type="pct"/>
            <w:vMerge w:val="restart"/>
            <w:tcBorders>
              <w:top w:val="single" w:sz="4" w:space="0" w:color="auto"/>
              <w:left w:val="single" w:sz="8" w:space="0" w:color="434343"/>
              <w:bottom w:val="single" w:sz="8" w:space="0" w:color="434343"/>
              <w:right w:val="single" w:sz="8" w:space="0" w:color="434343"/>
            </w:tcBorders>
            <w:shd w:val="clear" w:color="auto" w:fill="auto"/>
            <w:vAlign w:val="center"/>
            <w:hideMark/>
          </w:tcPr>
          <w:p w14:paraId="0A6C90D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 Fortalecer la confianza de las y los leoneses hacia el gobierno, con mejores condiciones de comunicación, transparencia, rendición de cuentas y acceso a la información</w:t>
            </w:r>
          </w:p>
        </w:tc>
        <w:tc>
          <w:tcPr>
            <w:tcW w:w="459" w:type="pct"/>
            <w:vMerge w:val="restart"/>
            <w:tcBorders>
              <w:top w:val="single" w:sz="4" w:space="0" w:color="auto"/>
              <w:left w:val="single" w:sz="8" w:space="0" w:color="434343"/>
              <w:bottom w:val="single" w:sz="8" w:space="0" w:color="434343"/>
              <w:right w:val="single" w:sz="8" w:space="0" w:color="434343"/>
            </w:tcBorders>
            <w:shd w:val="clear" w:color="auto" w:fill="auto"/>
            <w:vAlign w:val="center"/>
            <w:hideMark/>
          </w:tcPr>
          <w:p w14:paraId="01FD222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Eficiencia y modernización administrativa</w:t>
            </w:r>
          </w:p>
        </w:tc>
        <w:tc>
          <w:tcPr>
            <w:tcW w:w="686" w:type="pct"/>
            <w:vMerge w:val="restart"/>
            <w:tcBorders>
              <w:top w:val="single" w:sz="4" w:space="0" w:color="auto"/>
              <w:left w:val="single" w:sz="8" w:space="0" w:color="434343"/>
              <w:bottom w:val="single" w:sz="8" w:space="0" w:color="434343"/>
              <w:right w:val="single" w:sz="8" w:space="0" w:color="434343"/>
            </w:tcBorders>
            <w:shd w:val="clear" w:color="auto" w:fill="auto"/>
            <w:vAlign w:val="center"/>
            <w:hideMark/>
          </w:tcPr>
          <w:p w14:paraId="671520A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la mejora regulatoria en la administración pública municipal, mediante una oferta mayor de trámites digitales y simplificados, para la atención de ciudadanos</w:t>
            </w:r>
          </w:p>
        </w:tc>
        <w:tc>
          <w:tcPr>
            <w:tcW w:w="610" w:type="pct"/>
            <w:vMerge w:val="restart"/>
            <w:tcBorders>
              <w:top w:val="single" w:sz="4" w:space="0" w:color="auto"/>
              <w:left w:val="single" w:sz="8" w:space="0" w:color="434343"/>
              <w:right w:val="single" w:sz="8" w:space="0" w:color="434343"/>
            </w:tcBorders>
            <w:vAlign w:val="center"/>
          </w:tcPr>
          <w:p w14:paraId="30921CE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vMerge w:val="restart"/>
            <w:tcBorders>
              <w:top w:val="single" w:sz="4" w:space="0" w:color="auto"/>
              <w:left w:val="single" w:sz="8" w:space="0" w:color="434343"/>
              <w:right w:val="single" w:sz="8" w:space="0" w:color="434343"/>
            </w:tcBorders>
            <w:vAlign w:val="center"/>
          </w:tcPr>
          <w:p w14:paraId="706CAFC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4.1.3 Fortalecer las capacidades institucionales de las administraciones públicas municipales, para que su actuación se conduzca con apego a los procesos de planeación, transparencia y evaluación de resultados que requiere la sociedad</w:t>
            </w:r>
          </w:p>
        </w:tc>
        <w:tc>
          <w:tcPr>
            <w:tcW w:w="762" w:type="pct"/>
            <w:vMerge w:val="restart"/>
            <w:tcBorders>
              <w:top w:val="single" w:sz="4" w:space="0" w:color="auto"/>
              <w:left w:val="single" w:sz="8" w:space="0" w:color="434343"/>
              <w:right w:val="single" w:sz="8" w:space="0" w:color="434343"/>
            </w:tcBorders>
            <w:vAlign w:val="center"/>
          </w:tcPr>
          <w:p w14:paraId="14A02C8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4.1.3.1 Armonización de las acciones mediante las cuales se proveen los servicios públicos</w:t>
            </w:r>
          </w:p>
        </w:tc>
        <w:tc>
          <w:tcPr>
            <w:tcW w:w="736" w:type="pct"/>
            <w:vMerge w:val="restart"/>
            <w:tcBorders>
              <w:top w:val="single" w:sz="4" w:space="0" w:color="auto"/>
              <w:left w:val="single" w:sz="8" w:space="0" w:color="434343"/>
              <w:bottom w:val="single" w:sz="8" w:space="0" w:color="434343"/>
              <w:right w:val="single" w:sz="8" w:space="0" w:color="434343"/>
            </w:tcBorders>
            <w:shd w:val="clear" w:color="auto" w:fill="auto"/>
            <w:vAlign w:val="center"/>
            <w:hideMark/>
          </w:tcPr>
          <w:p w14:paraId="5FD9ED2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1.1 Gobierno Digital León</w:t>
            </w:r>
          </w:p>
        </w:tc>
      </w:tr>
      <w:tr w:rsidR="00794EB9" w:rsidRPr="00794EB9" w14:paraId="7D93EB96"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BFFBEDE"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D4A3426"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2BF660E"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3BAEF2B"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4576146B"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5DFA37DE"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633E282C"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shd w:val="clear" w:color="auto" w:fill="auto"/>
            <w:vAlign w:val="center"/>
            <w:hideMark/>
          </w:tcPr>
          <w:p w14:paraId="629808BB" w14:textId="77777777" w:rsidR="00794EB9" w:rsidRPr="00794EB9" w:rsidRDefault="00794EB9" w:rsidP="00C307FB">
            <w:pPr>
              <w:rPr>
                <w:rFonts w:ascii="Arial" w:hAnsi="Arial" w:cs="Arial"/>
                <w:b/>
                <w:bCs/>
                <w:sz w:val="22"/>
                <w:szCs w:val="22"/>
                <w:lang w:eastAsia="es-MX"/>
              </w:rPr>
            </w:pPr>
          </w:p>
        </w:tc>
      </w:tr>
      <w:tr w:rsidR="00794EB9" w:rsidRPr="00794EB9" w14:paraId="324E3B9B"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EC1CAC9"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B8D4D12"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56D29363"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676D33B9"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63663C96"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642F3469"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01FA8BE5"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shd w:val="clear" w:color="auto" w:fill="auto"/>
            <w:vAlign w:val="center"/>
            <w:hideMark/>
          </w:tcPr>
          <w:p w14:paraId="03D58B50" w14:textId="77777777" w:rsidR="00794EB9" w:rsidRPr="00794EB9" w:rsidRDefault="00794EB9" w:rsidP="00C307FB">
            <w:pPr>
              <w:rPr>
                <w:rFonts w:ascii="Arial" w:hAnsi="Arial" w:cs="Arial"/>
                <w:b/>
                <w:bCs/>
                <w:sz w:val="22"/>
                <w:szCs w:val="22"/>
                <w:lang w:eastAsia="es-MX"/>
              </w:rPr>
            </w:pPr>
          </w:p>
        </w:tc>
      </w:tr>
      <w:tr w:rsidR="00794EB9" w:rsidRPr="00794EB9" w14:paraId="6F7A405E"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7E5174F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Entorno para el emprendimiento y </w:t>
            </w:r>
            <w:r w:rsidRPr="00794EB9">
              <w:rPr>
                <w:rFonts w:ascii="Arial" w:hAnsi="Arial" w:cs="Arial"/>
                <w:sz w:val="22"/>
                <w:szCs w:val="22"/>
                <w:lang w:eastAsia="es-MX"/>
              </w:rPr>
              <w:lastRenderedPageBreak/>
              <w:t>la innovación</w:t>
            </w:r>
          </w:p>
        </w:tc>
        <w:tc>
          <w:tcPr>
            <w:tcW w:w="541" w:type="pct"/>
            <w:tcBorders>
              <w:top w:val="nil"/>
              <w:left w:val="nil"/>
              <w:bottom w:val="single" w:sz="8" w:space="0" w:color="434343"/>
              <w:right w:val="single" w:sz="8" w:space="0" w:color="434343"/>
            </w:tcBorders>
            <w:shd w:val="clear" w:color="auto" w:fill="auto"/>
            <w:vAlign w:val="center"/>
            <w:hideMark/>
          </w:tcPr>
          <w:p w14:paraId="160176F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Fomentar la inversión en la innovación, el desarrollo </w:t>
            </w:r>
            <w:r w:rsidRPr="00794EB9">
              <w:rPr>
                <w:rFonts w:ascii="Arial" w:hAnsi="Arial" w:cs="Arial"/>
                <w:sz w:val="22"/>
                <w:szCs w:val="22"/>
                <w:lang w:eastAsia="es-MX"/>
              </w:rPr>
              <w:lastRenderedPageBreak/>
              <w:t>tecnológico y el emprendimiento como ente</w:t>
            </w:r>
            <w:r w:rsidRPr="00794EB9">
              <w:rPr>
                <w:rFonts w:ascii="Arial" w:hAnsi="Arial" w:cs="Arial"/>
                <w:sz w:val="22"/>
                <w:szCs w:val="22"/>
                <w:lang w:eastAsia="es-MX"/>
              </w:rPr>
              <w:br/>
              <w:t>principal de competitividad</w:t>
            </w:r>
          </w:p>
        </w:tc>
        <w:tc>
          <w:tcPr>
            <w:tcW w:w="459" w:type="pct"/>
            <w:tcBorders>
              <w:top w:val="nil"/>
              <w:left w:val="nil"/>
              <w:bottom w:val="single" w:sz="8" w:space="0" w:color="434343"/>
              <w:right w:val="single" w:sz="8" w:space="0" w:color="434343"/>
            </w:tcBorders>
            <w:shd w:val="clear" w:color="auto" w:fill="auto"/>
            <w:vAlign w:val="center"/>
            <w:hideMark/>
          </w:tcPr>
          <w:p w14:paraId="513CF52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Fortalecimiento del ecosistema emprendedor</w:t>
            </w:r>
          </w:p>
        </w:tc>
        <w:tc>
          <w:tcPr>
            <w:tcW w:w="686" w:type="pct"/>
            <w:tcBorders>
              <w:top w:val="nil"/>
              <w:left w:val="nil"/>
              <w:bottom w:val="single" w:sz="8" w:space="0" w:color="434343"/>
              <w:right w:val="single" w:sz="8" w:space="0" w:color="434343"/>
            </w:tcBorders>
            <w:shd w:val="clear" w:color="auto" w:fill="auto"/>
            <w:vAlign w:val="center"/>
            <w:hideMark/>
          </w:tcPr>
          <w:p w14:paraId="2A95F82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Desarrollar modelos ágiles de apertura e implementación de empresas, con </w:t>
            </w:r>
            <w:r w:rsidRPr="00794EB9">
              <w:rPr>
                <w:rFonts w:ascii="Arial" w:hAnsi="Arial" w:cs="Arial"/>
                <w:sz w:val="22"/>
                <w:szCs w:val="22"/>
                <w:lang w:eastAsia="es-MX"/>
              </w:rPr>
              <w:lastRenderedPageBreak/>
              <w:t>procesos de formalización económica</w:t>
            </w:r>
            <w:r w:rsidRPr="00794EB9">
              <w:rPr>
                <w:rFonts w:ascii="Arial" w:hAnsi="Arial" w:cs="Arial"/>
                <w:sz w:val="22"/>
                <w:szCs w:val="22"/>
                <w:lang w:eastAsia="es-MX"/>
              </w:rPr>
              <w:br/>
              <w:t>gradual de acuerdo con su nivel de consolidación</w:t>
            </w:r>
          </w:p>
        </w:tc>
        <w:tc>
          <w:tcPr>
            <w:tcW w:w="610" w:type="pct"/>
            <w:tcBorders>
              <w:top w:val="nil"/>
              <w:left w:val="single" w:sz="8" w:space="0" w:color="434343"/>
              <w:bottom w:val="single" w:sz="8" w:space="0" w:color="434343"/>
              <w:right w:val="single" w:sz="8" w:space="0" w:color="434343"/>
            </w:tcBorders>
            <w:vAlign w:val="center"/>
          </w:tcPr>
          <w:p w14:paraId="565E4E0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8: Promover el crecimiento económico </w:t>
            </w:r>
            <w:r w:rsidRPr="00794EB9">
              <w:rPr>
                <w:rFonts w:ascii="Arial" w:hAnsi="Arial" w:cs="Arial"/>
                <w:b/>
                <w:bCs/>
                <w:sz w:val="22"/>
                <w:szCs w:val="22"/>
                <w:lang w:eastAsia="es-MX"/>
              </w:rPr>
              <w:lastRenderedPageBreak/>
              <w:t>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7AE45C8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2.2.1 Aprovechar las ventajas comparativas, locales y regionales, y activar las </w:t>
            </w:r>
            <w:r w:rsidRPr="00794EB9">
              <w:rPr>
                <w:rFonts w:ascii="Arial" w:hAnsi="Arial" w:cs="Arial"/>
                <w:b/>
                <w:bCs/>
                <w:sz w:val="22"/>
                <w:szCs w:val="22"/>
                <w:lang w:eastAsia="es-MX"/>
              </w:rPr>
              <w:lastRenderedPageBreak/>
              <w:t>cadenas de valor que incluyen a las micro, pequeñas y medianas empresas locales que generan el desarrollo económico y social de sus comunidades</w:t>
            </w:r>
          </w:p>
        </w:tc>
        <w:tc>
          <w:tcPr>
            <w:tcW w:w="762" w:type="pct"/>
            <w:tcBorders>
              <w:top w:val="nil"/>
              <w:left w:val="single" w:sz="8" w:space="0" w:color="434343"/>
              <w:bottom w:val="single" w:sz="8" w:space="0" w:color="434343"/>
              <w:right w:val="single" w:sz="8" w:space="0" w:color="434343"/>
            </w:tcBorders>
            <w:vAlign w:val="center"/>
          </w:tcPr>
          <w:p w14:paraId="25BE75C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2.2.1.1 Fortalecimiento del acceso a financiamiento y capital de </w:t>
            </w:r>
            <w:r w:rsidRPr="00794EB9">
              <w:rPr>
                <w:rFonts w:ascii="Arial" w:hAnsi="Arial" w:cs="Arial"/>
                <w:b/>
                <w:bCs/>
                <w:sz w:val="22"/>
                <w:szCs w:val="22"/>
                <w:lang w:eastAsia="es-MX"/>
              </w:rPr>
              <w:lastRenderedPageBreak/>
              <w:t>las micro, pequeñas y medianas empresas, así como del sector industrial con enfoque de igualdad de género</w:t>
            </w:r>
          </w:p>
        </w:tc>
        <w:tc>
          <w:tcPr>
            <w:tcW w:w="736" w:type="pct"/>
            <w:vMerge/>
            <w:tcBorders>
              <w:top w:val="nil"/>
              <w:left w:val="single" w:sz="8" w:space="0" w:color="434343"/>
              <w:bottom w:val="single" w:sz="8" w:space="0" w:color="434343"/>
              <w:right w:val="single" w:sz="8" w:space="0" w:color="434343"/>
            </w:tcBorders>
            <w:shd w:val="clear" w:color="auto" w:fill="auto"/>
            <w:vAlign w:val="center"/>
            <w:hideMark/>
          </w:tcPr>
          <w:p w14:paraId="16B9C2FE" w14:textId="77777777" w:rsidR="00794EB9" w:rsidRPr="00794EB9" w:rsidRDefault="00794EB9" w:rsidP="00C307FB">
            <w:pPr>
              <w:rPr>
                <w:rFonts w:ascii="Arial" w:hAnsi="Arial" w:cs="Arial"/>
                <w:b/>
                <w:bCs/>
                <w:sz w:val="22"/>
                <w:szCs w:val="22"/>
                <w:lang w:eastAsia="es-MX"/>
              </w:rPr>
            </w:pPr>
          </w:p>
        </w:tc>
      </w:tr>
      <w:tr w:rsidR="00794EB9" w:rsidRPr="00794EB9" w14:paraId="0DB76346"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0045BE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Gobierno abierto con liderazgo</w:t>
            </w:r>
          </w:p>
        </w:tc>
        <w:tc>
          <w:tcPr>
            <w:tcW w:w="541" w:type="pct"/>
            <w:tcBorders>
              <w:top w:val="nil"/>
              <w:left w:val="nil"/>
              <w:bottom w:val="single" w:sz="8" w:space="0" w:color="434343"/>
              <w:right w:val="single" w:sz="8" w:space="0" w:color="434343"/>
            </w:tcBorders>
            <w:shd w:val="clear" w:color="auto" w:fill="auto"/>
            <w:vAlign w:val="center"/>
            <w:hideMark/>
          </w:tcPr>
          <w:p w14:paraId="024642E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la confianza de las y los leoneses hacia el gobierno, con mejores condiciones de comunicación, transparencia, rendición de cuentas y acceso a la información</w:t>
            </w:r>
          </w:p>
        </w:tc>
        <w:tc>
          <w:tcPr>
            <w:tcW w:w="459" w:type="pct"/>
            <w:tcBorders>
              <w:top w:val="nil"/>
              <w:left w:val="nil"/>
              <w:bottom w:val="single" w:sz="8" w:space="0" w:color="434343"/>
              <w:right w:val="single" w:sz="8" w:space="0" w:color="434343"/>
            </w:tcBorders>
            <w:shd w:val="clear" w:color="auto" w:fill="auto"/>
            <w:vAlign w:val="center"/>
            <w:hideMark/>
          </w:tcPr>
          <w:p w14:paraId="5C80475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Eficiencia y modernización administrativa</w:t>
            </w:r>
          </w:p>
        </w:tc>
        <w:tc>
          <w:tcPr>
            <w:tcW w:w="686" w:type="pct"/>
            <w:tcBorders>
              <w:top w:val="nil"/>
              <w:left w:val="nil"/>
              <w:bottom w:val="single" w:sz="8" w:space="0" w:color="434343"/>
              <w:right w:val="single" w:sz="8" w:space="0" w:color="434343"/>
            </w:tcBorders>
            <w:shd w:val="clear" w:color="auto" w:fill="auto"/>
            <w:vAlign w:val="center"/>
            <w:hideMark/>
          </w:tcPr>
          <w:p w14:paraId="403CD44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la mejora regulatoria en la administración pública municipal, mediante una oferta mayor de trámites digitales y simplificados, para la atención de ciudadanos</w:t>
            </w:r>
          </w:p>
        </w:tc>
        <w:tc>
          <w:tcPr>
            <w:tcW w:w="610" w:type="pct"/>
            <w:tcBorders>
              <w:top w:val="nil"/>
              <w:left w:val="single" w:sz="8" w:space="0" w:color="434343"/>
              <w:bottom w:val="single" w:sz="8" w:space="0" w:color="434343"/>
              <w:right w:val="single" w:sz="8" w:space="0" w:color="434343"/>
            </w:tcBorders>
            <w:vAlign w:val="center"/>
          </w:tcPr>
          <w:p w14:paraId="78A7ACA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5398A51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4.1.3 Fortalecer las capacidades institucionales de las administraciones públicas municipales, para que su actuación se conduzca con apego a los procesos de planeación, transparencia y evaluación de resultados que requiere la sociedad</w:t>
            </w:r>
          </w:p>
        </w:tc>
        <w:tc>
          <w:tcPr>
            <w:tcW w:w="762" w:type="pct"/>
            <w:tcBorders>
              <w:top w:val="nil"/>
              <w:left w:val="single" w:sz="8" w:space="0" w:color="434343"/>
              <w:bottom w:val="single" w:sz="8" w:space="0" w:color="434343"/>
              <w:right w:val="single" w:sz="8" w:space="0" w:color="434343"/>
            </w:tcBorders>
            <w:vAlign w:val="center"/>
          </w:tcPr>
          <w:p w14:paraId="220161C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4.1.3.1 Armonización de las acciones mediante las cuales se proveen los servicios públicos</w:t>
            </w:r>
          </w:p>
        </w:tc>
        <w:tc>
          <w:tcPr>
            <w:tcW w:w="736" w:type="pct"/>
            <w:vMerge/>
            <w:tcBorders>
              <w:top w:val="nil"/>
              <w:left w:val="single" w:sz="8" w:space="0" w:color="434343"/>
              <w:bottom w:val="single" w:sz="8" w:space="0" w:color="434343"/>
              <w:right w:val="single" w:sz="8" w:space="0" w:color="434343"/>
            </w:tcBorders>
            <w:shd w:val="clear" w:color="auto" w:fill="auto"/>
            <w:vAlign w:val="center"/>
            <w:hideMark/>
          </w:tcPr>
          <w:p w14:paraId="2A11F381" w14:textId="77777777" w:rsidR="00794EB9" w:rsidRPr="00794EB9" w:rsidRDefault="00794EB9" w:rsidP="00C307FB">
            <w:pPr>
              <w:rPr>
                <w:rFonts w:ascii="Arial" w:hAnsi="Arial" w:cs="Arial"/>
                <w:b/>
                <w:bCs/>
                <w:sz w:val="22"/>
                <w:szCs w:val="22"/>
                <w:lang w:eastAsia="es-MX"/>
              </w:rPr>
            </w:pPr>
          </w:p>
        </w:tc>
      </w:tr>
      <w:tr w:rsidR="00794EB9" w:rsidRPr="00794EB9" w14:paraId="31619A82"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F682BE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Planeación, </w:t>
            </w:r>
            <w:r w:rsidRPr="00794EB9">
              <w:rPr>
                <w:rFonts w:ascii="Arial" w:hAnsi="Arial" w:cs="Arial"/>
                <w:sz w:val="22"/>
                <w:szCs w:val="22"/>
                <w:lang w:eastAsia="es-MX"/>
              </w:rPr>
              <w:lastRenderedPageBreak/>
              <w:t>anticipación y gestión estratégica</w:t>
            </w:r>
          </w:p>
        </w:tc>
        <w:tc>
          <w:tcPr>
            <w:tcW w:w="541" w:type="pct"/>
            <w:tcBorders>
              <w:top w:val="nil"/>
              <w:left w:val="nil"/>
              <w:bottom w:val="single" w:sz="8" w:space="0" w:color="434343"/>
              <w:right w:val="single" w:sz="8" w:space="0" w:color="434343"/>
            </w:tcBorders>
            <w:shd w:val="clear" w:color="auto" w:fill="auto"/>
            <w:vAlign w:val="center"/>
            <w:hideMark/>
          </w:tcPr>
          <w:p w14:paraId="6A681A1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Consolidar el modelo </w:t>
            </w:r>
            <w:r w:rsidRPr="00794EB9">
              <w:rPr>
                <w:rFonts w:ascii="Arial" w:hAnsi="Arial" w:cs="Arial"/>
                <w:sz w:val="22"/>
                <w:szCs w:val="22"/>
                <w:lang w:eastAsia="es-MX"/>
              </w:rPr>
              <w:lastRenderedPageBreak/>
              <w:t>de planeación y anticipación estratégica "León hacia el futuro", articulando los procesos de inteligencia y gestión del desarrollo local</w:t>
            </w:r>
          </w:p>
        </w:tc>
        <w:tc>
          <w:tcPr>
            <w:tcW w:w="459" w:type="pct"/>
            <w:tcBorders>
              <w:top w:val="nil"/>
              <w:left w:val="nil"/>
              <w:bottom w:val="single" w:sz="8" w:space="0" w:color="434343"/>
              <w:right w:val="single" w:sz="8" w:space="0" w:color="434343"/>
            </w:tcBorders>
            <w:shd w:val="clear" w:color="auto" w:fill="auto"/>
            <w:vAlign w:val="center"/>
            <w:hideMark/>
          </w:tcPr>
          <w:p w14:paraId="36BE163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Gestión estrat</w:t>
            </w:r>
            <w:r w:rsidRPr="00794EB9">
              <w:rPr>
                <w:rFonts w:ascii="Arial" w:hAnsi="Arial" w:cs="Arial"/>
                <w:sz w:val="22"/>
                <w:szCs w:val="22"/>
                <w:lang w:eastAsia="es-MX"/>
              </w:rPr>
              <w:lastRenderedPageBreak/>
              <w:t>égica del territorio municipal</w:t>
            </w:r>
          </w:p>
        </w:tc>
        <w:tc>
          <w:tcPr>
            <w:tcW w:w="686" w:type="pct"/>
            <w:tcBorders>
              <w:top w:val="nil"/>
              <w:left w:val="nil"/>
              <w:bottom w:val="single" w:sz="8" w:space="0" w:color="434343"/>
              <w:right w:val="single" w:sz="8" w:space="0" w:color="434343"/>
            </w:tcBorders>
            <w:shd w:val="clear" w:color="auto" w:fill="auto"/>
            <w:vAlign w:val="center"/>
            <w:hideMark/>
          </w:tcPr>
          <w:p w14:paraId="3567DDE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Administrar y gestionar </w:t>
            </w:r>
            <w:r w:rsidRPr="00794EB9">
              <w:rPr>
                <w:rFonts w:ascii="Arial" w:hAnsi="Arial" w:cs="Arial"/>
                <w:sz w:val="22"/>
                <w:szCs w:val="22"/>
                <w:lang w:eastAsia="es-MX"/>
              </w:rPr>
              <w:lastRenderedPageBreak/>
              <w:t>de manera integral los servicios públicos a través de Distritos Urbanos</w:t>
            </w:r>
          </w:p>
        </w:tc>
        <w:tc>
          <w:tcPr>
            <w:tcW w:w="610" w:type="pct"/>
            <w:tcBorders>
              <w:top w:val="nil"/>
              <w:left w:val="single" w:sz="8" w:space="0" w:color="434343"/>
              <w:bottom w:val="single" w:sz="8" w:space="0" w:color="434343"/>
              <w:right w:val="single" w:sz="8" w:space="0" w:color="434343"/>
            </w:tcBorders>
            <w:vAlign w:val="center"/>
          </w:tcPr>
          <w:p w14:paraId="6CB7D1A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11: Lograr </w:t>
            </w:r>
            <w:r w:rsidRPr="00794EB9">
              <w:rPr>
                <w:rFonts w:ascii="Arial" w:hAnsi="Arial" w:cs="Arial"/>
                <w:b/>
                <w:bCs/>
                <w:sz w:val="22"/>
                <w:szCs w:val="22"/>
                <w:lang w:eastAsia="es-MX"/>
              </w:rPr>
              <w:lastRenderedPageBreak/>
              <w:t>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62F320D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3.2.1 Lograr una </w:t>
            </w:r>
            <w:r w:rsidRPr="00794EB9">
              <w:rPr>
                <w:rFonts w:ascii="Arial" w:hAnsi="Arial" w:cs="Arial"/>
                <w:b/>
                <w:bCs/>
                <w:sz w:val="22"/>
                <w:szCs w:val="22"/>
                <w:lang w:eastAsia="es-MX"/>
              </w:rPr>
              <w:lastRenderedPageBreak/>
              <w:t>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243F362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3.2.1.2 Gestión de </w:t>
            </w:r>
            <w:r w:rsidRPr="00794EB9">
              <w:rPr>
                <w:rFonts w:ascii="Arial" w:hAnsi="Arial" w:cs="Arial"/>
                <w:b/>
                <w:bCs/>
                <w:sz w:val="22"/>
                <w:szCs w:val="22"/>
                <w:lang w:eastAsia="es-MX"/>
              </w:rPr>
              <w:lastRenderedPageBreak/>
              <w:t>los asentamientos humanos y centros de población y ordenamiento del territorio bajo los principios de inclusión, equidad y sostenibilidad, considerando las necesidades, condiciones e intereses específicos de mujeres y hombres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80DB83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VT. 1.2 Modelo de </w:t>
            </w:r>
            <w:r w:rsidRPr="00794EB9">
              <w:rPr>
                <w:rFonts w:ascii="Arial" w:hAnsi="Arial" w:cs="Arial"/>
                <w:b/>
                <w:bCs/>
                <w:sz w:val="22"/>
                <w:szCs w:val="22"/>
                <w:lang w:eastAsia="es-MX"/>
              </w:rPr>
              <w:lastRenderedPageBreak/>
              <w:t>Delegaciones</w:t>
            </w:r>
          </w:p>
        </w:tc>
      </w:tr>
      <w:tr w:rsidR="00794EB9" w:rsidRPr="00794EB9" w14:paraId="73A0C76A"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0871365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Modelo urbano integrador </w:t>
            </w:r>
          </w:p>
        </w:tc>
        <w:tc>
          <w:tcPr>
            <w:tcW w:w="541" w:type="pct"/>
            <w:tcBorders>
              <w:top w:val="nil"/>
              <w:left w:val="nil"/>
              <w:bottom w:val="single" w:sz="8" w:space="0" w:color="434343"/>
              <w:right w:val="single" w:sz="8" w:space="0" w:color="434343"/>
            </w:tcBorders>
            <w:shd w:val="clear" w:color="auto" w:fill="auto"/>
            <w:vAlign w:val="center"/>
            <w:hideMark/>
          </w:tcPr>
          <w:p w14:paraId="7A3F25A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w:t>
            </w:r>
            <w:r w:rsidRPr="00794EB9">
              <w:rPr>
                <w:rFonts w:ascii="Arial" w:hAnsi="Arial" w:cs="Arial"/>
                <w:sz w:val="22"/>
                <w:szCs w:val="22"/>
                <w:lang w:eastAsia="es-MX"/>
              </w:rPr>
              <w:lastRenderedPageBreak/>
              <w:t xml:space="preserve">miento e integración entre los sistemas de movilidad e infraestructura verde </w:t>
            </w:r>
          </w:p>
        </w:tc>
        <w:tc>
          <w:tcPr>
            <w:tcW w:w="459" w:type="pct"/>
            <w:tcBorders>
              <w:top w:val="nil"/>
              <w:left w:val="nil"/>
              <w:bottom w:val="single" w:sz="8" w:space="0" w:color="434343"/>
              <w:right w:val="single" w:sz="8" w:space="0" w:color="434343"/>
            </w:tcBorders>
            <w:shd w:val="clear" w:color="auto" w:fill="auto"/>
            <w:vAlign w:val="center"/>
            <w:hideMark/>
          </w:tcPr>
          <w:p w14:paraId="6395A89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Densificación y consolidación urbana</w:t>
            </w:r>
          </w:p>
        </w:tc>
        <w:tc>
          <w:tcPr>
            <w:tcW w:w="686" w:type="pct"/>
            <w:tcBorders>
              <w:top w:val="nil"/>
              <w:left w:val="nil"/>
              <w:bottom w:val="single" w:sz="8" w:space="0" w:color="434343"/>
              <w:right w:val="single" w:sz="8" w:space="0" w:color="434343"/>
            </w:tcBorders>
            <w:shd w:val="clear" w:color="auto" w:fill="auto"/>
            <w:vAlign w:val="center"/>
            <w:hideMark/>
          </w:tcPr>
          <w:p w14:paraId="7F7209D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los distritos urbanos y generar centralidades con equipamiento, servicios públicos y usos de suelo mixtos</w:t>
            </w:r>
          </w:p>
        </w:tc>
        <w:tc>
          <w:tcPr>
            <w:tcW w:w="610" w:type="pct"/>
            <w:tcBorders>
              <w:top w:val="nil"/>
              <w:left w:val="single" w:sz="8" w:space="0" w:color="434343"/>
              <w:bottom w:val="single" w:sz="8" w:space="0" w:color="434343"/>
              <w:right w:val="single" w:sz="8" w:space="0" w:color="434343"/>
            </w:tcBorders>
            <w:vAlign w:val="center"/>
          </w:tcPr>
          <w:p w14:paraId="54F14F0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4871C78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5000C69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Estrategia 3.2.1.2 Gestión de los asentamientos humanos y centros de población y ordenamiento del territorio bajo los principios de </w:t>
            </w:r>
            <w:r w:rsidRPr="00794EB9">
              <w:rPr>
                <w:rFonts w:ascii="Arial" w:hAnsi="Arial" w:cs="Arial"/>
                <w:b/>
                <w:bCs/>
                <w:sz w:val="22"/>
                <w:szCs w:val="22"/>
                <w:lang w:eastAsia="es-MX"/>
              </w:rPr>
              <w:lastRenderedPageBreak/>
              <w:t>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shd w:val="clear" w:color="auto" w:fill="auto"/>
            <w:vAlign w:val="center"/>
            <w:hideMark/>
          </w:tcPr>
          <w:p w14:paraId="48D02178" w14:textId="77777777" w:rsidR="00794EB9" w:rsidRPr="00794EB9" w:rsidRDefault="00794EB9" w:rsidP="00C307FB">
            <w:pPr>
              <w:rPr>
                <w:rFonts w:ascii="Arial" w:hAnsi="Arial" w:cs="Arial"/>
                <w:b/>
                <w:bCs/>
                <w:sz w:val="22"/>
                <w:szCs w:val="22"/>
                <w:lang w:eastAsia="es-MX"/>
              </w:rPr>
            </w:pPr>
          </w:p>
        </w:tc>
      </w:tr>
      <w:tr w:rsidR="00794EB9" w:rsidRPr="00794EB9" w14:paraId="71CBAECD" w14:textId="77777777" w:rsidTr="00C307FB">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A0F310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Gobierno abierto con liderazgo</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3D7EB2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la confianza de las y los leoneses hacia el gobierno, con mejores condiciones de comunicación, transparencia, rendición de cuentas y acceso a la información</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D65E1E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Gobierno abierto promotor del desarrollo</w:t>
            </w:r>
          </w:p>
        </w:tc>
        <w:tc>
          <w:tcPr>
            <w:tcW w:w="686" w:type="pct"/>
            <w:tcBorders>
              <w:top w:val="nil"/>
              <w:left w:val="nil"/>
              <w:bottom w:val="single" w:sz="8" w:space="0" w:color="434343"/>
              <w:right w:val="single" w:sz="8" w:space="0" w:color="434343"/>
            </w:tcBorders>
            <w:shd w:val="clear" w:color="auto" w:fill="auto"/>
            <w:vAlign w:val="center"/>
            <w:hideMark/>
          </w:tcPr>
          <w:p w14:paraId="489862D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Fortalecer el modelo de gobierno abierto con mecanismos que permitan la colaboración y co-creación de políticas públicas, la apertura, la modernización de los esquemas de participación ciudadana y la colaboración con la </w:t>
            </w:r>
            <w:r w:rsidRPr="00794EB9">
              <w:rPr>
                <w:rFonts w:ascii="Arial" w:hAnsi="Arial" w:cs="Arial"/>
                <w:sz w:val="22"/>
                <w:szCs w:val="22"/>
                <w:lang w:eastAsia="es-MX"/>
              </w:rPr>
              <w:lastRenderedPageBreak/>
              <w:t>administración pública municipal</w:t>
            </w:r>
          </w:p>
        </w:tc>
        <w:tc>
          <w:tcPr>
            <w:tcW w:w="610" w:type="pct"/>
            <w:tcBorders>
              <w:top w:val="nil"/>
              <w:left w:val="single" w:sz="8" w:space="0" w:color="434343"/>
              <w:bottom w:val="single" w:sz="8" w:space="0" w:color="434343"/>
              <w:right w:val="single" w:sz="8" w:space="0" w:color="434343"/>
            </w:tcBorders>
            <w:vAlign w:val="center"/>
          </w:tcPr>
          <w:p w14:paraId="191498C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463555B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072553E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3.2.1.4 Impulso a la participación ciudadana en condiciones de igualdad de género y transparencia en el proceso de planeación y seguimiento</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E0F736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1.3 Presupuesto Participativo</w:t>
            </w:r>
          </w:p>
        </w:tc>
      </w:tr>
      <w:tr w:rsidR="00794EB9" w:rsidRPr="00794EB9" w14:paraId="540A32FF"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2DFDF3FF"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2864B7E"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50AC9AE"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39E81F2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y establecer de forma permanente esquemas de gestión social que vinculen a la ciudadanía con los procesos y proyectos de obras de intervención en el territorio</w:t>
            </w:r>
          </w:p>
        </w:tc>
        <w:tc>
          <w:tcPr>
            <w:tcW w:w="610" w:type="pct"/>
            <w:tcBorders>
              <w:top w:val="nil"/>
              <w:left w:val="single" w:sz="8" w:space="0" w:color="434343"/>
              <w:bottom w:val="single" w:sz="8" w:space="0" w:color="434343"/>
              <w:right w:val="single" w:sz="8" w:space="0" w:color="434343"/>
            </w:tcBorders>
            <w:vAlign w:val="center"/>
          </w:tcPr>
          <w:p w14:paraId="1900378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385FAC8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4.1.2 Consolidar una gestión pública abierta, transparente y cercana a la ciudadanía, sin cabida para la corrupción</w:t>
            </w:r>
          </w:p>
        </w:tc>
        <w:tc>
          <w:tcPr>
            <w:tcW w:w="762" w:type="pct"/>
            <w:tcBorders>
              <w:top w:val="nil"/>
              <w:left w:val="single" w:sz="8" w:space="0" w:color="434343"/>
              <w:bottom w:val="single" w:sz="8" w:space="0" w:color="434343"/>
              <w:right w:val="single" w:sz="8" w:space="0" w:color="434343"/>
            </w:tcBorders>
            <w:vAlign w:val="center"/>
          </w:tcPr>
          <w:p w14:paraId="496BB45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4.1.2.3 Fortalecimiento de la participación ciudadana mediante mecanismos ágiles y novedosos, que posibiliten su involucramiento en las decisiones relacionadas con la transparencia y la rendición de cuentas</w:t>
            </w:r>
          </w:p>
        </w:tc>
        <w:tc>
          <w:tcPr>
            <w:tcW w:w="736" w:type="pct"/>
            <w:vMerge/>
            <w:tcBorders>
              <w:top w:val="nil"/>
              <w:left w:val="single" w:sz="8" w:space="0" w:color="434343"/>
              <w:bottom w:val="single" w:sz="8" w:space="0" w:color="434343"/>
              <w:right w:val="single" w:sz="8" w:space="0" w:color="434343"/>
            </w:tcBorders>
            <w:shd w:val="clear" w:color="auto" w:fill="auto"/>
            <w:vAlign w:val="center"/>
            <w:hideMark/>
          </w:tcPr>
          <w:p w14:paraId="43F2C8B2" w14:textId="77777777" w:rsidR="00794EB9" w:rsidRPr="00794EB9" w:rsidRDefault="00794EB9" w:rsidP="00C307FB">
            <w:pPr>
              <w:rPr>
                <w:rFonts w:ascii="Arial" w:hAnsi="Arial" w:cs="Arial"/>
                <w:b/>
                <w:bCs/>
                <w:sz w:val="22"/>
                <w:szCs w:val="22"/>
                <w:lang w:eastAsia="es-MX"/>
              </w:rPr>
            </w:pPr>
          </w:p>
        </w:tc>
      </w:tr>
      <w:tr w:rsidR="00794EB9" w:rsidRPr="00794EB9" w14:paraId="31CBD7F4"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65354C7"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5E81E99" w14:textId="77777777" w:rsidR="00794EB9" w:rsidRPr="00794EB9" w:rsidRDefault="00794EB9" w:rsidP="00C307FB">
            <w:pPr>
              <w:rPr>
                <w:rFonts w:ascii="Arial" w:hAnsi="Arial" w:cs="Arial"/>
                <w:sz w:val="22"/>
                <w:szCs w:val="22"/>
                <w:lang w:eastAsia="es-MX"/>
              </w:rPr>
            </w:pP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4EAB84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Eficiencia y modernización administrativa</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BACA72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Consolidar la coordinación en condiciones de transversalidad entre las oficinas y servicios de las dependencias y entidades </w:t>
            </w:r>
            <w:r w:rsidRPr="00794EB9">
              <w:rPr>
                <w:rFonts w:ascii="Arial" w:hAnsi="Arial" w:cs="Arial"/>
                <w:sz w:val="22"/>
                <w:szCs w:val="22"/>
                <w:lang w:eastAsia="es-MX"/>
              </w:rPr>
              <w:lastRenderedPageBreak/>
              <w:t>de la administración municipal</w:t>
            </w:r>
          </w:p>
        </w:tc>
        <w:tc>
          <w:tcPr>
            <w:tcW w:w="610" w:type="pct"/>
            <w:vMerge w:val="restart"/>
            <w:tcBorders>
              <w:top w:val="nil"/>
              <w:left w:val="single" w:sz="8" w:space="0" w:color="434343"/>
              <w:right w:val="single" w:sz="8" w:space="0" w:color="434343"/>
            </w:tcBorders>
            <w:vAlign w:val="center"/>
          </w:tcPr>
          <w:p w14:paraId="79956CD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16: Promover sociedades justas, pacíficas e inclusivas</w:t>
            </w:r>
          </w:p>
        </w:tc>
        <w:tc>
          <w:tcPr>
            <w:tcW w:w="837" w:type="pct"/>
            <w:vMerge w:val="restart"/>
            <w:tcBorders>
              <w:top w:val="nil"/>
              <w:left w:val="single" w:sz="8" w:space="0" w:color="434343"/>
              <w:right w:val="single" w:sz="8" w:space="0" w:color="434343"/>
            </w:tcBorders>
            <w:vAlign w:val="center"/>
          </w:tcPr>
          <w:p w14:paraId="747C6C1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OBJETIVO 4.1.3 Fortalecer las capacidades institucionales de las administraciones públicas municipales, para que su actuación se conduzca con apego a </w:t>
            </w:r>
            <w:r w:rsidRPr="00794EB9">
              <w:rPr>
                <w:rFonts w:ascii="Arial" w:hAnsi="Arial" w:cs="Arial"/>
                <w:b/>
                <w:bCs/>
                <w:sz w:val="22"/>
                <w:szCs w:val="22"/>
                <w:lang w:eastAsia="es-MX"/>
              </w:rPr>
              <w:lastRenderedPageBreak/>
              <w:t>los procesos de planeación, transparencia y evaluación de resultados que requiere la sociedad</w:t>
            </w:r>
          </w:p>
        </w:tc>
        <w:tc>
          <w:tcPr>
            <w:tcW w:w="762" w:type="pct"/>
            <w:vMerge w:val="restart"/>
            <w:tcBorders>
              <w:top w:val="nil"/>
              <w:left w:val="single" w:sz="8" w:space="0" w:color="434343"/>
              <w:right w:val="single" w:sz="8" w:space="0" w:color="434343"/>
            </w:tcBorders>
            <w:vAlign w:val="center"/>
          </w:tcPr>
          <w:p w14:paraId="644C547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Estrategia 4.1.3.1 Armonización de las acciones mediante las cuales se proveen los servicios públicos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F50975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1.4 Nuevo Modelo de Atención Ciudadana</w:t>
            </w:r>
          </w:p>
        </w:tc>
      </w:tr>
      <w:tr w:rsidR="00794EB9" w:rsidRPr="00794EB9" w14:paraId="09BA0782"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74286735"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4D0C459A"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6AD70DC5"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7381CD3"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1EB6B7FA"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62BCA5D2"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7A32455F"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759C56C7" w14:textId="77777777" w:rsidR="00794EB9" w:rsidRPr="00794EB9" w:rsidRDefault="00794EB9" w:rsidP="00C307FB">
            <w:pPr>
              <w:rPr>
                <w:rFonts w:ascii="Arial" w:hAnsi="Arial" w:cs="Arial"/>
                <w:b/>
                <w:bCs/>
                <w:sz w:val="22"/>
                <w:szCs w:val="22"/>
                <w:lang w:eastAsia="es-MX"/>
              </w:rPr>
            </w:pPr>
          </w:p>
        </w:tc>
      </w:tr>
      <w:tr w:rsidR="00794EB9" w:rsidRPr="00794EB9" w14:paraId="55341A6B"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0BEB967"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FDB8094"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52E097A3"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D263B62"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0EC0D90D"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17536EEA"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76D2BA68"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0D4618DA" w14:textId="77777777" w:rsidR="00794EB9" w:rsidRPr="00794EB9" w:rsidRDefault="00794EB9" w:rsidP="00C307FB">
            <w:pPr>
              <w:rPr>
                <w:rFonts w:ascii="Arial" w:hAnsi="Arial" w:cs="Arial"/>
                <w:b/>
                <w:bCs/>
                <w:sz w:val="22"/>
                <w:szCs w:val="22"/>
                <w:lang w:eastAsia="es-MX"/>
              </w:rPr>
            </w:pPr>
          </w:p>
        </w:tc>
      </w:tr>
      <w:tr w:rsidR="00794EB9" w:rsidRPr="00794EB9" w14:paraId="35207179"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AE64FB1"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08C0475"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693B71A"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3BE41592"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381C5F10"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3377C2E1"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147BF1F4"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71FDEAAA" w14:textId="77777777" w:rsidR="00794EB9" w:rsidRPr="00794EB9" w:rsidRDefault="00794EB9" w:rsidP="00C307FB">
            <w:pPr>
              <w:rPr>
                <w:rFonts w:ascii="Arial" w:hAnsi="Arial" w:cs="Arial"/>
                <w:b/>
                <w:bCs/>
                <w:sz w:val="22"/>
                <w:szCs w:val="22"/>
                <w:lang w:eastAsia="es-MX"/>
              </w:rPr>
            </w:pPr>
          </w:p>
        </w:tc>
      </w:tr>
      <w:tr w:rsidR="00794EB9" w:rsidRPr="00794EB9" w14:paraId="7A1C4F3C"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38ADF038"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3E57634"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4F464E9"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ED00513"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0D5FA038"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289230A1"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0B605161"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091EB542" w14:textId="77777777" w:rsidR="00794EB9" w:rsidRPr="00794EB9" w:rsidRDefault="00794EB9" w:rsidP="00C307FB">
            <w:pPr>
              <w:rPr>
                <w:rFonts w:ascii="Arial" w:hAnsi="Arial" w:cs="Arial"/>
                <w:b/>
                <w:bCs/>
                <w:sz w:val="22"/>
                <w:szCs w:val="22"/>
                <w:lang w:eastAsia="es-MX"/>
              </w:rPr>
            </w:pPr>
          </w:p>
        </w:tc>
      </w:tr>
      <w:tr w:rsidR="00794EB9" w:rsidRPr="00794EB9" w14:paraId="2AEAD3C4"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B189BB9"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A1AC379"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FC9ECCC"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08E20E8"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0791331C"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68626FF1"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236D684A" w14:textId="77777777" w:rsidR="00794EB9" w:rsidRPr="00794EB9" w:rsidRDefault="00794EB9" w:rsidP="00C307FB">
            <w:pPr>
              <w:rPr>
                <w:rFonts w:ascii="Arial" w:hAnsi="Arial" w:cs="Arial"/>
                <w:b/>
                <w:bCs/>
                <w:sz w:val="22"/>
                <w:szCs w:val="22"/>
                <w:lang w:eastAsia="es-MX"/>
              </w:rPr>
            </w:pP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7469C6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1.5  Servidores Públicos al 100</w:t>
            </w:r>
          </w:p>
        </w:tc>
      </w:tr>
      <w:tr w:rsidR="00794EB9" w:rsidRPr="00794EB9" w14:paraId="35033D65"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DCAD076"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38ABF292"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37858B41"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93C09A4"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4" w:space="0" w:color="auto"/>
              <w:right w:val="single" w:sz="8" w:space="0" w:color="434343"/>
            </w:tcBorders>
            <w:vAlign w:val="center"/>
          </w:tcPr>
          <w:p w14:paraId="2F4AA7EE"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4" w:space="0" w:color="auto"/>
              <w:right w:val="single" w:sz="8" w:space="0" w:color="434343"/>
            </w:tcBorders>
            <w:vAlign w:val="center"/>
          </w:tcPr>
          <w:p w14:paraId="5E1916A6"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4" w:space="0" w:color="auto"/>
              <w:right w:val="single" w:sz="8" w:space="0" w:color="434343"/>
            </w:tcBorders>
            <w:vAlign w:val="center"/>
          </w:tcPr>
          <w:p w14:paraId="0386B932"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4" w:space="0" w:color="auto"/>
              <w:right w:val="single" w:sz="8" w:space="0" w:color="434343"/>
            </w:tcBorders>
            <w:vAlign w:val="center"/>
            <w:hideMark/>
          </w:tcPr>
          <w:p w14:paraId="627B734D" w14:textId="77777777" w:rsidR="00794EB9" w:rsidRPr="00794EB9" w:rsidRDefault="00794EB9" w:rsidP="00C307FB">
            <w:pPr>
              <w:rPr>
                <w:rFonts w:ascii="Arial" w:hAnsi="Arial" w:cs="Arial"/>
                <w:b/>
                <w:bCs/>
                <w:sz w:val="22"/>
                <w:szCs w:val="22"/>
                <w:lang w:eastAsia="es-MX"/>
              </w:rPr>
            </w:pPr>
          </w:p>
        </w:tc>
      </w:tr>
      <w:tr w:rsidR="00794EB9" w:rsidRPr="00794EB9" w14:paraId="71F3D223"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58571F2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Planeación, anticipación y gestión estratégica</w:t>
            </w:r>
          </w:p>
        </w:tc>
        <w:tc>
          <w:tcPr>
            <w:tcW w:w="541" w:type="pct"/>
            <w:tcBorders>
              <w:top w:val="nil"/>
              <w:left w:val="nil"/>
              <w:bottom w:val="single" w:sz="8" w:space="0" w:color="434343"/>
              <w:right w:val="single" w:sz="8" w:space="0" w:color="434343"/>
            </w:tcBorders>
            <w:shd w:val="clear" w:color="auto" w:fill="auto"/>
            <w:vAlign w:val="center"/>
            <w:hideMark/>
          </w:tcPr>
          <w:p w14:paraId="21534F1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el modelo de planeación y anticipación estratégica "León hacia el futuro", articulando los</w:t>
            </w:r>
            <w:r w:rsidRPr="00794EB9">
              <w:rPr>
                <w:rFonts w:ascii="Arial" w:hAnsi="Arial" w:cs="Arial"/>
                <w:sz w:val="22"/>
                <w:szCs w:val="22"/>
                <w:lang w:eastAsia="es-MX"/>
              </w:rPr>
              <w:br/>
              <w:t>procesos de inteligencia y gestión del desarrollo local</w:t>
            </w:r>
          </w:p>
        </w:tc>
        <w:tc>
          <w:tcPr>
            <w:tcW w:w="459" w:type="pct"/>
            <w:tcBorders>
              <w:top w:val="nil"/>
              <w:left w:val="nil"/>
              <w:bottom w:val="single" w:sz="8" w:space="0" w:color="434343"/>
              <w:right w:val="single" w:sz="8" w:space="0" w:color="434343"/>
            </w:tcBorders>
            <w:shd w:val="clear" w:color="auto" w:fill="auto"/>
            <w:vAlign w:val="center"/>
            <w:hideMark/>
          </w:tcPr>
          <w:p w14:paraId="140D43F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Enfoque estratégico, táctico y operativo para el desarrollo</w:t>
            </w:r>
          </w:p>
        </w:tc>
        <w:tc>
          <w:tcPr>
            <w:tcW w:w="686" w:type="pct"/>
            <w:tcBorders>
              <w:top w:val="nil"/>
              <w:left w:val="nil"/>
              <w:bottom w:val="single" w:sz="8" w:space="0" w:color="434343"/>
              <w:right w:val="single" w:sz="4" w:space="0" w:color="auto"/>
            </w:tcBorders>
            <w:shd w:val="clear" w:color="auto" w:fill="auto"/>
            <w:vAlign w:val="center"/>
            <w:hideMark/>
          </w:tcPr>
          <w:p w14:paraId="5BF4960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Impulsar procesos de inteligencia estratégica y prospectiva a través del análisis y monitoreo de tendencias globales</w:t>
            </w:r>
            <w:r w:rsidRPr="00794EB9">
              <w:rPr>
                <w:rFonts w:ascii="Arial" w:hAnsi="Arial" w:cs="Arial"/>
                <w:sz w:val="22"/>
                <w:szCs w:val="22"/>
                <w:lang w:eastAsia="es-MX"/>
              </w:rPr>
              <w:br/>
              <w:t>y locales</w:t>
            </w:r>
          </w:p>
        </w:tc>
        <w:tc>
          <w:tcPr>
            <w:tcW w:w="610" w:type="pct"/>
            <w:tcBorders>
              <w:top w:val="single" w:sz="4" w:space="0" w:color="auto"/>
              <w:left w:val="single" w:sz="4" w:space="0" w:color="auto"/>
              <w:bottom w:val="single" w:sz="4" w:space="0" w:color="auto"/>
              <w:right w:val="single" w:sz="4" w:space="0" w:color="auto"/>
            </w:tcBorders>
            <w:vAlign w:val="center"/>
          </w:tcPr>
          <w:p w14:paraId="512C285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single" w:sz="4" w:space="0" w:color="auto"/>
              <w:left w:val="single" w:sz="4" w:space="0" w:color="auto"/>
              <w:bottom w:val="single" w:sz="4" w:space="0" w:color="auto"/>
              <w:right w:val="single" w:sz="4" w:space="0" w:color="auto"/>
            </w:tcBorders>
            <w:vAlign w:val="center"/>
          </w:tcPr>
          <w:p w14:paraId="26155CD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4.1.1 Incrementar la eficiencia y la eficacia del sector público estatal, con el involucramiento corresponsable de la sociedad</w:t>
            </w:r>
          </w:p>
        </w:tc>
        <w:tc>
          <w:tcPr>
            <w:tcW w:w="762" w:type="pct"/>
            <w:tcBorders>
              <w:top w:val="single" w:sz="4" w:space="0" w:color="auto"/>
              <w:left w:val="single" w:sz="4" w:space="0" w:color="auto"/>
              <w:bottom w:val="single" w:sz="4" w:space="0" w:color="auto"/>
              <w:right w:val="single" w:sz="4" w:space="0" w:color="auto"/>
            </w:tcBorders>
            <w:vAlign w:val="center"/>
          </w:tcPr>
          <w:p w14:paraId="1C98656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4.1.1.2 Generación de políticas públicas sustentadas en información estratégica y en procesos de planeación integral, que estén orientadas a la solución real de las necesidades sociales y al equilibrio regional, bajo criterios de inclusión e igualdad</w:t>
            </w:r>
          </w:p>
        </w:tc>
        <w:tc>
          <w:tcPr>
            <w:tcW w:w="7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76CF1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1.6 Sistema de Inteligencia Municipal</w:t>
            </w:r>
          </w:p>
        </w:tc>
      </w:tr>
      <w:tr w:rsidR="00794EB9" w:rsidRPr="00794EB9" w14:paraId="3EB3FF4B"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31D183A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4DB53A2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3C8577E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6755FBE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single" w:sz="4" w:space="0" w:color="auto"/>
              <w:left w:val="nil"/>
              <w:bottom w:val="single" w:sz="8" w:space="0" w:color="434343"/>
              <w:right w:val="nil"/>
            </w:tcBorders>
            <w:shd w:val="clear" w:color="auto" w:fill="D9D9D9" w:themeFill="background1" w:themeFillShade="D9"/>
            <w:vAlign w:val="center"/>
          </w:tcPr>
          <w:p w14:paraId="68AD0FED" w14:textId="77777777" w:rsidR="00794EB9" w:rsidRPr="00794EB9" w:rsidRDefault="00794EB9" w:rsidP="00C307FB">
            <w:pPr>
              <w:rPr>
                <w:rFonts w:ascii="Arial" w:hAnsi="Arial" w:cs="Arial"/>
                <w:b/>
                <w:bCs/>
                <w:sz w:val="22"/>
                <w:szCs w:val="22"/>
                <w:lang w:eastAsia="es-MX"/>
              </w:rPr>
            </w:pPr>
          </w:p>
        </w:tc>
        <w:tc>
          <w:tcPr>
            <w:tcW w:w="837" w:type="pct"/>
            <w:tcBorders>
              <w:top w:val="single" w:sz="4" w:space="0" w:color="auto"/>
              <w:left w:val="nil"/>
              <w:bottom w:val="single" w:sz="8" w:space="0" w:color="434343"/>
              <w:right w:val="nil"/>
            </w:tcBorders>
            <w:shd w:val="clear" w:color="auto" w:fill="D9D9D9" w:themeFill="background1" w:themeFillShade="D9"/>
            <w:vAlign w:val="center"/>
          </w:tcPr>
          <w:p w14:paraId="5248D67B" w14:textId="77777777" w:rsidR="00794EB9" w:rsidRPr="00794EB9" w:rsidRDefault="00794EB9" w:rsidP="00C307FB">
            <w:pPr>
              <w:rPr>
                <w:rFonts w:ascii="Arial" w:hAnsi="Arial" w:cs="Arial"/>
                <w:b/>
                <w:bCs/>
                <w:sz w:val="22"/>
                <w:szCs w:val="22"/>
                <w:lang w:eastAsia="es-MX"/>
              </w:rPr>
            </w:pPr>
          </w:p>
        </w:tc>
        <w:tc>
          <w:tcPr>
            <w:tcW w:w="762" w:type="pct"/>
            <w:tcBorders>
              <w:top w:val="single" w:sz="4" w:space="0" w:color="auto"/>
              <w:left w:val="nil"/>
              <w:bottom w:val="single" w:sz="8" w:space="0" w:color="434343"/>
              <w:right w:val="nil"/>
            </w:tcBorders>
            <w:shd w:val="clear" w:color="auto" w:fill="D9D9D9" w:themeFill="background1" w:themeFillShade="D9"/>
            <w:vAlign w:val="center"/>
          </w:tcPr>
          <w:p w14:paraId="4F590F4A" w14:textId="77777777" w:rsidR="00794EB9" w:rsidRPr="00794EB9" w:rsidRDefault="00794EB9" w:rsidP="00C307FB">
            <w:pPr>
              <w:rPr>
                <w:rFonts w:ascii="Arial" w:hAnsi="Arial" w:cs="Arial"/>
                <w:b/>
                <w:bCs/>
                <w:sz w:val="22"/>
                <w:szCs w:val="22"/>
                <w:lang w:eastAsia="es-MX"/>
              </w:rPr>
            </w:pPr>
          </w:p>
        </w:tc>
        <w:tc>
          <w:tcPr>
            <w:tcW w:w="736" w:type="pct"/>
            <w:tcBorders>
              <w:top w:val="single" w:sz="4" w:space="0" w:color="auto"/>
              <w:left w:val="nil"/>
              <w:bottom w:val="single" w:sz="8" w:space="0" w:color="434343"/>
              <w:right w:val="single" w:sz="8" w:space="0" w:color="434343"/>
            </w:tcBorders>
            <w:shd w:val="clear" w:color="auto" w:fill="D9D9D9" w:themeFill="background1" w:themeFillShade="D9"/>
            <w:noWrap/>
            <w:vAlign w:val="center"/>
            <w:hideMark/>
          </w:tcPr>
          <w:p w14:paraId="26AC653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VT2. Movilidad Segura</w:t>
            </w:r>
          </w:p>
        </w:tc>
      </w:tr>
      <w:tr w:rsidR="00794EB9" w:rsidRPr="00794EB9" w14:paraId="60DBC0D6" w14:textId="77777777" w:rsidTr="00C307FB">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A55B3F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Movilidad sustentable e incluyente</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4E4FA4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459" w:type="pct"/>
            <w:vMerge w:val="restart"/>
            <w:tcBorders>
              <w:top w:val="nil"/>
              <w:left w:val="single" w:sz="8" w:space="0" w:color="434343"/>
              <w:right w:val="single" w:sz="8" w:space="0" w:color="434343"/>
            </w:tcBorders>
            <w:shd w:val="clear" w:color="auto" w:fill="auto"/>
            <w:vAlign w:val="center"/>
            <w:hideMark/>
          </w:tcPr>
          <w:p w14:paraId="3F61FB1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Innovación en movilidad sustentable</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CEB5D6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y dar mantenimiento a la red de ciclovías y generar módulos de estacionamiento seguro para las bicicletas</w:t>
            </w:r>
          </w:p>
        </w:tc>
        <w:tc>
          <w:tcPr>
            <w:tcW w:w="610" w:type="pct"/>
            <w:vMerge w:val="restart"/>
            <w:tcBorders>
              <w:top w:val="nil"/>
              <w:left w:val="single" w:sz="8" w:space="0" w:color="434343"/>
              <w:right w:val="single" w:sz="8" w:space="0" w:color="434343"/>
            </w:tcBorders>
            <w:vAlign w:val="center"/>
          </w:tcPr>
          <w:p w14:paraId="5C6B186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vMerge w:val="restart"/>
            <w:tcBorders>
              <w:top w:val="nil"/>
              <w:left w:val="single" w:sz="8" w:space="0" w:color="434343"/>
              <w:right w:val="single" w:sz="8" w:space="0" w:color="434343"/>
            </w:tcBorders>
            <w:vAlign w:val="center"/>
          </w:tcPr>
          <w:p w14:paraId="1393F50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3.2.3 Asegurar una movilidad fluida, sostenible y segura para todas las y los guanajuatenses y visitantes a la entidad</w:t>
            </w:r>
          </w:p>
        </w:tc>
        <w:tc>
          <w:tcPr>
            <w:tcW w:w="762" w:type="pct"/>
            <w:vMerge w:val="restart"/>
            <w:tcBorders>
              <w:top w:val="nil"/>
              <w:left w:val="single" w:sz="8" w:space="0" w:color="434343"/>
              <w:right w:val="single" w:sz="8" w:space="0" w:color="434343"/>
            </w:tcBorders>
            <w:vAlign w:val="center"/>
          </w:tcPr>
          <w:p w14:paraId="2E2C87B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3.2.3.2 Implementación de un sistema de transporte multimodal, accesible, seguro y amigable con el medio ambiente</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D5FD78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2.1 Ciclociudad</w:t>
            </w:r>
          </w:p>
        </w:tc>
      </w:tr>
      <w:tr w:rsidR="00794EB9" w:rsidRPr="00794EB9" w14:paraId="02351345"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6981C282"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320FDD3A" w14:textId="77777777" w:rsidR="00794EB9" w:rsidRPr="00794EB9" w:rsidRDefault="00794EB9" w:rsidP="00C307FB">
            <w:pPr>
              <w:rPr>
                <w:rFonts w:ascii="Arial" w:hAnsi="Arial" w:cs="Arial"/>
                <w:sz w:val="22"/>
                <w:szCs w:val="22"/>
                <w:lang w:eastAsia="es-MX"/>
              </w:rPr>
            </w:pPr>
          </w:p>
        </w:tc>
        <w:tc>
          <w:tcPr>
            <w:tcW w:w="459" w:type="pct"/>
            <w:vMerge/>
            <w:tcBorders>
              <w:left w:val="single" w:sz="8" w:space="0" w:color="434343"/>
              <w:right w:val="single" w:sz="8" w:space="0" w:color="434343"/>
            </w:tcBorders>
            <w:vAlign w:val="center"/>
            <w:hideMark/>
          </w:tcPr>
          <w:p w14:paraId="25A6D868"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CC8DB8F"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109BC542"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42EB3351"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541C890F"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5C2EE19" w14:textId="77777777" w:rsidR="00794EB9" w:rsidRPr="00794EB9" w:rsidRDefault="00794EB9" w:rsidP="00C307FB">
            <w:pPr>
              <w:rPr>
                <w:rFonts w:ascii="Arial" w:hAnsi="Arial" w:cs="Arial"/>
                <w:b/>
                <w:bCs/>
                <w:sz w:val="22"/>
                <w:szCs w:val="22"/>
                <w:lang w:eastAsia="es-MX"/>
              </w:rPr>
            </w:pPr>
          </w:p>
        </w:tc>
      </w:tr>
      <w:tr w:rsidR="00794EB9" w:rsidRPr="00794EB9" w14:paraId="2CBC9B2E"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930FDE8"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7897DD4" w14:textId="77777777" w:rsidR="00794EB9" w:rsidRPr="00794EB9" w:rsidRDefault="00794EB9" w:rsidP="00C307FB">
            <w:pPr>
              <w:rPr>
                <w:rFonts w:ascii="Arial" w:hAnsi="Arial" w:cs="Arial"/>
                <w:sz w:val="22"/>
                <w:szCs w:val="22"/>
                <w:lang w:eastAsia="es-MX"/>
              </w:rPr>
            </w:pPr>
          </w:p>
        </w:tc>
        <w:tc>
          <w:tcPr>
            <w:tcW w:w="459" w:type="pct"/>
            <w:vMerge/>
            <w:tcBorders>
              <w:left w:val="single" w:sz="8" w:space="0" w:color="434343"/>
              <w:right w:val="single" w:sz="8" w:space="0" w:color="434343"/>
            </w:tcBorders>
            <w:vAlign w:val="center"/>
            <w:hideMark/>
          </w:tcPr>
          <w:p w14:paraId="70AD28F8"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3E09B525"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15771A72"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153E3E44"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0FE768AF"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3BA7BAF8" w14:textId="77777777" w:rsidR="00794EB9" w:rsidRPr="00794EB9" w:rsidRDefault="00794EB9" w:rsidP="00C307FB">
            <w:pPr>
              <w:rPr>
                <w:rFonts w:ascii="Arial" w:hAnsi="Arial" w:cs="Arial"/>
                <w:b/>
                <w:bCs/>
                <w:sz w:val="22"/>
                <w:szCs w:val="22"/>
                <w:lang w:eastAsia="es-MX"/>
              </w:rPr>
            </w:pPr>
          </w:p>
        </w:tc>
      </w:tr>
      <w:tr w:rsidR="00794EB9" w:rsidRPr="00794EB9" w14:paraId="68D85BBA"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5A99FA71"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029ACDF" w14:textId="77777777" w:rsidR="00794EB9" w:rsidRPr="00794EB9" w:rsidRDefault="00794EB9" w:rsidP="00C307FB">
            <w:pPr>
              <w:rPr>
                <w:rFonts w:ascii="Arial" w:hAnsi="Arial" w:cs="Arial"/>
                <w:sz w:val="22"/>
                <w:szCs w:val="22"/>
                <w:lang w:eastAsia="es-MX"/>
              </w:rPr>
            </w:pPr>
          </w:p>
        </w:tc>
        <w:tc>
          <w:tcPr>
            <w:tcW w:w="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D9CF76" w14:textId="77777777" w:rsidR="00794EB9" w:rsidRPr="00794EB9" w:rsidRDefault="00794EB9" w:rsidP="00C307FB">
            <w:pPr>
              <w:ind w:hanging="2"/>
              <w:rPr>
                <w:rFonts w:ascii="Arial" w:hAnsi="Arial" w:cs="Arial"/>
                <w:sz w:val="22"/>
                <w:szCs w:val="22"/>
                <w:lang w:eastAsia="es-MX"/>
              </w:rPr>
            </w:pPr>
            <w:r w:rsidRPr="00794EB9">
              <w:rPr>
                <w:rFonts w:ascii="Arial" w:hAnsi="Arial" w:cs="Arial"/>
                <w:sz w:val="22"/>
                <w:szCs w:val="22"/>
                <w:lang w:eastAsia="es-MX"/>
              </w:rPr>
              <w:t>Implementación de sistemas alternativos de transporte ecológico sustentable</w:t>
            </w:r>
          </w:p>
        </w:tc>
        <w:tc>
          <w:tcPr>
            <w:tcW w:w="686" w:type="pct"/>
            <w:tcBorders>
              <w:top w:val="single" w:sz="4" w:space="0" w:color="auto"/>
              <w:left w:val="single" w:sz="4" w:space="0" w:color="auto"/>
              <w:bottom w:val="single" w:sz="4" w:space="0" w:color="auto"/>
              <w:right w:val="single" w:sz="4" w:space="0" w:color="auto"/>
            </w:tcBorders>
            <w:shd w:val="clear" w:color="auto" w:fill="auto"/>
            <w:vAlign w:val="center"/>
          </w:tcPr>
          <w:p w14:paraId="73F8C3A5" w14:textId="77777777" w:rsidR="00794EB9" w:rsidRPr="00794EB9" w:rsidRDefault="00794EB9" w:rsidP="00C307FB">
            <w:pPr>
              <w:ind w:hanging="2"/>
              <w:rPr>
                <w:rFonts w:ascii="Arial" w:hAnsi="Arial" w:cs="Arial"/>
                <w:sz w:val="22"/>
                <w:szCs w:val="22"/>
                <w:lang w:eastAsia="es-MX"/>
              </w:rPr>
            </w:pPr>
            <w:r w:rsidRPr="00794EB9">
              <w:rPr>
                <w:rFonts w:ascii="Arial" w:hAnsi="Arial" w:cs="Arial"/>
                <w:sz w:val="22"/>
                <w:szCs w:val="22"/>
                <w:lang w:eastAsia="es-MX"/>
              </w:rPr>
              <w:t>Ampliar y renovar la infraestructura vial orientada al transporte público, a fin de mejorar el nivel de servicio mediante el incremento de carriles exclusivos y rutas exprés</w:t>
            </w:r>
          </w:p>
        </w:tc>
        <w:tc>
          <w:tcPr>
            <w:tcW w:w="610" w:type="pct"/>
            <w:tcBorders>
              <w:top w:val="single" w:sz="4" w:space="0" w:color="auto"/>
              <w:left w:val="single" w:sz="4" w:space="0" w:color="auto"/>
              <w:bottom w:val="single" w:sz="4" w:space="0" w:color="auto"/>
              <w:right w:val="single" w:sz="4" w:space="0" w:color="auto"/>
            </w:tcBorders>
            <w:vAlign w:val="center"/>
          </w:tcPr>
          <w:p w14:paraId="297692B8" w14:textId="77777777" w:rsidR="00794EB9" w:rsidRPr="00794EB9" w:rsidRDefault="00794EB9" w:rsidP="00C307FB">
            <w:pPr>
              <w:ind w:hanging="2"/>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single" w:sz="4" w:space="0" w:color="auto"/>
              <w:left w:val="single" w:sz="4" w:space="0" w:color="auto"/>
              <w:bottom w:val="single" w:sz="4" w:space="0" w:color="auto"/>
              <w:right w:val="single" w:sz="4" w:space="0" w:color="auto"/>
            </w:tcBorders>
            <w:vAlign w:val="center"/>
          </w:tcPr>
          <w:p w14:paraId="44E76766" w14:textId="77777777" w:rsidR="00794EB9" w:rsidRPr="00794EB9" w:rsidRDefault="00794EB9" w:rsidP="00C307FB">
            <w:pPr>
              <w:ind w:hanging="2"/>
              <w:rPr>
                <w:rFonts w:ascii="Arial" w:hAnsi="Arial" w:cs="Arial"/>
                <w:b/>
                <w:bCs/>
                <w:sz w:val="22"/>
                <w:szCs w:val="22"/>
                <w:lang w:eastAsia="es-MX"/>
              </w:rPr>
            </w:pPr>
            <w:r w:rsidRPr="00794EB9">
              <w:rPr>
                <w:rFonts w:ascii="Arial" w:hAnsi="Arial" w:cs="Arial"/>
                <w:b/>
                <w:bCs/>
                <w:sz w:val="22"/>
                <w:szCs w:val="22"/>
                <w:lang w:eastAsia="es-MX"/>
              </w:rPr>
              <w:t>OBJETIVO 3.2.3 Asegurar una movilidad fluida, sostenible y segura para todas las y los guanajuatenses y visitantes a la entidad</w:t>
            </w:r>
          </w:p>
        </w:tc>
        <w:tc>
          <w:tcPr>
            <w:tcW w:w="762" w:type="pct"/>
            <w:tcBorders>
              <w:top w:val="single" w:sz="4" w:space="0" w:color="auto"/>
              <w:left w:val="single" w:sz="4" w:space="0" w:color="auto"/>
              <w:bottom w:val="single" w:sz="4" w:space="0" w:color="auto"/>
              <w:right w:val="single" w:sz="4" w:space="0" w:color="auto"/>
            </w:tcBorders>
            <w:vAlign w:val="center"/>
          </w:tcPr>
          <w:p w14:paraId="7C7683A0" w14:textId="77777777" w:rsidR="00794EB9" w:rsidRPr="00794EB9" w:rsidRDefault="00794EB9" w:rsidP="00C307FB">
            <w:pPr>
              <w:ind w:hanging="2"/>
              <w:rPr>
                <w:rFonts w:ascii="Arial" w:hAnsi="Arial" w:cs="Arial"/>
                <w:b/>
                <w:bCs/>
                <w:sz w:val="22"/>
                <w:szCs w:val="22"/>
                <w:lang w:eastAsia="es-MX"/>
              </w:rPr>
            </w:pPr>
            <w:r w:rsidRPr="00794EB9">
              <w:rPr>
                <w:rFonts w:ascii="Arial" w:hAnsi="Arial" w:cs="Arial"/>
                <w:b/>
                <w:bCs/>
                <w:sz w:val="22"/>
                <w:szCs w:val="22"/>
                <w:lang w:eastAsia="es-MX"/>
              </w:rPr>
              <w:t xml:space="preserve">Estrategia 3.2.3.2 Implementación de un sistema de transporte multimodal, accesible, seguro y amigable con el medio ambiente </w:t>
            </w:r>
          </w:p>
        </w:tc>
        <w:tc>
          <w:tcPr>
            <w:tcW w:w="736" w:type="pct"/>
            <w:tcBorders>
              <w:top w:val="single" w:sz="4" w:space="0" w:color="auto"/>
              <w:left w:val="single" w:sz="4" w:space="0" w:color="auto"/>
              <w:bottom w:val="single" w:sz="4" w:space="0" w:color="auto"/>
              <w:right w:val="single" w:sz="4" w:space="0" w:color="auto"/>
            </w:tcBorders>
            <w:shd w:val="clear" w:color="auto" w:fill="auto"/>
            <w:vAlign w:val="center"/>
          </w:tcPr>
          <w:p w14:paraId="69A48D94" w14:textId="77777777" w:rsidR="00794EB9" w:rsidRPr="00794EB9" w:rsidRDefault="00794EB9" w:rsidP="00C307FB">
            <w:pPr>
              <w:ind w:hanging="2"/>
              <w:rPr>
                <w:rFonts w:ascii="Arial" w:hAnsi="Arial" w:cs="Arial"/>
                <w:b/>
                <w:bCs/>
                <w:sz w:val="22"/>
                <w:szCs w:val="22"/>
                <w:lang w:eastAsia="es-MX"/>
              </w:rPr>
            </w:pPr>
            <w:r w:rsidRPr="00794EB9">
              <w:rPr>
                <w:rFonts w:ascii="Arial" w:hAnsi="Arial" w:cs="Arial"/>
                <w:b/>
                <w:bCs/>
                <w:sz w:val="22"/>
                <w:szCs w:val="22"/>
                <w:lang w:eastAsia="es-MX"/>
              </w:rPr>
              <w:t xml:space="preserve">VT. 2.2 Circuito de Rutas Exprés Perimetrales </w:t>
            </w:r>
          </w:p>
        </w:tc>
      </w:tr>
      <w:tr w:rsidR="00794EB9" w:rsidRPr="00794EB9" w14:paraId="4138C7A7"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4F43DD2A"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98871FD" w14:textId="77777777" w:rsidR="00794EB9" w:rsidRPr="00794EB9" w:rsidRDefault="00794EB9" w:rsidP="00C307FB">
            <w:pPr>
              <w:rPr>
                <w:rFonts w:ascii="Arial" w:hAnsi="Arial" w:cs="Arial"/>
                <w:sz w:val="22"/>
                <w:szCs w:val="22"/>
                <w:lang w:eastAsia="es-MX"/>
              </w:rPr>
            </w:pPr>
          </w:p>
        </w:tc>
        <w:tc>
          <w:tcPr>
            <w:tcW w:w="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8A000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Innovación en movilidad sustentable</w:t>
            </w:r>
          </w:p>
        </w:tc>
        <w:tc>
          <w:tcPr>
            <w:tcW w:w="6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2FF5F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proyectos y acciones que fomenten la intermodalidad con la integració</w:t>
            </w:r>
            <w:r w:rsidRPr="00794EB9">
              <w:rPr>
                <w:rFonts w:ascii="Arial" w:hAnsi="Arial" w:cs="Arial"/>
                <w:sz w:val="22"/>
                <w:szCs w:val="22"/>
                <w:lang w:eastAsia="es-MX"/>
              </w:rPr>
              <w:lastRenderedPageBreak/>
              <w:t>n de los distintos medios de movilidad municipal, realizando adecuaciones para la accesibilidad de las personas con discapacidad y adultos mayores</w:t>
            </w:r>
          </w:p>
        </w:tc>
        <w:tc>
          <w:tcPr>
            <w:tcW w:w="610" w:type="pct"/>
            <w:tcBorders>
              <w:top w:val="single" w:sz="4" w:space="0" w:color="auto"/>
              <w:left w:val="single" w:sz="4" w:space="0" w:color="auto"/>
              <w:bottom w:val="single" w:sz="4" w:space="0" w:color="auto"/>
              <w:right w:val="single" w:sz="4" w:space="0" w:color="auto"/>
            </w:tcBorders>
            <w:vAlign w:val="center"/>
          </w:tcPr>
          <w:p w14:paraId="61FBF46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11: Lograr que las ciudades sean más inclusivas, </w:t>
            </w:r>
            <w:r w:rsidRPr="00794EB9">
              <w:rPr>
                <w:rFonts w:ascii="Arial" w:hAnsi="Arial" w:cs="Arial"/>
                <w:b/>
                <w:bCs/>
                <w:sz w:val="22"/>
                <w:szCs w:val="22"/>
                <w:lang w:eastAsia="es-MX"/>
              </w:rPr>
              <w:lastRenderedPageBreak/>
              <w:t>seguras, resilientes y sostenibles</w:t>
            </w:r>
          </w:p>
        </w:tc>
        <w:tc>
          <w:tcPr>
            <w:tcW w:w="837" w:type="pct"/>
            <w:tcBorders>
              <w:top w:val="single" w:sz="4" w:space="0" w:color="auto"/>
              <w:left w:val="single" w:sz="4" w:space="0" w:color="auto"/>
              <w:bottom w:val="single" w:sz="4" w:space="0" w:color="auto"/>
              <w:right w:val="single" w:sz="4" w:space="0" w:color="auto"/>
            </w:tcBorders>
            <w:vAlign w:val="center"/>
          </w:tcPr>
          <w:p w14:paraId="19DAEA1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3.2.3 Asegurar una movilidad fluida, sostenible y segura para todas las y </w:t>
            </w:r>
            <w:r w:rsidRPr="00794EB9">
              <w:rPr>
                <w:rFonts w:ascii="Arial" w:hAnsi="Arial" w:cs="Arial"/>
                <w:b/>
                <w:bCs/>
                <w:sz w:val="22"/>
                <w:szCs w:val="22"/>
                <w:lang w:eastAsia="es-MX"/>
              </w:rPr>
              <w:lastRenderedPageBreak/>
              <w:t>los guanajuatenses y visitantes a la entidad</w:t>
            </w:r>
          </w:p>
        </w:tc>
        <w:tc>
          <w:tcPr>
            <w:tcW w:w="762" w:type="pct"/>
            <w:tcBorders>
              <w:top w:val="single" w:sz="4" w:space="0" w:color="auto"/>
              <w:left w:val="single" w:sz="4" w:space="0" w:color="auto"/>
              <w:bottom w:val="single" w:sz="4" w:space="0" w:color="auto"/>
              <w:right w:val="single" w:sz="4" w:space="0" w:color="auto"/>
            </w:tcBorders>
            <w:vAlign w:val="center"/>
          </w:tcPr>
          <w:p w14:paraId="7E52BFF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3.2.3.2 Implementación de un sistema de transporte multimodal, accesible, </w:t>
            </w:r>
            <w:r w:rsidRPr="00794EB9">
              <w:rPr>
                <w:rFonts w:ascii="Arial" w:hAnsi="Arial" w:cs="Arial"/>
                <w:b/>
                <w:bCs/>
                <w:sz w:val="22"/>
                <w:szCs w:val="22"/>
                <w:lang w:eastAsia="es-MX"/>
              </w:rPr>
              <w:lastRenderedPageBreak/>
              <w:t>seguro y amigable con el medio ambiente</w:t>
            </w:r>
          </w:p>
        </w:tc>
        <w:tc>
          <w:tcPr>
            <w:tcW w:w="7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9BDB4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VT. 2.3 Evolución del SIT</w:t>
            </w:r>
          </w:p>
        </w:tc>
      </w:tr>
      <w:tr w:rsidR="00794EB9" w:rsidRPr="00794EB9" w14:paraId="037C5268"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3A5031BA"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3190812A" w14:textId="77777777" w:rsidR="00794EB9" w:rsidRPr="00794EB9" w:rsidRDefault="00794EB9" w:rsidP="00C307FB">
            <w:pPr>
              <w:rPr>
                <w:rFonts w:ascii="Arial" w:hAnsi="Arial" w:cs="Arial"/>
                <w:sz w:val="22"/>
                <w:szCs w:val="22"/>
                <w:lang w:eastAsia="es-MX"/>
              </w:rPr>
            </w:pPr>
          </w:p>
        </w:tc>
        <w:tc>
          <w:tcPr>
            <w:tcW w:w="459" w:type="pct"/>
            <w:vMerge w:val="restart"/>
            <w:tcBorders>
              <w:top w:val="single" w:sz="4" w:space="0" w:color="auto"/>
              <w:left w:val="single" w:sz="8" w:space="0" w:color="434343"/>
              <w:bottom w:val="single" w:sz="8" w:space="0" w:color="434343"/>
              <w:right w:val="single" w:sz="8" w:space="0" w:color="434343"/>
            </w:tcBorders>
            <w:shd w:val="clear" w:color="auto" w:fill="auto"/>
            <w:vAlign w:val="center"/>
            <w:hideMark/>
          </w:tcPr>
          <w:p w14:paraId="0FB804D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Implementación de sistemas alternativos de transporte ecológico sustentable</w:t>
            </w:r>
          </w:p>
        </w:tc>
        <w:tc>
          <w:tcPr>
            <w:tcW w:w="686" w:type="pct"/>
            <w:vMerge w:val="restart"/>
            <w:tcBorders>
              <w:top w:val="single" w:sz="4" w:space="0" w:color="auto"/>
              <w:left w:val="single" w:sz="8" w:space="0" w:color="434343"/>
              <w:bottom w:val="single" w:sz="8" w:space="0" w:color="434343"/>
              <w:right w:val="single" w:sz="8" w:space="0" w:color="434343"/>
            </w:tcBorders>
            <w:shd w:val="clear" w:color="auto" w:fill="auto"/>
            <w:vAlign w:val="center"/>
            <w:hideMark/>
          </w:tcPr>
          <w:p w14:paraId="219FA5F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la cobertura y capacidad de operación del Sistema Integrado de Transporte (SIT) con nuevos corredores para incorporar más zonas de atención a los usuarios</w:t>
            </w:r>
          </w:p>
        </w:tc>
        <w:tc>
          <w:tcPr>
            <w:tcW w:w="610" w:type="pct"/>
            <w:vMerge w:val="restart"/>
            <w:tcBorders>
              <w:top w:val="single" w:sz="4" w:space="0" w:color="auto"/>
              <w:left w:val="single" w:sz="8" w:space="0" w:color="434343"/>
              <w:right w:val="single" w:sz="8" w:space="0" w:color="434343"/>
            </w:tcBorders>
            <w:vAlign w:val="center"/>
          </w:tcPr>
          <w:p w14:paraId="04AEF57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vMerge w:val="restart"/>
            <w:tcBorders>
              <w:top w:val="single" w:sz="4" w:space="0" w:color="auto"/>
              <w:left w:val="single" w:sz="8" w:space="0" w:color="434343"/>
              <w:right w:val="single" w:sz="8" w:space="0" w:color="434343"/>
            </w:tcBorders>
            <w:vAlign w:val="center"/>
          </w:tcPr>
          <w:p w14:paraId="470B659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3.2.3 Asegurar una movilidad fluida, sostenible y segura para todas las y los guanajuatenses y visitantes a la entidad</w:t>
            </w:r>
          </w:p>
        </w:tc>
        <w:tc>
          <w:tcPr>
            <w:tcW w:w="762" w:type="pct"/>
            <w:vMerge w:val="restart"/>
            <w:tcBorders>
              <w:top w:val="single" w:sz="4" w:space="0" w:color="auto"/>
              <w:left w:val="single" w:sz="8" w:space="0" w:color="434343"/>
              <w:right w:val="single" w:sz="8" w:space="0" w:color="434343"/>
            </w:tcBorders>
            <w:vAlign w:val="center"/>
          </w:tcPr>
          <w:p w14:paraId="1B4534C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3.2.3.2 Implementación de un sistema de transporte multimodal, accesible, seguro y amigable con el medio ambiente</w:t>
            </w:r>
          </w:p>
        </w:tc>
        <w:tc>
          <w:tcPr>
            <w:tcW w:w="736" w:type="pct"/>
            <w:vMerge/>
            <w:tcBorders>
              <w:top w:val="single" w:sz="4" w:space="0" w:color="auto"/>
              <w:left w:val="single" w:sz="8" w:space="0" w:color="434343"/>
              <w:bottom w:val="single" w:sz="8" w:space="0" w:color="434343"/>
              <w:right w:val="single" w:sz="8" w:space="0" w:color="434343"/>
            </w:tcBorders>
            <w:vAlign w:val="center"/>
            <w:hideMark/>
          </w:tcPr>
          <w:p w14:paraId="4905EDB0" w14:textId="77777777" w:rsidR="00794EB9" w:rsidRPr="00794EB9" w:rsidRDefault="00794EB9" w:rsidP="00C307FB">
            <w:pPr>
              <w:rPr>
                <w:rFonts w:ascii="Arial" w:hAnsi="Arial" w:cs="Arial"/>
                <w:b/>
                <w:bCs/>
                <w:sz w:val="22"/>
                <w:szCs w:val="22"/>
                <w:lang w:eastAsia="es-MX"/>
              </w:rPr>
            </w:pPr>
          </w:p>
        </w:tc>
      </w:tr>
      <w:tr w:rsidR="00794EB9" w:rsidRPr="00794EB9" w14:paraId="727AE977"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53720E9C"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9A764AA"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5CDC07A"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15DBF51"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44816CB4"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34340CE8"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4BE0001D"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B713E96" w14:textId="77777777" w:rsidR="00794EB9" w:rsidRPr="00794EB9" w:rsidRDefault="00794EB9" w:rsidP="00C307FB">
            <w:pPr>
              <w:rPr>
                <w:rFonts w:ascii="Arial" w:hAnsi="Arial" w:cs="Arial"/>
                <w:b/>
                <w:bCs/>
                <w:sz w:val="22"/>
                <w:szCs w:val="22"/>
                <w:lang w:eastAsia="es-MX"/>
              </w:rPr>
            </w:pPr>
          </w:p>
        </w:tc>
      </w:tr>
      <w:tr w:rsidR="00794EB9" w:rsidRPr="00794EB9" w14:paraId="067B5613"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705B6680"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D782878" w14:textId="77777777" w:rsidR="00794EB9" w:rsidRPr="00794EB9" w:rsidRDefault="00794EB9" w:rsidP="00C307FB">
            <w:pPr>
              <w:rPr>
                <w:rFonts w:ascii="Arial" w:hAnsi="Arial" w:cs="Arial"/>
                <w:sz w:val="22"/>
                <w:szCs w:val="22"/>
                <w:lang w:eastAsia="es-MX"/>
              </w:rPr>
            </w:pP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5B57A0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Innovación en movilidad </w:t>
            </w:r>
            <w:r w:rsidRPr="00794EB9">
              <w:rPr>
                <w:rFonts w:ascii="Arial" w:hAnsi="Arial" w:cs="Arial"/>
                <w:sz w:val="22"/>
                <w:szCs w:val="22"/>
                <w:lang w:eastAsia="es-MX"/>
              </w:rPr>
              <w:lastRenderedPageBreak/>
              <w:t>sustentable</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E184BA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Generar proyectos y acciones que fomenten </w:t>
            </w:r>
            <w:r w:rsidRPr="00794EB9">
              <w:rPr>
                <w:rFonts w:ascii="Arial" w:hAnsi="Arial" w:cs="Arial"/>
                <w:sz w:val="22"/>
                <w:szCs w:val="22"/>
                <w:lang w:eastAsia="es-MX"/>
              </w:rPr>
              <w:lastRenderedPageBreak/>
              <w:t>la intermodalidad con la integración de los distintos medios de movilidad municipal, realizando adecuaciones para la accesibilidad de las personas con discapacidad y adultos mayores</w:t>
            </w:r>
          </w:p>
        </w:tc>
        <w:tc>
          <w:tcPr>
            <w:tcW w:w="610" w:type="pct"/>
            <w:vMerge w:val="restart"/>
            <w:tcBorders>
              <w:top w:val="nil"/>
              <w:left w:val="single" w:sz="8" w:space="0" w:color="434343"/>
              <w:right w:val="single" w:sz="8" w:space="0" w:color="434343"/>
            </w:tcBorders>
            <w:vAlign w:val="center"/>
          </w:tcPr>
          <w:p w14:paraId="251BBE2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11: Lograr que las ciudade</w:t>
            </w:r>
            <w:r w:rsidRPr="00794EB9">
              <w:rPr>
                <w:rFonts w:ascii="Arial" w:hAnsi="Arial" w:cs="Arial"/>
                <w:b/>
                <w:bCs/>
                <w:sz w:val="22"/>
                <w:szCs w:val="22"/>
                <w:lang w:eastAsia="es-MX"/>
              </w:rPr>
              <w:lastRenderedPageBreak/>
              <w:t>s sean más inclusivas, seguras, resilientes y sostenibles</w:t>
            </w:r>
          </w:p>
        </w:tc>
        <w:tc>
          <w:tcPr>
            <w:tcW w:w="837" w:type="pct"/>
            <w:vMerge w:val="restart"/>
            <w:tcBorders>
              <w:top w:val="nil"/>
              <w:left w:val="single" w:sz="8" w:space="0" w:color="434343"/>
              <w:right w:val="single" w:sz="8" w:space="0" w:color="434343"/>
            </w:tcBorders>
            <w:vAlign w:val="center"/>
          </w:tcPr>
          <w:p w14:paraId="3459DE1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3.2.3 Asegurar una movilidad </w:t>
            </w:r>
            <w:r w:rsidRPr="00794EB9">
              <w:rPr>
                <w:rFonts w:ascii="Arial" w:hAnsi="Arial" w:cs="Arial"/>
                <w:b/>
                <w:bCs/>
                <w:sz w:val="22"/>
                <w:szCs w:val="22"/>
                <w:lang w:eastAsia="es-MX"/>
              </w:rPr>
              <w:lastRenderedPageBreak/>
              <w:t>fluida, sostenible y segura para todas las y los guanajuatenses y visitantes a la entidad</w:t>
            </w:r>
          </w:p>
        </w:tc>
        <w:tc>
          <w:tcPr>
            <w:tcW w:w="762" w:type="pct"/>
            <w:vMerge w:val="restart"/>
            <w:tcBorders>
              <w:top w:val="nil"/>
              <w:left w:val="single" w:sz="8" w:space="0" w:color="434343"/>
              <w:right w:val="single" w:sz="8" w:space="0" w:color="434343"/>
            </w:tcBorders>
            <w:vAlign w:val="center"/>
          </w:tcPr>
          <w:p w14:paraId="76AAEE7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3.2.3.2 Implementación de un sistema </w:t>
            </w:r>
            <w:r w:rsidRPr="00794EB9">
              <w:rPr>
                <w:rFonts w:ascii="Arial" w:hAnsi="Arial" w:cs="Arial"/>
                <w:b/>
                <w:bCs/>
                <w:sz w:val="22"/>
                <w:szCs w:val="22"/>
                <w:lang w:eastAsia="es-MX"/>
              </w:rPr>
              <w:lastRenderedPageBreak/>
              <w:t>de transporte multimodal, accesible, seguro y amigable con el medio ambiente</w:t>
            </w:r>
          </w:p>
        </w:tc>
        <w:tc>
          <w:tcPr>
            <w:tcW w:w="736" w:type="pct"/>
            <w:vMerge/>
            <w:tcBorders>
              <w:top w:val="nil"/>
              <w:left w:val="single" w:sz="8" w:space="0" w:color="434343"/>
              <w:bottom w:val="single" w:sz="8" w:space="0" w:color="434343"/>
              <w:right w:val="single" w:sz="8" w:space="0" w:color="434343"/>
            </w:tcBorders>
            <w:vAlign w:val="center"/>
            <w:hideMark/>
          </w:tcPr>
          <w:p w14:paraId="168BA666" w14:textId="77777777" w:rsidR="00794EB9" w:rsidRPr="00794EB9" w:rsidRDefault="00794EB9" w:rsidP="00C307FB">
            <w:pPr>
              <w:rPr>
                <w:rFonts w:ascii="Arial" w:hAnsi="Arial" w:cs="Arial"/>
                <w:b/>
                <w:bCs/>
                <w:sz w:val="22"/>
                <w:szCs w:val="22"/>
                <w:lang w:eastAsia="es-MX"/>
              </w:rPr>
            </w:pPr>
          </w:p>
        </w:tc>
      </w:tr>
      <w:tr w:rsidR="00794EB9" w:rsidRPr="00794EB9" w14:paraId="00A37A4D"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4A1C129"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C7C2CD2"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2D02F7C"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7BA6E8E"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26301481"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1D8F6751"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217B48B9"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11A1A0D3" w14:textId="77777777" w:rsidR="00794EB9" w:rsidRPr="00794EB9" w:rsidRDefault="00794EB9" w:rsidP="00C307FB">
            <w:pPr>
              <w:rPr>
                <w:rFonts w:ascii="Arial" w:hAnsi="Arial" w:cs="Arial"/>
                <w:b/>
                <w:bCs/>
                <w:sz w:val="22"/>
                <w:szCs w:val="22"/>
                <w:lang w:eastAsia="es-MX"/>
              </w:rPr>
            </w:pPr>
          </w:p>
        </w:tc>
      </w:tr>
      <w:tr w:rsidR="00794EB9" w:rsidRPr="00794EB9" w14:paraId="1898EFA5"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A977F9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541" w:type="pct"/>
            <w:tcBorders>
              <w:top w:val="nil"/>
              <w:left w:val="nil"/>
              <w:bottom w:val="single" w:sz="8" w:space="0" w:color="434343"/>
              <w:right w:val="single" w:sz="8" w:space="0" w:color="434343"/>
            </w:tcBorders>
            <w:shd w:val="clear" w:color="auto" w:fill="auto"/>
            <w:vAlign w:val="center"/>
            <w:hideMark/>
          </w:tcPr>
          <w:p w14:paraId="41059BD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Fortalecer la cohesión social consolidando un modelo de seguridad cívica y ciudadana para la prevención, vigilancia y atención de factores </w:t>
            </w:r>
            <w:r w:rsidRPr="00794EB9">
              <w:rPr>
                <w:rFonts w:ascii="Arial" w:hAnsi="Arial" w:cs="Arial"/>
                <w:sz w:val="22"/>
                <w:szCs w:val="22"/>
                <w:lang w:eastAsia="es-MX"/>
              </w:rPr>
              <w:lastRenderedPageBreak/>
              <w:t>de riesgo</w:t>
            </w:r>
          </w:p>
        </w:tc>
        <w:tc>
          <w:tcPr>
            <w:tcW w:w="459" w:type="pct"/>
            <w:tcBorders>
              <w:top w:val="nil"/>
              <w:left w:val="nil"/>
              <w:bottom w:val="single" w:sz="8" w:space="0" w:color="434343"/>
              <w:right w:val="single" w:sz="8" w:space="0" w:color="434343"/>
            </w:tcBorders>
            <w:shd w:val="clear" w:color="auto" w:fill="auto"/>
            <w:vAlign w:val="center"/>
            <w:hideMark/>
          </w:tcPr>
          <w:p w14:paraId="0F396FD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Desarrollo comunitario y entornos seguros</w:t>
            </w:r>
          </w:p>
        </w:tc>
        <w:tc>
          <w:tcPr>
            <w:tcW w:w="686" w:type="pct"/>
            <w:tcBorders>
              <w:top w:val="nil"/>
              <w:left w:val="nil"/>
              <w:bottom w:val="single" w:sz="8" w:space="0" w:color="434343"/>
              <w:right w:val="single" w:sz="8" w:space="0" w:color="434343"/>
            </w:tcBorders>
            <w:shd w:val="clear" w:color="auto" w:fill="auto"/>
            <w:vAlign w:val="center"/>
            <w:hideMark/>
          </w:tcPr>
          <w:p w14:paraId="2984B20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Conformar entornos y trayectos seguros en las inmediaciones de equipamientos urbanos y espacios públicos</w:t>
            </w:r>
          </w:p>
        </w:tc>
        <w:tc>
          <w:tcPr>
            <w:tcW w:w="610" w:type="pct"/>
            <w:tcBorders>
              <w:top w:val="nil"/>
              <w:left w:val="single" w:sz="8" w:space="0" w:color="434343"/>
              <w:bottom w:val="single" w:sz="8" w:space="0" w:color="434343"/>
              <w:right w:val="single" w:sz="8" w:space="0" w:color="434343"/>
            </w:tcBorders>
            <w:vAlign w:val="center"/>
          </w:tcPr>
          <w:p w14:paraId="62AF448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78E41A5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61D4A4F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3.2.1.3 Promoción del derecho a la ciudad y a la equidad e inclusión en los asentamientos humanos con perspectiva de género</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5C9C50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2.5 Red de Corredores Seguros</w:t>
            </w:r>
          </w:p>
        </w:tc>
      </w:tr>
      <w:tr w:rsidR="00794EB9" w:rsidRPr="00794EB9" w14:paraId="0531C691"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3E2E4CB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541" w:type="pct"/>
            <w:tcBorders>
              <w:top w:val="nil"/>
              <w:left w:val="nil"/>
              <w:bottom w:val="single" w:sz="8" w:space="0" w:color="434343"/>
              <w:right w:val="single" w:sz="8" w:space="0" w:color="434343"/>
            </w:tcBorders>
            <w:shd w:val="clear" w:color="auto" w:fill="auto"/>
            <w:vAlign w:val="center"/>
            <w:hideMark/>
          </w:tcPr>
          <w:p w14:paraId="1141855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459" w:type="pct"/>
            <w:tcBorders>
              <w:top w:val="nil"/>
              <w:left w:val="nil"/>
              <w:bottom w:val="single" w:sz="8" w:space="0" w:color="434343"/>
              <w:right w:val="single" w:sz="8" w:space="0" w:color="434343"/>
            </w:tcBorders>
            <w:shd w:val="clear" w:color="auto" w:fill="auto"/>
            <w:vAlign w:val="center"/>
            <w:hideMark/>
          </w:tcPr>
          <w:p w14:paraId="19A4F5F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686" w:type="pct"/>
            <w:tcBorders>
              <w:top w:val="nil"/>
              <w:left w:val="nil"/>
              <w:bottom w:val="single" w:sz="8" w:space="0" w:color="434343"/>
              <w:right w:val="single" w:sz="8" w:space="0" w:color="434343"/>
            </w:tcBorders>
            <w:shd w:val="clear" w:color="auto" w:fill="auto"/>
            <w:vAlign w:val="center"/>
            <w:hideMark/>
          </w:tcPr>
          <w:p w14:paraId="687C76F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Impulsar proyectos e intervenciones que hagan más eficiente la movilidad en zonas conflictivas</w:t>
            </w:r>
          </w:p>
        </w:tc>
        <w:tc>
          <w:tcPr>
            <w:tcW w:w="610" w:type="pct"/>
            <w:tcBorders>
              <w:top w:val="nil"/>
              <w:left w:val="single" w:sz="8" w:space="0" w:color="434343"/>
              <w:bottom w:val="single" w:sz="8" w:space="0" w:color="434343"/>
              <w:right w:val="single" w:sz="8" w:space="0" w:color="434343"/>
            </w:tcBorders>
            <w:vAlign w:val="center"/>
          </w:tcPr>
          <w:p w14:paraId="09EBEB9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3AB908B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67905C0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28274293" w14:textId="77777777" w:rsidR="00794EB9" w:rsidRPr="00794EB9" w:rsidRDefault="00794EB9" w:rsidP="00C307FB">
            <w:pPr>
              <w:rPr>
                <w:rFonts w:ascii="Arial" w:hAnsi="Arial" w:cs="Arial"/>
                <w:b/>
                <w:bCs/>
                <w:sz w:val="22"/>
                <w:szCs w:val="22"/>
                <w:lang w:eastAsia="es-MX"/>
              </w:rPr>
            </w:pPr>
          </w:p>
        </w:tc>
      </w:tr>
      <w:tr w:rsidR="00794EB9" w:rsidRPr="00794EB9" w14:paraId="340269E3"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19B4EE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541" w:type="pct"/>
            <w:tcBorders>
              <w:top w:val="nil"/>
              <w:left w:val="nil"/>
              <w:bottom w:val="single" w:sz="8" w:space="0" w:color="434343"/>
              <w:right w:val="single" w:sz="8" w:space="0" w:color="434343"/>
            </w:tcBorders>
            <w:shd w:val="clear" w:color="auto" w:fill="auto"/>
            <w:vAlign w:val="center"/>
            <w:hideMark/>
          </w:tcPr>
          <w:p w14:paraId="1E2E4CB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Fortalecer la cohesión social consolidando un modelo de seguridad cívica y </w:t>
            </w:r>
            <w:r w:rsidRPr="00794EB9">
              <w:rPr>
                <w:rFonts w:ascii="Arial" w:hAnsi="Arial" w:cs="Arial"/>
                <w:sz w:val="22"/>
                <w:szCs w:val="22"/>
                <w:lang w:eastAsia="es-MX"/>
              </w:rPr>
              <w:lastRenderedPageBreak/>
              <w:t>ciudadana para la prevención, vigilancia y atención de factores de riesgo</w:t>
            </w:r>
          </w:p>
        </w:tc>
        <w:tc>
          <w:tcPr>
            <w:tcW w:w="459" w:type="pct"/>
            <w:tcBorders>
              <w:top w:val="nil"/>
              <w:left w:val="nil"/>
              <w:bottom w:val="single" w:sz="8" w:space="0" w:color="434343"/>
              <w:right w:val="single" w:sz="8" w:space="0" w:color="434343"/>
            </w:tcBorders>
            <w:shd w:val="clear" w:color="auto" w:fill="auto"/>
            <w:vAlign w:val="center"/>
            <w:hideMark/>
          </w:tcPr>
          <w:p w14:paraId="71427BD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Desarrollo comunitario y entornos seguros</w:t>
            </w:r>
          </w:p>
        </w:tc>
        <w:tc>
          <w:tcPr>
            <w:tcW w:w="686" w:type="pct"/>
            <w:tcBorders>
              <w:top w:val="nil"/>
              <w:left w:val="nil"/>
              <w:bottom w:val="single" w:sz="8" w:space="0" w:color="434343"/>
              <w:right w:val="single" w:sz="8" w:space="0" w:color="434343"/>
            </w:tcBorders>
            <w:shd w:val="clear" w:color="auto" w:fill="auto"/>
            <w:vAlign w:val="center"/>
            <w:hideMark/>
          </w:tcPr>
          <w:p w14:paraId="1E960C7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Conformar entornos y trayectos seguros en las inmediaciones de equipamientos urbanos y </w:t>
            </w:r>
            <w:r w:rsidRPr="00794EB9">
              <w:rPr>
                <w:rFonts w:ascii="Arial" w:hAnsi="Arial" w:cs="Arial"/>
                <w:sz w:val="22"/>
                <w:szCs w:val="22"/>
                <w:lang w:eastAsia="es-MX"/>
              </w:rPr>
              <w:lastRenderedPageBreak/>
              <w:t>espacios públicos</w:t>
            </w:r>
          </w:p>
        </w:tc>
        <w:tc>
          <w:tcPr>
            <w:tcW w:w="610" w:type="pct"/>
            <w:tcBorders>
              <w:top w:val="nil"/>
              <w:left w:val="single" w:sz="8" w:space="0" w:color="434343"/>
              <w:bottom w:val="single" w:sz="8" w:space="0" w:color="434343"/>
              <w:right w:val="single" w:sz="8" w:space="0" w:color="434343"/>
            </w:tcBorders>
            <w:vAlign w:val="center"/>
          </w:tcPr>
          <w:p w14:paraId="7D69534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11: Lograr que las ciudades sean más inclusivas, seguras, resilient</w:t>
            </w:r>
            <w:r w:rsidRPr="00794EB9">
              <w:rPr>
                <w:rFonts w:ascii="Arial" w:hAnsi="Arial" w:cs="Arial"/>
                <w:b/>
                <w:bCs/>
                <w:sz w:val="22"/>
                <w:szCs w:val="22"/>
                <w:lang w:eastAsia="es-MX"/>
              </w:rPr>
              <w:lastRenderedPageBreak/>
              <w:t>es y sostenibles</w:t>
            </w:r>
          </w:p>
        </w:tc>
        <w:tc>
          <w:tcPr>
            <w:tcW w:w="837" w:type="pct"/>
            <w:tcBorders>
              <w:top w:val="nil"/>
              <w:left w:val="single" w:sz="8" w:space="0" w:color="434343"/>
              <w:bottom w:val="single" w:sz="8" w:space="0" w:color="434343"/>
              <w:right w:val="single" w:sz="8" w:space="0" w:color="434343"/>
            </w:tcBorders>
            <w:vAlign w:val="center"/>
          </w:tcPr>
          <w:p w14:paraId="4CAD868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3.2.1 Lograr una administración sostenible del territorio, que impulse el desarrollo de </w:t>
            </w:r>
            <w:r w:rsidRPr="00794EB9">
              <w:rPr>
                <w:rFonts w:ascii="Arial" w:hAnsi="Arial" w:cs="Arial"/>
                <w:b/>
                <w:bCs/>
                <w:sz w:val="22"/>
                <w:szCs w:val="22"/>
                <w:lang w:eastAsia="es-MX"/>
              </w:rPr>
              <w:lastRenderedPageBreak/>
              <w:t>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380F46C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Estrategia 3.2.1.3 Promoción del derecho a la ciudad y a la equidad e inclusión en los asentamie</w:t>
            </w:r>
            <w:r w:rsidRPr="00794EB9">
              <w:rPr>
                <w:rFonts w:ascii="Arial" w:hAnsi="Arial" w:cs="Arial"/>
                <w:b/>
                <w:bCs/>
                <w:sz w:val="22"/>
                <w:szCs w:val="22"/>
                <w:lang w:eastAsia="es-MX"/>
              </w:rPr>
              <w:lastRenderedPageBreak/>
              <w:t>ntos humanos con perspectiva de género</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D1A462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VT. 2.6 Urbanismo Táctico</w:t>
            </w:r>
          </w:p>
        </w:tc>
      </w:tr>
      <w:tr w:rsidR="00794EB9" w:rsidRPr="00794EB9" w14:paraId="4650B268"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5BA4FEE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541" w:type="pct"/>
            <w:tcBorders>
              <w:top w:val="nil"/>
              <w:left w:val="nil"/>
              <w:bottom w:val="single" w:sz="8" w:space="0" w:color="434343"/>
              <w:right w:val="single" w:sz="8" w:space="0" w:color="434343"/>
            </w:tcBorders>
            <w:shd w:val="clear" w:color="auto" w:fill="auto"/>
            <w:vAlign w:val="center"/>
            <w:hideMark/>
          </w:tcPr>
          <w:p w14:paraId="63D300A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459" w:type="pct"/>
            <w:tcBorders>
              <w:top w:val="nil"/>
              <w:left w:val="nil"/>
              <w:bottom w:val="single" w:sz="8" w:space="0" w:color="434343"/>
              <w:right w:val="single" w:sz="8" w:space="0" w:color="434343"/>
            </w:tcBorders>
            <w:shd w:val="clear" w:color="auto" w:fill="auto"/>
            <w:vAlign w:val="center"/>
            <w:hideMark/>
          </w:tcPr>
          <w:p w14:paraId="30CC539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686" w:type="pct"/>
            <w:tcBorders>
              <w:top w:val="nil"/>
              <w:left w:val="nil"/>
              <w:bottom w:val="single" w:sz="8" w:space="0" w:color="434343"/>
              <w:right w:val="single" w:sz="8" w:space="0" w:color="434343"/>
            </w:tcBorders>
            <w:shd w:val="clear" w:color="auto" w:fill="auto"/>
            <w:vAlign w:val="center"/>
            <w:hideMark/>
          </w:tcPr>
          <w:p w14:paraId="29AEC02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Impulsar proyectos e intervenciones que hagan más eficiente la movilidad en zonas conflictivas</w:t>
            </w:r>
          </w:p>
        </w:tc>
        <w:tc>
          <w:tcPr>
            <w:tcW w:w="610" w:type="pct"/>
            <w:tcBorders>
              <w:top w:val="nil"/>
              <w:left w:val="single" w:sz="8" w:space="0" w:color="434343"/>
              <w:bottom w:val="single" w:sz="8" w:space="0" w:color="434343"/>
              <w:right w:val="single" w:sz="8" w:space="0" w:color="434343"/>
            </w:tcBorders>
            <w:vAlign w:val="center"/>
          </w:tcPr>
          <w:p w14:paraId="300EC09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40FFE0B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335D71C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22E1AA58" w14:textId="77777777" w:rsidR="00794EB9" w:rsidRPr="00794EB9" w:rsidRDefault="00794EB9" w:rsidP="00C307FB">
            <w:pPr>
              <w:rPr>
                <w:rFonts w:ascii="Arial" w:hAnsi="Arial" w:cs="Arial"/>
                <w:b/>
                <w:bCs/>
                <w:sz w:val="22"/>
                <w:szCs w:val="22"/>
                <w:lang w:eastAsia="es-MX"/>
              </w:rPr>
            </w:pPr>
          </w:p>
        </w:tc>
      </w:tr>
      <w:tr w:rsidR="00794EB9" w:rsidRPr="00794EB9" w14:paraId="381C17DF"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0D921B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Seguridad ciudadana y paz sostenible</w:t>
            </w:r>
          </w:p>
        </w:tc>
        <w:tc>
          <w:tcPr>
            <w:tcW w:w="541" w:type="pct"/>
            <w:tcBorders>
              <w:top w:val="nil"/>
              <w:left w:val="nil"/>
              <w:bottom w:val="single" w:sz="8" w:space="0" w:color="434343"/>
              <w:right w:val="single" w:sz="8" w:space="0" w:color="434343"/>
            </w:tcBorders>
            <w:shd w:val="clear" w:color="auto" w:fill="auto"/>
            <w:vAlign w:val="center"/>
            <w:hideMark/>
          </w:tcPr>
          <w:p w14:paraId="44EF2C7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459" w:type="pct"/>
            <w:tcBorders>
              <w:top w:val="nil"/>
              <w:left w:val="nil"/>
              <w:bottom w:val="single" w:sz="8" w:space="0" w:color="434343"/>
              <w:right w:val="single" w:sz="8" w:space="0" w:color="434343"/>
            </w:tcBorders>
            <w:shd w:val="clear" w:color="auto" w:fill="auto"/>
            <w:vAlign w:val="center"/>
            <w:hideMark/>
          </w:tcPr>
          <w:p w14:paraId="2689B9E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686" w:type="pct"/>
            <w:tcBorders>
              <w:top w:val="nil"/>
              <w:left w:val="nil"/>
              <w:bottom w:val="single" w:sz="8" w:space="0" w:color="434343"/>
              <w:right w:val="single" w:sz="8" w:space="0" w:color="434343"/>
            </w:tcBorders>
            <w:shd w:val="clear" w:color="auto" w:fill="auto"/>
            <w:vAlign w:val="center"/>
            <w:hideMark/>
          </w:tcPr>
          <w:p w14:paraId="0CADC99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Conformar entornos y trayectos seguros en las inmediaciones de equipamientos urbanos y espacios públicos</w:t>
            </w:r>
          </w:p>
        </w:tc>
        <w:tc>
          <w:tcPr>
            <w:tcW w:w="610" w:type="pct"/>
            <w:tcBorders>
              <w:top w:val="nil"/>
              <w:left w:val="single" w:sz="8" w:space="0" w:color="434343"/>
              <w:bottom w:val="single" w:sz="8" w:space="0" w:color="434343"/>
              <w:right w:val="single" w:sz="8" w:space="0" w:color="434343"/>
            </w:tcBorders>
            <w:vAlign w:val="center"/>
          </w:tcPr>
          <w:p w14:paraId="021C0E5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095FAB1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3633C97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3.2.1.3 Promoción del derecho a la ciudad y a la equidad e inclusión en los asentamientos humanos con perspectiva de género</w:t>
            </w:r>
          </w:p>
        </w:tc>
        <w:tc>
          <w:tcPr>
            <w:tcW w:w="736" w:type="pct"/>
            <w:vMerge/>
            <w:tcBorders>
              <w:top w:val="nil"/>
              <w:left w:val="single" w:sz="8" w:space="0" w:color="434343"/>
              <w:bottom w:val="single" w:sz="8" w:space="0" w:color="434343"/>
              <w:right w:val="single" w:sz="8" w:space="0" w:color="434343"/>
            </w:tcBorders>
            <w:vAlign w:val="center"/>
            <w:hideMark/>
          </w:tcPr>
          <w:p w14:paraId="7BC46322" w14:textId="77777777" w:rsidR="00794EB9" w:rsidRPr="00794EB9" w:rsidRDefault="00794EB9" w:rsidP="00C307FB">
            <w:pPr>
              <w:rPr>
                <w:rFonts w:ascii="Arial" w:hAnsi="Arial" w:cs="Arial"/>
                <w:b/>
                <w:bCs/>
                <w:sz w:val="22"/>
                <w:szCs w:val="22"/>
                <w:lang w:eastAsia="es-MX"/>
              </w:rPr>
            </w:pPr>
          </w:p>
        </w:tc>
      </w:tr>
      <w:tr w:rsidR="00794EB9" w:rsidRPr="00794EB9" w14:paraId="4A3C8529" w14:textId="77777777" w:rsidTr="00C307FB">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8CC9E0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CD842F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w:t>
            </w:r>
            <w:r w:rsidRPr="00794EB9">
              <w:rPr>
                <w:rFonts w:ascii="Arial" w:hAnsi="Arial" w:cs="Arial"/>
                <w:sz w:val="22"/>
                <w:szCs w:val="22"/>
                <w:lang w:eastAsia="es-MX"/>
              </w:rPr>
              <w:lastRenderedPageBreak/>
              <w:t>miento territorial</w:t>
            </w:r>
          </w:p>
        </w:tc>
        <w:tc>
          <w:tcPr>
            <w:tcW w:w="459" w:type="pct"/>
            <w:tcBorders>
              <w:top w:val="nil"/>
              <w:left w:val="nil"/>
              <w:bottom w:val="single" w:sz="8" w:space="0" w:color="434343"/>
              <w:right w:val="single" w:sz="8" w:space="0" w:color="434343"/>
            </w:tcBorders>
            <w:shd w:val="clear" w:color="auto" w:fill="auto"/>
            <w:vAlign w:val="center"/>
            <w:hideMark/>
          </w:tcPr>
          <w:p w14:paraId="1F8E13A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Consolidación del sistema vial primario y secundario</w:t>
            </w:r>
          </w:p>
        </w:tc>
        <w:tc>
          <w:tcPr>
            <w:tcW w:w="686" w:type="pct"/>
            <w:tcBorders>
              <w:top w:val="nil"/>
              <w:left w:val="nil"/>
              <w:bottom w:val="single" w:sz="8" w:space="0" w:color="434343"/>
              <w:right w:val="single" w:sz="8" w:space="0" w:color="434343"/>
            </w:tcBorders>
            <w:shd w:val="clear" w:color="auto" w:fill="auto"/>
            <w:vAlign w:val="center"/>
            <w:hideMark/>
          </w:tcPr>
          <w:p w14:paraId="289525F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el sistema vial primario priorizando el cierre de circuitos</w:t>
            </w:r>
          </w:p>
        </w:tc>
        <w:tc>
          <w:tcPr>
            <w:tcW w:w="610" w:type="pct"/>
            <w:tcBorders>
              <w:top w:val="nil"/>
              <w:left w:val="single" w:sz="8" w:space="0" w:color="434343"/>
              <w:bottom w:val="single" w:sz="8" w:space="0" w:color="434343"/>
              <w:right w:val="single" w:sz="8" w:space="0" w:color="434343"/>
            </w:tcBorders>
            <w:vAlign w:val="center"/>
          </w:tcPr>
          <w:p w14:paraId="7CDF54D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1EC5C41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23FFC0F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Estrategia 3.2.1.2 Gestión de los asentamientos humanos y centros de población y ordenamiento del territorio bajo los principios de inclusión, equidad y sostenibilidad, </w:t>
            </w:r>
            <w:r w:rsidRPr="00794EB9">
              <w:rPr>
                <w:rFonts w:ascii="Arial" w:hAnsi="Arial" w:cs="Arial"/>
                <w:b/>
                <w:bCs/>
                <w:sz w:val="22"/>
                <w:szCs w:val="22"/>
                <w:lang w:eastAsia="es-MX"/>
              </w:rPr>
              <w:lastRenderedPageBreak/>
              <w:t>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259B19E1" w14:textId="77777777" w:rsidR="00794EB9" w:rsidRPr="00794EB9" w:rsidRDefault="00794EB9" w:rsidP="00C307FB">
            <w:pPr>
              <w:rPr>
                <w:rFonts w:ascii="Arial" w:hAnsi="Arial" w:cs="Arial"/>
                <w:b/>
                <w:bCs/>
                <w:sz w:val="22"/>
                <w:szCs w:val="22"/>
                <w:lang w:eastAsia="es-MX"/>
              </w:rPr>
            </w:pPr>
          </w:p>
        </w:tc>
      </w:tr>
      <w:tr w:rsidR="00794EB9" w:rsidRPr="00794EB9" w14:paraId="13DDD4B9"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0ECD471F"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42E1FD7" w14:textId="77777777" w:rsidR="00794EB9" w:rsidRPr="00794EB9" w:rsidRDefault="00794EB9" w:rsidP="00C307FB">
            <w:pPr>
              <w:rPr>
                <w:rFonts w:ascii="Arial" w:hAnsi="Arial" w:cs="Arial"/>
                <w:sz w:val="22"/>
                <w:szCs w:val="22"/>
                <w:lang w:eastAsia="es-MX"/>
              </w:rPr>
            </w:pPr>
          </w:p>
        </w:tc>
        <w:tc>
          <w:tcPr>
            <w:tcW w:w="459" w:type="pct"/>
            <w:tcBorders>
              <w:top w:val="nil"/>
              <w:left w:val="nil"/>
              <w:bottom w:val="single" w:sz="8" w:space="0" w:color="434343"/>
              <w:right w:val="single" w:sz="8" w:space="0" w:color="434343"/>
            </w:tcBorders>
            <w:shd w:val="clear" w:color="auto" w:fill="auto"/>
            <w:vAlign w:val="center"/>
            <w:hideMark/>
          </w:tcPr>
          <w:p w14:paraId="2888620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Innovación en movilidad sustentable</w:t>
            </w:r>
          </w:p>
        </w:tc>
        <w:tc>
          <w:tcPr>
            <w:tcW w:w="686" w:type="pct"/>
            <w:tcBorders>
              <w:top w:val="nil"/>
              <w:left w:val="nil"/>
              <w:bottom w:val="single" w:sz="8" w:space="0" w:color="434343"/>
              <w:right w:val="single" w:sz="8" w:space="0" w:color="434343"/>
            </w:tcBorders>
            <w:shd w:val="clear" w:color="auto" w:fill="auto"/>
            <w:vAlign w:val="center"/>
            <w:hideMark/>
          </w:tcPr>
          <w:p w14:paraId="1326A31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proyectos y acciones que fomenten la intermodalidad con la integración de los distintos medios de movilidad municipal, realizando adecuaciones para la accesibilidad de las personas con diversidad funcional y adultos mayores</w:t>
            </w:r>
          </w:p>
        </w:tc>
        <w:tc>
          <w:tcPr>
            <w:tcW w:w="610" w:type="pct"/>
            <w:tcBorders>
              <w:top w:val="nil"/>
              <w:left w:val="single" w:sz="8" w:space="0" w:color="434343"/>
              <w:bottom w:val="single" w:sz="8" w:space="0" w:color="434343"/>
              <w:right w:val="single" w:sz="8" w:space="0" w:color="434343"/>
            </w:tcBorders>
            <w:vAlign w:val="center"/>
          </w:tcPr>
          <w:p w14:paraId="4C4C0B7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1C619B9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3.2.3 Asegurar una movilidad fluida, sostenible y segura para todas las y los guanajuatenses y visitantes a la entidad</w:t>
            </w:r>
          </w:p>
        </w:tc>
        <w:tc>
          <w:tcPr>
            <w:tcW w:w="762" w:type="pct"/>
            <w:tcBorders>
              <w:top w:val="nil"/>
              <w:left w:val="single" w:sz="8" w:space="0" w:color="434343"/>
              <w:bottom w:val="single" w:sz="8" w:space="0" w:color="434343"/>
              <w:right w:val="single" w:sz="8" w:space="0" w:color="434343"/>
            </w:tcBorders>
            <w:vAlign w:val="center"/>
          </w:tcPr>
          <w:p w14:paraId="679AE03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3.2.3.2 Implementación de un sistema de transporte multimodal, accesible, seguro y amigable con el medio ambiente</w:t>
            </w:r>
          </w:p>
        </w:tc>
        <w:tc>
          <w:tcPr>
            <w:tcW w:w="736" w:type="pct"/>
            <w:vMerge/>
            <w:tcBorders>
              <w:top w:val="nil"/>
              <w:left w:val="single" w:sz="8" w:space="0" w:color="434343"/>
              <w:bottom w:val="single" w:sz="8" w:space="0" w:color="434343"/>
              <w:right w:val="single" w:sz="8" w:space="0" w:color="434343"/>
            </w:tcBorders>
            <w:vAlign w:val="center"/>
            <w:hideMark/>
          </w:tcPr>
          <w:p w14:paraId="3B99BC69" w14:textId="77777777" w:rsidR="00794EB9" w:rsidRPr="00794EB9" w:rsidRDefault="00794EB9" w:rsidP="00C307FB">
            <w:pPr>
              <w:rPr>
                <w:rFonts w:ascii="Arial" w:hAnsi="Arial" w:cs="Arial"/>
                <w:b/>
                <w:bCs/>
                <w:sz w:val="22"/>
                <w:szCs w:val="22"/>
                <w:lang w:eastAsia="es-MX"/>
              </w:rPr>
            </w:pPr>
          </w:p>
        </w:tc>
      </w:tr>
      <w:tr w:rsidR="00794EB9" w:rsidRPr="00794EB9" w14:paraId="237F0395"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4036891C"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736D117" w14:textId="77777777" w:rsidR="00794EB9" w:rsidRPr="00794EB9" w:rsidRDefault="00794EB9" w:rsidP="00C307FB">
            <w:pPr>
              <w:rPr>
                <w:rFonts w:ascii="Arial" w:hAnsi="Arial" w:cs="Arial"/>
                <w:sz w:val="22"/>
                <w:szCs w:val="22"/>
                <w:lang w:eastAsia="es-MX"/>
              </w:rPr>
            </w:pP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D0011A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Consolidación del sistema vial primario y </w:t>
            </w:r>
            <w:r w:rsidRPr="00794EB9">
              <w:rPr>
                <w:rFonts w:ascii="Arial" w:hAnsi="Arial" w:cs="Arial"/>
                <w:sz w:val="22"/>
                <w:szCs w:val="22"/>
                <w:lang w:eastAsia="es-MX"/>
              </w:rPr>
              <w:lastRenderedPageBreak/>
              <w:t>secundario</w:t>
            </w:r>
          </w:p>
        </w:tc>
        <w:tc>
          <w:tcPr>
            <w:tcW w:w="686" w:type="pct"/>
            <w:tcBorders>
              <w:top w:val="nil"/>
              <w:left w:val="nil"/>
              <w:bottom w:val="single" w:sz="8" w:space="0" w:color="434343"/>
              <w:right w:val="single" w:sz="8" w:space="0" w:color="434343"/>
            </w:tcBorders>
            <w:shd w:val="clear" w:color="auto" w:fill="auto"/>
            <w:vAlign w:val="center"/>
            <w:hideMark/>
          </w:tcPr>
          <w:p w14:paraId="66B1491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Construir accesos integrales con la pavimentación de calles en </w:t>
            </w:r>
            <w:r w:rsidRPr="00794EB9">
              <w:rPr>
                <w:rFonts w:ascii="Arial" w:hAnsi="Arial" w:cs="Arial"/>
                <w:sz w:val="22"/>
                <w:szCs w:val="22"/>
                <w:lang w:eastAsia="es-MX"/>
              </w:rPr>
              <w:lastRenderedPageBreak/>
              <w:t>polígonos de desarrollo, donde circula el transporte público y permitan la accesibilidad al equipamiento</w:t>
            </w:r>
          </w:p>
        </w:tc>
        <w:tc>
          <w:tcPr>
            <w:tcW w:w="610" w:type="pct"/>
            <w:tcBorders>
              <w:top w:val="nil"/>
              <w:left w:val="single" w:sz="8" w:space="0" w:color="434343"/>
              <w:bottom w:val="single" w:sz="8" w:space="0" w:color="434343"/>
              <w:right w:val="single" w:sz="8" w:space="0" w:color="434343"/>
            </w:tcBorders>
            <w:vAlign w:val="center"/>
          </w:tcPr>
          <w:p w14:paraId="3A4EF8D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11: Lograr que las ciudades sean más </w:t>
            </w:r>
            <w:r w:rsidRPr="00794EB9">
              <w:rPr>
                <w:rFonts w:ascii="Arial" w:hAnsi="Arial" w:cs="Arial"/>
                <w:b/>
                <w:bCs/>
                <w:sz w:val="22"/>
                <w:szCs w:val="22"/>
                <w:lang w:eastAsia="es-MX"/>
              </w:rPr>
              <w:lastRenderedPageBreak/>
              <w:t>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02ADFE8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3.2.1 Lograr una administración sostenible del </w:t>
            </w:r>
            <w:r w:rsidRPr="00794EB9">
              <w:rPr>
                <w:rFonts w:ascii="Arial" w:hAnsi="Arial" w:cs="Arial"/>
                <w:b/>
                <w:bCs/>
                <w:sz w:val="22"/>
                <w:szCs w:val="22"/>
                <w:lang w:eastAsia="es-MX"/>
              </w:rPr>
              <w:lastRenderedPageBreak/>
              <w:t>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6809EBB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3.2.1.2 Gestión de los asentamientos humanos y </w:t>
            </w:r>
            <w:r w:rsidRPr="00794EB9">
              <w:rPr>
                <w:rFonts w:ascii="Arial" w:hAnsi="Arial" w:cs="Arial"/>
                <w:b/>
                <w:bCs/>
                <w:sz w:val="22"/>
                <w:szCs w:val="22"/>
                <w:lang w:eastAsia="es-MX"/>
              </w:rPr>
              <w:lastRenderedPageBreak/>
              <w:t>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5FA3A1B2" w14:textId="77777777" w:rsidR="00794EB9" w:rsidRPr="00794EB9" w:rsidRDefault="00794EB9" w:rsidP="00C307FB">
            <w:pPr>
              <w:rPr>
                <w:rFonts w:ascii="Arial" w:hAnsi="Arial" w:cs="Arial"/>
                <w:b/>
                <w:bCs/>
                <w:sz w:val="22"/>
                <w:szCs w:val="22"/>
                <w:lang w:eastAsia="es-MX"/>
              </w:rPr>
            </w:pPr>
          </w:p>
        </w:tc>
      </w:tr>
      <w:tr w:rsidR="00794EB9" w:rsidRPr="00794EB9" w14:paraId="6DEE22CA"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5AB91D68"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AA9F40E"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35046553" w14:textId="77777777" w:rsidR="00794EB9" w:rsidRPr="00794EB9" w:rsidRDefault="00794EB9" w:rsidP="00C307FB">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4AFE96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Impulsar proyectos e intervenciones que hagan más eficiente la movilidad en zonas conflictivas</w:t>
            </w:r>
          </w:p>
        </w:tc>
        <w:tc>
          <w:tcPr>
            <w:tcW w:w="610" w:type="pct"/>
            <w:vMerge w:val="restart"/>
            <w:tcBorders>
              <w:top w:val="nil"/>
              <w:left w:val="single" w:sz="8" w:space="0" w:color="434343"/>
              <w:right w:val="single" w:sz="8" w:space="0" w:color="434343"/>
            </w:tcBorders>
            <w:vAlign w:val="center"/>
          </w:tcPr>
          <w:p w14:paraId="6B99325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vMerge w:val="restart"/>
            <w:tcBorders>
              <w:top w:val="nil"/>
              <w:left w:val="single" w:sz="8" w:space="0" w:color="434343"/>
              <w:right w:val="single" w:sz="8" w:space="0" w:color="434343"/>
            </w:tcBorders>
            <w:vAlign w:val="center"/>
          </w:tcPr>
          <w:p w14:paraId="6F2CEFF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vMerge w:val="restart"/>
            <w:tcBorders>
              <w:top w:val="nil"/>
              <w:left w:val="single" w:sz="8" w:space="0" w:color="434343"/>
              <w:right w:val="single" w:sz="8" w:space="0" w:color="434343"/>
            </w:tcBorders>
            <w:vAlign w:val="center"/>
          </w:tcPr>
          <w:p w14:paraId="29FFF31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Estrategia 3.2.1.2 Gestión de los asentamientos humanos y centros de población y ordenamiento del territorio bajo los principios de inclusión, equidad y sostenibilidad, </w:t>
            </w:r>
            <w:r w:rsidRPr="00794EB9">
              <w:rPr>
                <w:rFonts w:ascii="Arial" w:hAnsi="Arial" w:cs="Arial"/>
                <w:b/>
                <w:bCs/>
                <w:sz w:val="22"/>
                <w:szCs w:val="22"/>
                <w:lang w:eastAsia="es-MX"/>
              </w:rPr>
              <w:lastRenderedPageBreak/>
              <w:t>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5B1C762A" w14:textId="77777777" w:rsidR="00794EB9" w:rsidRPr="00794EB9" w:rsidRDefault="00794EB9" w:rsidP="00C307FB">
            <w:pPr>
              <w:rPr>
                <w:rFonts w:ascii="Arial" w:hAnsi="Arial" w:cs="Arial"/>
                <w:b/>
                <w:bCs/>
                <w:sz w:val="22"/>
                <w:szCs w:val="22"/>
                <w:lang w:eastAsia="es-MX"/>
              </w:rPr>
            </w:pPr>
          </w:p>
        </w:tc>
      </w:tr>
      <w:tr w:rsidR="00794EB9" w:rsidRPr="00794EB9" w14:paraId="3E3E39E8"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63B9910C"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0FE6854"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AF538BB"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C8E2C15"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053E0CC8"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387CFE64"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2E3822D6"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3A9D43C9" w14:textId="77777777" w:rsidR="00794EB9" w:rsidRPr="00794EB9" w:rsidRDefault="00794EB9" w:rsidP="00C307FB">
            <w:pPr>
              <w:rPr>
                <w:rFonts w:ascii="Arial" w:hAnsi="Arial" w:cs="Arial"/>
                <w:b/>
                <w:bCs/>
                <w:sz w:val="22"/>
                <w:szCs w:val="22"/>
                <w:lang w:eastAsia="es-MX"/>
              </w:rPr>
            </w:pPr>
          </w:p>
        </w:tc>
      </w:tr>
      <w:tr w:rsidR="00794EB9" w:rsidRPr="00794EB9" w14:paraId="5A253C14"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7440427C"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0437AA4" w14:textId="77777777" w:rsidR="00794EB9" w:rsidRPr="00794EB9" w:rsidRDefault="00794EB9" w:rsidP="00C307FB">
            <w:pPr>
              <w:rPr>
                <w:rFonts w:ascii="Arial" w:hAnsi="Arial" w:cs="Arial"/>
                <w:sz w:val="22"/>
                <w:szCs w:val="22"/>
                <w:lang w:eastAsia="es-MX"/>
              </w:rPr>
            </w:pP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7C4DF7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Implementación de sistemas alternativos de transporte ecológico sustentable</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6BE863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Desarrollar proyectos y estudios para establecer la factibilidad de centros de distribución para organizar el transporte de carga</w:t>
            </w:r>
          </w:p>
        </w:tc>
        <w:tc>
          <w:tcPr>
            <w:tcW w:w="610" w:type="pct"/>
            <w:vMerge w:val="restart"/>
            <w:tcBorders>
              <w:top w:val="nil"/>
              <w:left w:val="single" w:sz="8" w:space="0" w:color="434343"/>
              <w:right w:val="single" w:sz="8" w:space="0" w:color="434343"/>
            </w:tcBorders>
            <w:vAlign w:val="center"/>
          </w:tcPr>
          <w:p w14:paraId="062EE01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vMerge w:val="restart"/>
            <w:tcBorders>
              <w:top w:val="nil"/>
              <w:left w:val="single" w:sz="8" w:space="0" w:color="434343"/>
              <w:right w:val="single" w:sz="8" w:space="0" w:color="434343"/>
            </w:tcBorders>
            <w:vAlign w:val="center"/>
          </w:tcPr>
          <w:p w14:paraId="4F57A78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3.2.3 Asegurar una movilidad fluida, sostenible y segura para todas las y los guanajuatenses y visitantes a la entidad</w:t>
            </w:r>
          </w:p>
        </w:tc>
        <w:tc>
          <w:tcPr>
            <w:tcW w:w="762" w:type="pct"/>
            <w:vMerge w:val="restart"/>
            <w:tcBorders>
              <w:top w:val="nil"/>
              <w:left w:val="single" w:sz="8" w:space="0" w:color="434343"/>
              <w:right w:val="single" w:sz="8" w:space="0" w:color="434343"/>
            </w:tcBorders>
            <w:vAlign w:val="center"/>
          </w:tcPr>
          <w:p w14:paraId="70C393D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3.2.3.2 Implementación de un sistema de transporte multimodal, accesible, seguro y amigable con el medio ambiente</w:t>
            </w:r>
          </w:p>
        </w:tc>
        <w:tc>
          <w:tcPr>
            <w:tcW w:w="736" w:type="pct"/>
            <w:vMerge/>
            <w:tcBorders>
              <w:top w:val="nil"/>
              <w:left w:val="single" w:sz="8" w:space="0" w:color="434343"/>
              <w:bottom w:val="single" w:sz="8" w:space="0" w:color="434343"/>
              <w:right w:val="single" w:sz="8" w:space="0" w:color="434343"/>
            </w:tcBorders>
            <w:vAlign w:val="center"/>
            <w:hideMark/>
          </w:tcPr>
          <w:p w14:paraId="1A0C04EA" w14:textId="77777777" w:rsidR="00794EB9" w:rsidRPr="00794EB9" w:rsidRDefault="00794EB9" w:rsidP="00C307FB">
            <w:pPr>
              <w:rPr>
                <w:rFonts w:ascii="Arial" w:hAnsi="Arial" w:cs="Arial"/>
                <w:b/>
                <w:bCs/>
                <w:sz w:val="22"/>
                <w:szCs w:val="22"/>
                <w:lang w:eastAsia="es-MX"/>
              </w:rPr>
            </w:pPr>
          </w:p>
        </w:tc>
      </w:tr>
      <w:tr w:rsidR="00794EB9" w:rsidRPr="00794EB9" w14:paraId="6B5EE00A"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617EB882"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5794CFC"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98B3FC2"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E19B1A4"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1AC0DB50"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73AA53C4"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685C7FE2"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3FA300B4" w14:textId="77777777" w:rsidR="00794EB9" w:rsidRPr="00794EB9" w:rsidRDefault="00794EB9" w:rsidP="00C307FB">
            <w:pPr>
              <w:rPr>
                <w:rFonts w:ascii="Arial" w:hAnsi="Arial" w:cs="Arial"/>
                <w:b/>
                <w:bCs/>
                <w:sz w:val="22"/>
                <w:szCs w:val="22"/>
                <w:lang w:eastAsia="es-MX"/>
              </w:rPr>
            </w:pPr>
          </w:p>
        </w:tc>
      </w:tr>
      <w:tr w:rsidR="00794EB9" w:rsidRPr="00794EB9" w14:paraId="4A80C2B4"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31C5D9F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541" w:type="pct"/>
            <w:tcBorders>
              <w:top w:val="nil"/>
              <w:left w:val="nil"/>
              <w:bottom w:val="single" w:sz="8" w:space="0" w:color="434343"/>
              <w:right w:val="single" w:sz="8" w:space="0" w:color="434343"/>
            </w:tcBorders>
            <w:shd w:val="clear" w:color="auto" w:fill="auto"/>
            <w:vAlign w:val="center"/>
            <w:hideMark/>
          </w:tcPr>
          <w:p w14:paraId="0E48B09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w:t>
            </w:r>
            <w:r w:rsidRPr="00794EB9">
              <w:rPr>
                <w:rFonts w:ascii="Arial" w:hAnsi="Arial" w:cs="Arial"/>
                <w:sz w:val="22"/>
                <w:szCs w:val="22"/>
                <w:lang w:eastAsia="es-MX"/>
              </w:rPr>
              <w:lastRenderedPageBreak/>
              <w:t>a y atención de factores de riesgo</w:t>
            </w:r>
          </w:p>
        </w:tc>
        <w:tc>
          <w:tcPr>
            <w:tcW w:w="459" w:type="pct"/>
            <w:tcBorders>
              <w:top w:val="nil"/>
              <w:left w:val="nil"/>
              <w:bottom w:val="single" w:sz="8" w:space="0" w:color="434343"/>
              <w:right w:val="single" w:sz="8" w:space="0" w:color="434343"/>
            </w:tcBorders>
            <w:shd w:val="clear" w:color="auto" w:fill="auto"/>
            <w:vAlign w:val="center"/>
            <w:hideMark/>
          </w:tcPr>
          <w:p w14:paraId="15AAE64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Desarrollo comunitario y entornos seguros</w:t>
            </w:r>
          </w:p>
        </w:tc>
        <w:tc>
          <w:tcPr>
            <w:tcW w:w="686" w:type="pct"/>
            <w:tcBorders>
              <w:top w:val="nil"/>
              <w:left w:val="nil"/>
              <w:bottom w:val="single" w:sz="8" w:space="0" w:color="434343"/>
              <w:right w:val="single" w:sz="8" w:space="0" w:color="434343"/>
            </w:tcBorders>
            <w:shd w:val="clear" w:color="auto" w:fill="auto"/>
            <w:vAlign w:val="center"/>
            <w:hideMark/>
          </w:tcPr>
          <w:p w14:paraId="5851C4D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Conformar entornos y trayectos seguros en las inmediaciones de equipamientos urbanos y espacios públicos</w:t>
            </w:r>
          </w:p>
        </w:tc>
        <w:tc>
          <w:tcPr>
            <w:tcW w:w="610" w:type="pct"/>
            <w:tcBorders>
              <w:top w:val="nil"/>
              <w:left w:val="single" w:sz="8" w:space="0" w:color="434343"/>
              <w:bottom w:val="single" w:sz="8" w:space="0" w:color="434343"/>
              <w:right w:val="single" w:sz="8" w:space="0" w:color="434343"/>
            </w:tcBorders>
            <w:vAlign w:val="center"/>
          </w:tcPr>
          <w:p w14:paraId="53F9D7D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32D9CAC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68457B0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3.2.1.3 Promoción del derecho a la ciudad y a la equidad e inclusión en los asentamientos humanos con perspectiva de género</w:t>
            </w:r>
          </w:p>
        </w:tc>
        <w:tc>
          <w:tcPr>
            <w:tcW w:w="736" w:type="pct"/>
            <w:vMerge/>
            <w:tcBorders>
              <w:top w:val="nil"/>
              <w:left w:val="single" w:sz="8" w:space="0" w:color="434343"/>
              <w:bottom w:val="single" w:sz="8" w:space="0" w:color="434343"/>
              <w:right w:val="single" w:sz="8" w:space="0" w:color="434343"/>
            </w:tcBorders>
            <w:vAlign w:val="center"/>
            <w:hideMark/>
          </w:tcPr>
          <w:p w14:paraId="4C8CA41D" w14:textId="77777777" w:rsidR="00794EB9" w:rsidRPr="00794EB9" w:rsidRDefault="00794EB9" w:rsidP="00C307FB">
            <w:pPr>
              <w:rPr>
                <w:rFonts w:ascii="Arial" w:hAnsi="Arial" w:cs="Arial"/>
                <w:b/>
                <w:bCs/>
                <w:sz w:val="22"/>
                <w:szCs w:val="22"/>
                <w:lang w:eastAsia="es-MX"/>
              </w:rPr>
            </w:pPr>
          </w:p>
        </w:tc>
      </w:tr>
      <w:tr w:rsidR="00794EB9" w:rsidRPr="00794EB9" w14:paraId="59225E75"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8BA48E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541" w:type="pct"/>
            <w:tcBorders>
              <w:top w:val="nil"/>
              <w:left w:val="nil"/>
              <w:bottom w:val="single" w:sz="8" w:space="0" w:color="434343"/>
              <w:right w:val="single" w:sz="8" w:space="0" w:color="434343"/>
            </w:tcBorders>
            <w:shd w:val="clear" w:color="auto" w:fill="auto"/>
            <w:vAlign w:val="center"/>
            <w:hideMark/>
          </w:tcPr>
          <w:p w14:paraId="2D8AE99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459" w:type="pct"/>
            <w:tcBorders>
              <w:top w:val="nil"/>
              <w:left w:val="nil"/>
              <w:bottom w:val="single" w:sz="8" w:space="0" w:color="434343"/>
              <w:right w:val="single" w:sz="8" w:space="0" w:color="434343"/>
            </w:tcBorders>
            <w:shd w:val="clear" w:color="auto" w:fill="auto"/>
            <w:vAlign w:val="center"/>
            <w:hideMark/>
          </w:tcPr>
          <w:p w14:paraId="4530C18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686" w:type="pct"/>
            <w:tcBorders>
              <w:top w:val="nil"/>
              <w:left w:val="nil"/>
              <w:bottom w:val="single" w:sz="8" w:space="0" w:color="434343"/>
              <w:right w:val="single" w:sz="8" w:space="0" w:color="434343"/>
            </w:tcBorders>
            <w:shd w:val="clear" w:color="auto" w:fill="auto"/>
            <w:vAlign w:val="center"/>
            <w:hideMark/>
          </w:tcPr>
          <w:p w14:paraId="7A7DA9F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Construir accesos integrales con la pavimentación de calles en polígonos de desarrollo, donde circula el transporte público y permitan la accesibilidad al equipamiento</w:t>
            </w:r>
          </w:p>
        </w:tc>
        <w:tc>
          <w:tcPr>
            <w:tcW w:w="610" w:type="pct"/>
            <w:tcBorders>
              <w:top w:val="nil"/>
              <w:left w:val="single" w:sz="8" w:space="0" w:color="434343"/>
              <w:bottom w:val="single" w:sz="8" w:space="0" w:color="434343"/>
              <w:right w:val="single" w:sz="8" w:space="0" w:color="434343"/>
            </w:tcBorders>
            <w:vAlign w:val="center"/>
          </w:tcPr>
          <w:p w14:paraId="41EF4D7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147BA02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65BAD9E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4C46F499" w14:textId="77777777" w:rsidR="00794EB9" w:rsidRPr="00794EB9" w:rsidRDefault="00794EB9" w:rsidP="00C307FB">
            <w:pPr>
              <w:rPr>
                <w:rFonts w:ascii="Arial" w:hAnsi="Arial" w:cs="Arial"/>
                <w:b/>
                <w:bCs/>
                <w:sz w:val="22"/>
                <w:szCs w:val="22"/>
                <w:lang w:eastAsia="es-MX"/>
              </w:rPr>
            </w:pPr>
          </w:p>
        </w:tc>
      </w:tr>
      <w:tr w:rsidR="00794EB9" w:rsidRPr="00794EB9" w14:paraId="6B35FD11"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168E964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7728119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573781A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0774EB1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nil"/>
            </w:tcBorders>
            <w:shd w:val="clear" w:color="auto" w:fill="D9D9D9" w:themeFill="background1" w:themeFillShade="D9"/>
            <w:vAlign w:val="center"/>
          </w:tcPr>
          <w:p w14:paraId="2B6C610C" w14:textId="77777777" w:rsidR="00794EB9" w:rsidRPr="00794EB9" w:rsidRDefault="00794EB9" w:rsidP="00C307FB">
            <w:pPr>
              <w:rPr>
                <w:rFonts w:ascii="Arial" w:hAnsi="Arial" w:cs="Arial"/>
                <w:b/>
                <w:bCs/>
                <w:sz w:val="22"/>
                <w:szCs w:val="22"/>
                <w:lang w:eastAsia="es-MX"/>
              </w:rPr>
            </w:pPr>
          </w:p>
        </w:tc>
        <w:tc>
          <w:tcPr>
            <w:tcW w:w="837" w:type="pct"/>
            <w:tcBorders>
              <w:top w:val="nil"/>
              <w:left w:val="nil"/>
              <w:bottom w:val="single" w:sz="8" w:space="0" w:color="434343"/>
              <w:right w:val="nil"/>
            </w:tcBorders>
            <w:shd w:val="clear" w:color="auto" w:fill="D9D9D9" w:themeFill="background1" w:themeFillShade="D9"/>
            <w:vAlign w:val="center"/>
          </w:tcPr>
          <w:p w14:paraId="77D3D4F5" w14:textId="77777777" w:rsidR="00794EB9" w:rsidRPr="00794EB9" w:rsidRDefault="00794EB9" w:rsidP="00C307FB">
            <w:pPr>
              <w:rPr>
                <w:rFonts w:ascii="Arial" w:hAnsi="Arial" w:cs="Arial"/>
                <w:b/>
                <w:bCs/>
                <w:sz w:val="22"/>
                <w:szCs w:val="22"/>
                <w:lang w:eastAsia="es-MX"/>
              </w:rPr>
            </w:pPr>
          </w:p>
        </w:tc>
        <w:tc>
          <w:tcPr>
            <w:tcW w:w="762" w:type="pct"/>
            <w:tcBorders>
              <w:top w:val="nil"/>
              <w:left w:val="nil"/>
              <w:bottom w:val="single" w:sz="8" w:space="0" w:color="434343"/>
              <w:right w:val="nil"/>
            </w:tcBorders>
            <w:shd w:val="clear" w:color="auto" w:fill="D9D9D9" w:themeFill="background1" w:themeFillShade="D9"/>
            <w:vAlign w:val="center"/>
          </w:tcPr>
          <w:p w14:paraId="149DC5C6" w14:textId="77777777" w:rsidR="00794EB9" w:rsidRPr="00794EB9" w:rsidRDefault="00794EB9" w:rsidP="00C307FB">
            <w:pPr>
              <w:rPr>
                <w:rFonts w:ascii="Arial" w:hAnsi="Arial" w:cs="Arial"/>
                <w:b/>
                <w:bCs/>
                <w:sz w:val="22"/>
                <w:szCs w:val="22"/>
                <w:lang w:eastAsia="es-MX"/>
              </w:rPr>
            </w:pPr>
          </w:p>
        </w:tc>
        <w:tc>
          <w:tcPr>
            <w:tcW w:w="73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03B8FFB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VT3. Nuevo Modelo de Seguridad</w:t>
            </w:r>
          </w:p>
        </w:tc>
      </w:tr>
      <w:tr w:rsidR="00794EB9" w:rsidRPr="00794EB9" w14:paraId="0D6B37AC" w14:textId="77777777" w:rsidTr="00C307FB">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13A783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Seguridad ciud</w:t>
            </w:r>
            <w:r w:rsidRPr="00794EB9">
              <w:rPr>
                <w:rFonts w:ascii="Arial" w:hAnsi="Arial" w:cs="Arial"/>
                <w:sz w:val="22"/>
                <w:szCs w:val="22"/>
                <w:lang w:eastAsia="es-MX"/>
              </w:rPr>
              <w:lastRenderedPageBreak/>
              <w:t>adana y paz sostenible</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B23171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Fortalecer la cohesió</w:t>
            </w:r>
            <w:r w:rsidRPr="00794EB9">
              <w:rPr>
                <w:rFonts w:ascii="Arial" w:hAnsi="Arial" w:cs="Arial"/>
                <w:sz w:val="22"/>
                <w:szCs w:val="22"/>
                <w:lang w:eastAsia="es-MX"/>
              </w:rPr>
              <w:lastRenderedPageBreak/>
              <w:t>n social consolidando un modelo de seguridad cívica y ciudadana para la prevención, vigilancia y atención de factores de riesgo</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C38EAC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Proximidad y </w:t>
            </w:r>
            <w:r w:rsidRPr="00794EB9">
              <w:rPr>
                <w:rFonts w:ascii="Arial" w:hAnsi="Arial" w:cs="Arial"/>
                <w:sz w:val="22"/>
                <w:szCs w:val="22"/>
                <w:lang w:eastAsia="es-MX"/>
              </w:rPr>
              <w:lastRenderedPageBreak/>
              <w:t>prevención social para la seguridad ciudadana</w:t>
            </w:r>
          </w:p>
        </w:tc>
        <w:tc>
          <w:tcPr>
            <w:tcW w:w="686" w:type="pct"/>
            <w:tcBorders>
              <w:top w:val="nil"/>
              <w:left w:val="nil"/>
              <w:bottom w:val="single" w:sz="8" w:space="0" w:color="434343"/>
              <w:right w:val="single" w:sz="8" w:space="0" w:color="434343"/>
            </w:tcBorders>
            <w:shd w:val="clear" w:color="auto" w:fill="auto"/>
            <w:vAlign w:val="center"/>
            <w:hideMark/>
          </w:tcPr>
          <w:p w14:paraId="0E92A01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Desarrollar programas </w:t>
            </w:r>
            <w:r w:rsidRPr="00794EB9">
              <w:rPr>
                <w:rFonts w:ascii="Arial" w:hAnsi="Arial" w:cs="Arial"/>
                <w:sz w:val="22"/>
                <w:szCs w:val="22"/>
                <w:lang w:eastAsia="es-MX"/>
              </w:rPr>
              <w:lastRenderedPageBreak/>
              <w:t xml:space="preserve">permanentes de formación y capacitación para la mejora de competencias y habilidades de los elementos de la corporación de policía </w:t>
            </w:r>
          </w:p>
        </w:tc>
        <w:tc>
          <w:tcPr>
            <w:tcW w:w="610" w:type="pct"/>
            <w:tcBorders>
              <w:top w:val="nil"/>
              <w:left w:val="single" w:sz="8" w:space="0" w:color="434343"/>
              <w:bottom w:val="single" w:sz="8" w:space="0" w:color="434343"/>
              <w:right w:val="single" w:sz="8" w:space="0" w:color="434343"/>
            </w:tcBorders>
            <w:vAlign w:val="center"/>
          </w:tcPr>
          <w:p w14:paraId="2A14721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16: Promov</w:t>
            </w:r>
            <w:r w:rsidRPr="00794EB9">
              <w:rPr>
                <w:rFonts w:ascii="Arial" w:hAnsi="Arial" w:cs="Arial"/>
                <w:b/>
                <w:bCs/>
                <w:sz w:val="22"/>
                <w:szCs w:val="22"/>
                <w:lang w:eastAsia="es-MX"/>
              </w:rPr>
              <w:lastRenderedPageBreak/>
              <w:t>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6D6AA19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4.2.1 Abatir los actos </w:t>
            </w:r>
            <w:r w:rsidRPr="00794EB9">
              <w:rPr>
                <w:rFonts w:ascii="Arial" w:hAnsi="Arial" w:cs="Arial"/>
                <w:b/>
                <w:bCs/>
                <w:sz w:val="22"/>
                <w:szCs w:val="22"/>
                <w:lang w:eastAsia="es-MX"/>
              </w:rPr>
              <w:lastRenderedPageBreak/>
              <w:t>delincuenciales que afectan la seguridad de las y los guanajuatenses</w:t>
            </w:r>
          </w:p>
        </w:tc>
        <w:tc>
          <w:tcPr>
            <w:tcW w:w="762" w:type="pct"/>
            <w:tcBorders>
              <w:top w:val="nil"/>
              <w:left w:val="single" w:sz="8" w:space="0" w:color="434343"/>
              <w:bottom w:val="single" w:sz="8" w:space="0" w:color="434343"/>
              <w:right w:val="single" w:sz="8" w:space="0" w:color="434343"/>
            </w:tcBorders>
            <w:vAlign w:val="center"/>
          </w:tcPr>
          <w:p w14:paraId="2EC7177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Estrategia 4.2.1.2 Incremento</w:t>
            </w:r>
            <w:r w:rsidRPr="00794EB9">
              <w:rPr>
                <w:rFonts w:ascii="Arial" w:hAnsi="Arial" w:cs="Arial"/>
                <w:b/>
                <w:bCs/>
                <w:sz w:val="22"/>
                <w:szCs w:val="22"/>
                <w:lang w:eastAsia="es-MX"/>
              </w:rPr>
              <w:lastRenderedPageBreak/>
              <w:t>, fortalecimiento y profesionalización de los cuerpos policiales para ser consolidados como uno de los cinco mejores del país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6DD289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VT. 3.1 Calidad Máxima</w:t>
            </w:r>
          </w:p>
        </w:tc>
      </w:tr>
      <w:tr w:rsidR="00794EB9" w:rsidRPr="00794EB9" w14:paraId="122409B5"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65437CE7"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91B8554"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5FD6D86E" w14:textId="77777777" w:rsidR="00794EB9" w:rsidRPr="00794EB9" w:rsidRDefault="00794EB9" w:rsidP="00C307FB">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039E9E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Concentrar e integrar los servicios y funciones de la Secretaría de Seguridad Pública con un enfoque estratégico, que permita ampliar la cobertura y las capacidades de reacción</w:t>
            </w:r>
          </w:p>
        </w:tc>
        <w:tc>
          <w:tcPr>
            <w:tcW w:w="610" w:type="pct"/>
            <w:vMerge w:val="restart"/>
            <w:tcBorders>
              <w:top w:val="nil"/>
              <w:left w:val="single" w:sz="8" w:space="0" w:color="434343"/>
              <w:right w:val="single" w:sz="8" w:space="0" w:color="434343"/>
            </w:tcBorders>
            <w:vAlign w:val="center"/>
          </w:tcPr>
          <w:p w14:paraId="58CEF2A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vMerge w:val="restart"/>
            <w:tcBorders>
              <w:top w:val="nil"/>
              <w:left w:val="single" w:sz="8" w:space="0" w:color="434343"/>
              <w:right w:val="single" w:sz="8" w:space="0" w:color="434343"/>
            </w:tcBorders>
            <w:vAlign w:val="center"/>
          </w:tcPr>
          <w:p w14:paraId="163F98D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4.2.2 Incrementar la efectividad del sistema de justicia penal</w:t>
            </w:r>
          </w:p>
        </w:tc>
        <w:tc>
          <w:tcPr>
            <w:tcW w:w="762" w:type="pct"/>
            <w:vMerge w:val="restart"/>
            <w:tcBorders>
              <w:top w:val="nil"/>
              <w:left w:val="single" w:sz="8" w:space="0" w:color="434343"/>
              <w:right w:val="single" w:sz="8" w:space="0" w:color="434343"/>
            </w:tcBorders>
            <w:vAlign w:val="center"/>
          </w:tcPr>
          <w:p w14:paraId="20D6E4A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4.2.2.2 Fortalecimiento de la infraestructura, el equipo tecnológico y los recursos de las instituciones encargadas de operar el sistema de justicia penal</w:t>
            </w:r>
          </w:p>
        </w:tc>
        <w:tc>
          <w:tcPr>
            <w:tcW w:w="736" w:type="pct"/>
            <w:vMerge/>
            <w:tcBorders>
              <w:top w:val="nil"/>
              <w:left w:val="single" w:sz="8" w:space="0" w:color="434343"/>
              <w:bottom w:val="single" w:sz="8" w:space="0" w:color="434343"/>
              <w:right w:val="single" w:sz="8" w:space="0" w:color="434343"/>
            </w:tcBorders>
            <w:vAlign w:val="center"/>
            <w:hideMark/>
          </w:tcPr>
          <w:p w14:paraId="6F0E496F" w14:textId="77777777" w:rsidR="00794EB9" w:rsidRPr="00794EB9" w:rsidRDefault="00794EB9" w:rsidP="00C307FB">
            <w:pPr>
              <w:rPr>
                <w:rFonts w:ascii="Arial" w:hAnsi="Arial" w:cs="Arial"/>
                <w:b/>
                <w:bCs/>
                <w:sz w:val="22"/>
                <w:szCs w:val="22"/>
                <w:lang w:eastAsia="es-MX"/>
              </w:rPr>
            </w:pPr>
          </w:p>
        </w:tc>
      </w:tr>
      <w:tr w:rsidR="00794EB9" w:rsidRPr="00794EB9" w14:paraId="09560D17"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B952B44"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4A98041"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5AA326E"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D5D6055"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52456376"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4B0583C1"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2D9C4D72"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053C915" w14:textId="77777777" w:rsidR="00794EB9" w:rsidRPr="00794EB9" w:rsidRDefault="00794EB9" w:rsidP="00C307FB">
            <w:pPr>
              <w:rPr>
                <w:rFonts w:ascii="Arial" w:hAnsi="Arial" w:cs="Arial"/>
                <w:b/>
                <w:bCs/>
                <w:sz w:val="22"/>
                <w:szCs w:val="22"/>
                <w:lang w:eastAsia="es-MX"/>
              </w:rPr>
            </w:pPr>
          </w:p>
        </w:tc>
      </w:tr>
      <w:tr w:rsidR="00794EB9" w:rsidRPr="00794EB9" w14:paraId="232ECC31"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540D265"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2D43884"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2891944" w14:textId="77777777" w:rsidR="00794EB9" w:rsidRPr="00794EB9" w:rsidRDefault="00794EB9" w:rsidP="00C307FB">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09AFC1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la estructura policial y de prevenció</w:t>
            </w:r>
            <w:r w:rsidRPr="00794EB9">
              <w:rPr>
                <w:rFonts w:ascii="Arial" w:hAnsi="Arial" w:cs="Arial"/>
                <w:sz w:val="22"/>
                <w:szCs w:val="22"/>
                <w:lang w:eastAsia="es-MX"/>
              </w:rPr>
              <w:lastRenderedPageBreak/>
              <w:t>n para fortalecer el modelo de proximidad y atención a la ciudadanía</w:t>
            </w:r>
          </w:p>
        </w:tc>
        <w:tc>
          <w:tcPr>
            <w:tcW w:w="610" w:type="pct"/>
            <w:vMerge w:val="restart"/>
            <w:tcBorders>
              <w:top w:val="nil"/>
              <w:left w:val="single" w:sz="8" w:space="0" w:color="434343"/>
              <w:right w:val="single" w:sz="8" w:space="0" w:color="434343"/>
            </w:tcBorders>
            <w:vAlign w:val="center"/>
          </w:tcPr>
          <w:p w14:paraId="34C6465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16: Promover sociedades </w:t>
            </w:r>
            <w:r w:rsidRPr="00794EB9">
              <w:rPr>
                <w:rFonts w:ascii="Arial" w:hAnsi="Arial" w:cs="Arial"/>
                <w:b/>
                <w:bCs/>
                <w:sz w:val="22"/>
                <w:szCs w:val="22"/>
                <w:lang w:eastAsia="es-MX"/>
              </w:rPr>
              <w:lastRenderedPageBreak/>
              <w:t>justas, pacíficas e inclusivas</w:t>
            </w:r>
          </w:p>
        </w:tc>
        <w:tc>
          <w:tcPr>
            <w:tcW w:w="837" w:type="pct"/>
            <w:vMerge w:val="restart"/>
            <w:tcBorders>
              <w:top w:val="nil"/>
              <w:left w:val="single" w:sz="8" w:space="0" w:color="434343"/>
              <w:right w:val="single" w:sz="8" w:space="0" w:color="434343"/>
            </w:tcBorders>
            <w:vAlign w:val="center"/>
          </w:tcPr>
          <w:p w14:paraId="358560B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4.2.1 Abatir los actos delincuenciales que afectan la </w:t>
            </w:r>
            <w:r w:rsidRPr="00794EB9">
              <w:rPr>
                <w:rFonts w:ascii="Arial" w:hAnsi="Arial" w:cs="Arial"/>
                <w:b/>
                <w:bCs/>
                <w:sz w:val="22"/>
                <w:szCs w:val="22"/>
                <w:lang w:eastAsia="es-MX"/>
              </w:rPr>
              <w:lastRenderedPageBreak/>
              <w:t>seguridad de las y los guanajuatenses</w:t>
            </w:r>
          </w:p>
        </w:tc>
        <w:tc>
          <w:tcPr>
            <w:tcW w:w="762" w:type="pct"/>
            <w:vMerge w:val="restart"/>
            <w:tcBorders>
              <w:top w:val="nil"/>
              <w:left w:val="single" w:sz="8" w:space="0" w:color="434343"/>
              <w:right w:val="single" w:sz="8" w:space="0" w:color="434343"/>
            </w:tcBorders>
            <w:vAlign w:val="center"/>
          </w:tcPr>
          <w:p w14:paraId="58DCB9B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4.2.1.2 Incremento, fortalecimiento y </w:t>
            </w:r>
            <w:r w:rsidRPr="00794EB9">
              <w:rPr>
                <w:rFonts w:ascii="Arial" w:hAnsi="Arial" w:cs="Arial"/>
                <w:b/>
                <w:bCs/>
                <w:sz w:val="22"/>
                <w:szCs w:val="22"/>
                <w:lang w:eastAsia="es-MX"/>
              </w:rPr>
              <w:lastRenderedPageBreak/>
              <w:t>profesionalización de los cuerpos policiales para ser consolidados como uno de los cinco mejores del país</w:t>
            </w:r>
          </w:p>
        </w:tc>
        <w:tc>
          <w:tcPr>
            <w:tcW w:w="736" w:type="pct"/>
            <w:vMerge/>
            <w:tcBorders>
              <w:top w:val="nil"/>
              <w:left w:val="single" w:sz="8" w:space="0" w:color="434343"/>
              <w:bottom w:val="single" w:sz="8" w:space="0" w:color="434343"/>
              <w:right w:val="single" w:sz="8" w:space="0" w:color="434343"/>
            </w:tcBorders>
            <w:vAlign w:val="center"/>
            <w:hideMark/>
          </w:tcPr>
          <w:p w14:paraId="26CD0B14" w14:textId="77777777" w:rsidR="00794EB9" w:rsidRPr="00794EB9" w:rsidRDefault="00794EB9" w:rsidP="00C307FB">
            <w:pPr>
              <w:rPr>
                <w:rFonts w:ascii="Arial" w:hAnsi="Arial" w:cs="Arial"/>
                <w:b/>
                <w:bCs/>
                <w:sz w:val="22"/>
                <w:szCs w:val="22"/>
                <w:lang w:eastAsia="es-MX"/>
              </w:rPr>
            </w:pPr>
          </w:p>
        </w:tc>
      </w:tr>
      <w:tr w:rsidR="00794EB9" w:rsidRPr="00794EB9" w14:paraId="4732F959"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555C4A0B"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0916475"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4C7BBE2"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D7FD612"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1C444BE1"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031FBA54"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733BD5D8"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5987BB8D" w14:textId="77777777" w:rsidR="00794EB9" w:rsidRPr="00794EB9" w:rsidRDefault="00794EB9" w:rsidP="00C307FB">
            <w:pPr>
              <w:rPr>
                <w:rFonts w:ascii="Arial" w:hAnsi="Arial" w:cs="Arial"/>
                <w:b/>
                <w:bCs/>
                <w:sz w:val="22"/>
                <w:szCs w:val="22"/>
                <w:lang w:eastAsia="es-MX"/>
              </w:rPr>
            </w:pPr>
          </w:p>
        </w:tc>
      </w:tr>
      <w:tr w:rsidR="00794EB9" w:rsidRPr="00794EB9" w14:paraId="6ACB0F78"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9949F1B"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5A88522"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4D083747"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F3D7509"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03BFB6BC"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6CD20351"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4FD61D08"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424973E" w14:textId="77777777" w:rsidR="00794EB9" w:rsidRPr="00794EB9" w:rsidRDefault="00794EB9" w:rsidP="00C307FB">
            <w:pPr>
              <w:rPr>
                <w:rFonts w:ascii="Arial" w:hAnsi="Arial" w:cs="Arial"/>
                <w:b/>
                <w:bCs/>
                <w:sz w:val="22"/>
                <w:szCs w:val="22"/>
                <w:lang w:eastAsia="es-MX"/>
              </w:rPr>
            </w:pPr>
          </w:p>
        </w:tc>
      </w:tr>
      <w:tr w:rsidR="00794EB9" w:rsidRPr="00794EB9" w14:paraId="6A25EA80" w14:textId="77777777" w:rsidTr="00C307FB">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B1D68A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Tecnología y conectividad digital</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244A47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la cobertura de conectividad digital, favoreciendo la tele gestión y una mayor eficiencia de servicios públicos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E661BE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Tecnología y videovigilancia para la seguridad ciudadana</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E487ED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y consolidar la cobertura del equipamiento y la infraestructura tecnológica para la prevención y la seguridad ciudadana por distritos urbanos y delegaciones</w:t>
            </w:r>
          </w:p>
        </w:tc>
        <w:tc>
          <w:tcPr>
            <w:tcW w:w="610" w:type="pct"/>
            <w:vMerge w:val="restart"/>
            <w:tcBorders>
              <w:top w:val="nil"/>
              <w:left w:val="single" w:sz="8" w:space="0" w:color="434343"/>
              <w:right w:val="single" w:sz="8" w:space="0" w:color="434343"/>
            </w:tcBorders>
            <w:vAlign w:val="center"/>
          </w:tcPr>
          <w:p w14:paraId="4E37423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vMerge w:val="restart"/>
            <w:tcBorders>
              <w:top w:val="nil"/>
              <w:left w:val="single" w:sz="8" w:space="0" w:color="434343"/>
              <w:right w:val="single" w:sz="8" w:space="0" w:color="434343"/>
            </w:tcBorders>
            <w:vAlign w:val="center"/>
          </w:tcPr>
          <w:p w14:paraId="38F3393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4.2.2 Incrementar la efectividad del sistema de justicia penal</w:t>
            </w:r>
          </w:p>
        </w:tc>
        <w:tc>
          <w:tcPr>
            <w:tcW w:w="762" w:type="pct"/>
            <w:vMerge w:val="restart"/>
            <w:tcBorders>
              <w:top w:val="nil"/>
              <w:left w:val="single" w:sz="8" w:space="0" w:color="434343"/>
              <w:right w:val="single" w:sz="8" w:space="0" w:color="434343"/>
            </w:tcBorders>
            <w:vAlign w:val="center"/>
          </w:tcPr>
          <w:p w14:paraId="65E64CD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4.2.2.2 Fortalecimiento de la infraestructura, el equipo tecnológico y los recursos de las instituciones encargadas de operar el sistema de justicia penal</w:t>
            </w:r>
          </w:p>
        </w:tc>
        <w:tc>
          <w:tcPr>
            <w:tcW w:w="736" w:type="pct"/>
            <w:vMerge/>
            <w:tcBorders>
              <w:top w:val="nil"/>
              <w:left w:val="single" w:sz="8" w:space="0" w:color="434343"/>
              <w:bottom w:val="single" w:sz="8" w:space="0" w:color="434343"/>
              <w:right w:val="single" w:sz="8" w:space="0" w:color="434343"/>
            </w:tcBorders>
            <w:vAlign w:val="center"/>
            <w:hideMark/>
          </w:tcPr>
          <w:p w14:paraId="4F1EC2D9" w14:textId="77777777" w:rsidR="00794EB9" w:rsidRPr="00794EB9" w:rsidRDefault="00794EB9" w:rsidP="00C307FB">
            <w:pPr>
              <w:rPr>
                <w:rFonts w:ascii="Arial" w:hAnsi="Arial" w:cs="Arial"/>
                <w:b/>
                <w:bCs/>
                <w:sz w:val="22"/>
                <w:szCs w:val="22"/>
                <w:lang w:eastAsia="es-MX"/>
              </w:rPr>
            </w:pPr>
          </w:p>
        </w:tc>
      </w:tr>
      <w:tr w:rsidR="00794EB9" w:rsidRPr="00794EB9" w14:paraId="6DFB59CE"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BA23160"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84D19E6"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30E76738"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386FA0F1"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2D7E0FF9"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583795CD"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677ACB36"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CD2CC7A" w14:textId="77777777" w:rsidR="00794EB9" w:rsidRPr="00794EB9" w:rsidRDefault="00794EB9" w:rsidP="00C307FB">
            <w:pPr>
              <w:rPr>
                <w:rFonts w:ascii="Arial" w:hAnsi="Arial" w:cs="Arial"/>
                <w:b/>
                <w:bCs/>
                <w:sz w:val="22"/>
                <w:szCs w:val="22"/>
                <w:lang w:eastAsia="es-MX"/>
              </w:rPr>
            </w:pPr>
          </w:p>
        </w:tc>
      </w:tr>
      <w:tr w:rsidR="00794EB9" w:rsidRPr="00794EB9" w14:paraId="751E2EC9" w14:textId="77777777" w:rsidTr="00C307FB">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EB12CD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E1241C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Fortalecer la cohesión social consolidando un modelo de seguridad cívica y </w:t>
            </w:r>
            <w:r w:rsidRPr="00794EB9">
              <w:rPr>
                <w:rFonts w:ascii="Arial" w:hAnsi="Arial" w:cs="Arial"/>
                <w:sz w:val="22"/>
                <w:szCs w:val="22"/>
                <w:lang w:eastAsia="es-MX"/>
              </w:rPr>
              <w:lastRenderedPageBreak/>
              <w:t>ciudadana para la prevención, vigilancia y atención de factores de riesgo</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D72F51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Proximidad y prevención social para la seguridad </w:t>
            </w:r>
            <w:r w:rsidRPr="00794EB9">
              <w:rPr>
                <w:rFonts w:ascii="Arial" w:hAnsi="Arial" w:cs="Arial"/>
                <w:sz w:val="22"/>
                <w:szCs w:val="22"/>
                <w:lang w:eastAsia="es-MX"/>
              </w:rPr>
              <w:lastRenderedPageBreak/>
              <w:t>ciudadana</w:t>
            </w:r>
          </w:p>
        </w:tc>
        <w:tc>
          <w:tcPr>
            <w:tcW w:w="686" w:type="pct"/>
            <w:tcBorders>
              <w:top w:val="nil"/>
              <w:left w:val="nil"/>
              <w:bottom w:val="single" w:sz="8" w:space="0" w:color="434343"/>
              <w:right w:val="single" w:sz="8" w:space="0" w:color="434343"/>
            </w:tcBorders>
            <w:shd w:val="clear" w:color="auto" w:fill="auto"/>
            <w:vAlign w:val="center"/>
            <w:hideMark/>
          </w:tcPr>
          <w:p w14:paraId="2E31663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Desarrollar programas permanentes de formación y capacitación para la mejora de competen</w:t>
            </w:r>
            <w:r w:rsidRPr="00794EB9">
              <w:rPr>
                <w:rFonts w:ascii="Arial" w:hAnsi="Arial" w:cs="Arial"/>
                <w:sz w:val="22"/>
                <w:szCs w:val="22"/>
                <w:lang w:eastAsia="es-MX"/>
              </w:rPr>
              <w:lastRenderedPageBreak/>
              <w:t xml:space="preserve">cias y habilidades de los elementos de la corporación de policía </w:t>
            </w:r>
          </w:p>
        </w:tc>
        <w:tc>
          <w:tcPr>
            <w:tcW w:w="610" w:type="pct"/>
            <w:tcBorders>
              <w:top w:val="nil"/>
              <w:left w:val="single" w:sz="8" w:space="0" w:color="434343"/>
              <w:bottom w:val="single" w:sz="8" w:space="0" w:color="434343"/>
              <w:right w:val="single" w:sz="8" w:space="0" w:color="434343"/>
            </w:tcBorders>
            <w:vAlign w:val="center"/>
          </w:tcPr>
          <w:p w14:paraId="382B5DA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72B43A9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4.2.1 Abatir los actos delincuenciales que afectan la seguridad de las y los guanajuatenses</w:t>
            </w:r>
          </w:p>
        </w:tc>
        <w:tc>
          <w:tcPr>
            <w:tcW w:w="762" w:type="pct"/>
            <w:tcBorders>
              <w:top w:val="nil"/>
              <w:left w:val="single" w:sz="8" w:space="0" w:color="434343"/>
              <w:bottom w:val="single" w:sz="8" w:space="0" w:color="434343"/>
              <w:right w:val="single" w:sz="8" w:space="0" w:color="434343"/>
            </w:tcBorders>
            <w:vAlign w:val="center"/>
          </w:tcPr>
          <w:p w14:paraId="0739714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Estrategia 4.2.1.2 Incremento, fortalecimiento y profesionalización de los cuerpos policiales </w:t>
            </w:r>
            <w:r w:rsidRPr="00794EB9">
              <w:rPr>
                <w:rFonts w:ascii="Arial" w:hAnsi="Arial" w:cs="Arial"/>
                <w:b/>
                <w:bCs/>
                <w:sz w:val="22"/>
                <w:szCs w:val="22"/>
                <w:lang w:eastAsia="es-MX"/>
              </w:rPr>
              <w:lastRenderedPageBreak/>
              <w:t>para ser consolidados como uno de los cinco mejores del país</w:t>
            </w:r>
          </w:p>
        </w:tc>
        <w:tc>
          <w:tcPr>
            <w:tcW w:w="736" w:type="pct"/>
            <w:vMerge/>
            <w:tcBorders>
              <w:top w:val="nil"/>
              <w:left w:val="single" w:sz="8" w:space="0" w:color="434343"/>
              <w:bottom w:val="single" w:sz="8" w:space="0" w:color="434343"/>
              <w:right w:val="single" w:sz="8" w:space="0" w:color="434343"/>
            </w:tcBorders>
            <w:vAlign w:val="center"/>
            <w:hideMark/>
          </w:tcPr>
          <w:p w14:paraId="41BC6FEA" w14:textId="77777777" w:rsidR="00794EB9" w:rsidRPr="00794EB9" w:rsidRDefault="00794EB9" w:rsidP="00C307FB">
            <w:pPr>
              <w:rPr>
                <w:rFonts w:ascii="Arial" w:hAnsi="Arial" w:cs="Arial"/>
                <w:b/>
                <w:bCs/>
                <w:sz w:val="22"/>
                <w:szCs w:val="22"/>
                <w:lang w:eastAsia="es-MX"/>
              </w:rPr>
            </w:pPr>
          </w:p>
        </w:tc>
      </w:tr>
      <w:tr w:rsidR="00794EB9" w:rsidRPr="00794EB9" w14:paraId="522A80FF"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1F5B980"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ADA2D4D"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4F08DFF4" w14:textId="77777777" w:rsidR="00794EB9" w:rsidRPr="00794EB9" w:rsidRDefault="00794EB9" w:rsidP="00C307FB">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2846C9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la estructura policial y de prevención para fortalecer el modelo de proximidad y atención a la ciudadanía</w:t>
            </w:r>
          </w:p>
        </w:tc>
        <w:tc>
          <w:tcPr>
            <w:tcW w:w="610" w:type="pct"/>
            <w:vMerge w:val="restart"/>
            <w:tcBorders>
              <w:top w:val="nil"/>
              <w:left w:val="single" w:sz="8" w:space="0" w:color="434343"/>
              <w:right w:val="single" w:sz="8" w:space="0" w:color="434343"/>
            </w:tcBorders>
            <w:vAlign w:val="center"/>
          </w:tcPr>
          <w:p w14:paraId="4D465AE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vMerge w:val="restart"/>
            <w:tcBorders>
              <w:top w:val="nil"/>
              <w:left w:val="single" w:sz="8" w:space="0" w:color="434343"/>
              <w:right w:val="single" w:sz="8" w:space="0" w:color="434343"/>
            </w:tcBorders>
            <w:vAlign w:val="center"/>
          </w:tcPr>
          <w:p w14:paraId="1F1A5AC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4.2.1 Abatir los actos delincuenciales que afectan la seguridad de las y los guanajuatenses</w:t>
            </w:r>
          </w:p>
        </w:tc>
        <w:tc>
          <w:tcPr>
            <w:tcW w:w="762" w:type="pct"/>
            <w:vMerge w:val="restart"/>
            <w:tcBorders>
              <w:top w:val="nil"/>
              <w:left w:val="single" w:sz="8" w:space="0" w:color="434343"/>
              <w:right w:val="single" w:sz="8" w:space="0" w:color="434343"/>
            </w:tcBorders>
            <w:vAlign w:val="center"/>
          </w:tcPr>
          <w:p w14:paraId="5118B49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4.2.1.2 Incremento, fortalecimiento y profesionalización de los cuerpos policiales para ser consolidados como uno de los cinco mejores del país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BD414B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VT. 3.2 Prevención Activa </w:t>
            </w:r>
          </w:p>
        </w:tc>
      </w:tr>
      <w:tr w:rsidR="00794EB9" w:rsidRPr="00794EB9" w14:paraId="61AA8231"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3A3A767"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85A026A"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301BA135"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F043C1B"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5082A715" w14:textId="77777777" w:rsidR="00794EB9" w:rsidRPr="00794EB9" w:rsidRDefault="00794EB9" w:rsidP="00C307FB">
            <w:pPr>
              <w:rPr>
                <w:rFonts w:ascii="Arial" w:hAnsi="Arial" w:cs="Arial"/>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3F50B136"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15AB43A1"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64E3740" w14:textId="77777777" w:rsidR="00794EB9" w:rsidRPr="00794EB9" w:rsidRDefault="00794EB9" w:rsidP="00C307FB">
            <w:pPr>
              <w:rPr>
                <w:rFonts w:ascii="Arial" w:hAnsi="Arial" w:cs="Arial"/>
                <w:b/>
                <w:bCs/>
                <w:sz w:val="22"/>
                <w:szCs w:val="22"/>
                <w:lang w:eastAsia="es-MX"/>
              </w:rPr>
            </w:pPr>
          </w:p>
        </w:tc>
      </w:tr>
      <w:tr w:rsidR="00794EB9" w:rsidRPr="00794EB9" w14:paraId="28EAB60D" w14:textId="77777777" w:rsidTr="00C307FB">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55179E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Tecnología y conectividad digital</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1BD6BA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la cobertura de conectividad digital, favoreciendo la tele gestión y una mayor eficiencia de servicio</w:t>
            </w:r>
            <w:r w:rsidRPr="00794EB9">
              <w:rPr>
                <w:rFonts w:ascii="Arial" w:hAnsi="Arial" w:cs="Arial"/>
                <w:sz w:val="22"/>
                <w:szCs w:val="22"/>
                <w:lang w:eastAsia="es-MX"/>
              </w:rPr>
              <w:lastRenderedPageBreak/>
              <w:t>s públicos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AD8BBD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Tecnología y videovigilancia para la seguridad ciudadana</w:t>
            </w:r>
          </w:p>
        </w:tc>
        <w:tc>
          <w:tcPr>
            <w:tcW w:w="686" w:type="pct"/>
            <w:tcBorders>
              <w:top w:val="nil"/>
              <w:left w:val="nil"/>
              <w:bottom w:val="single" w:sz="8" w:space="0" w:color="434343"/>
              <w:right w:val="single" w:sz="8" w:space="0" w:color="434343"/>
            </w:tcBorders>
            <w:shd w:val="clear" w:color="auto" w:fill="auto"/>
            <w:vAlign w:val="center"/>
            <w:hideMark/>
          </w:tcPr>
          <w:p w14:paraId="47ABFC5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y consolidar la cobertura del equipamiento y la infraestructura tecnológica para la prevención y la seguridad</w:t>
            </w:r>
            <w:r w:rsidRPr="00794EB9">
              <w:rPr>
                <w:rFonts w:ascii="Arial" w:hAnsi="Arial" w:cs="Arial"/>
                <w:sz w:val="22"/>
                <w:szCs w:val="22"/>
                <w:lang w:eastAsia="es-MX"/>
              </w:rPr>
              <w:br/>
              <w:t xml:space="preserve">ciudadana por distritos </w:t>
            </w:r>
            <w:r w:rsidRPr="00794EB9">
              <w:rPr>
                <w:rFonts w:ascii="Arial" w:hAnsi="Arial" w:cs="Arial"/>
                <w:sz w:val="22"/>
                <w:szCs w:val="22"/>
                <w:lang w:eastAsia="es-MX"/>
              </w:rPr>
              <w:lastRenderedPageBreak/>
              <w:t>urbanos y delegaciones</w:t>
            </w:r>
          </w:p>
        </w:tc>
        <w:tc>
          <w:tcPr>
            <w:tcW w:w="610" w:type="pct"/>
            <w:tcBorders>
              <w:top w:val="nil"/>
              <w:left w:val="single" w:sz="8" w:space="0" w:color="434343"/>
              <w:bottom w:val="single" w:sz="8" w:space="0" w:color="434343"/>
              <w:right w:val="single" w:sz="8" w:space="0" w:color="434343"/>
            </w:tcBorders>
            <w:vAlign w:val="center"/>
          </w:tcPr>
          <w:p w14:paraId="2BFC1AB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01992C5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4.2.2 Incrementar la efectividad del sistema de justicia penal</w:t>
            </w:r>
          </w:p>
        </w:tc>
        <w:tc>
          <w:tcPr>
            <w:tcW w:w="762" w:type="pct"/>
            <w:tcBorders>
              <w:top w:val="nil"/>
              <w:left w:val="single" w:sz="8" w:space="0" w:color="434343"/>
              <w:bottom w:val="single" w:sz="8" w:space="0" w:color="434343"/>
              <w:right w:val="single" w:sz="8" w:space="0" w:color="434343"/>
            </w:tcBorders>
            <w:vAlign w:val="center"/>
          </w:tcPr>
          <w:p w14:paraId="6C47650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Estrategia 4.2.2.2 Fortalecimiento de la infraestructura, el equipo tecnológico y los recursos de las instituciones encargadas de operar el sistema </w:t>
            </w:r>
            <w:r w:rsidRPr="00794EB9">
              <w:rPr>
                <w:rFonts w:ascii="Arial" w:hAnsi="Arial" w:cs="Arial"/>
                <w:b/>
                <w:bCs/>
                <w:sz w:val="22"/>
                <w:szCs w:val="22"/>
                <w:lang w:eastAsia="es-MX"/>
              </w:rPr>
              <w:lastRenderedPageBreak/>
              <w:t>de justicia penal</w:t>
            </w:r>
          </w:p>
        </w:tc>
        <w:tc>
          <w:tcPr>
            <w:tcW w:w="736" w:type="pct"/>
            <w:vMerge/>
            <w:tcBorders>
              <w:top w:val="nil"/>
              <w:left w:val="single" w:sz="8" w:space="0" w:color="434343"/>
              <w:bottom w:val="single" w:sz="8" w:space="0" w:color="434343"/>
              <w:right w:val="single" w:sz="8" w:space="0" w:color="434343"/>
            </w:tcBorders>
            <w:vAlign w:val="center"/>
            <w:hideMark/>
          </w:tcPr>
          <w:p w14:paraId="09FC2381" w14:textId="77777777" w:rsidR="00794EB9" w:rsidRPr="00794EB9" w:rsidRDefault="00794EB9" w:rsidP="00C307FB">
            <w:pPr>
              <w:rPr>
                <w:rFonts w:ascii="Arial" w:hAnsi="Arial" w:cs="Arial"/>
                <w:b/>
                <w:bCs/>
                <w:sz w:val="22"/>
                <w:szCs w:val="22"/>
                <w:lang w:eastAsia="es-MX"/>
              </w:rPr>
            </w:pPr>
          </w:p>
        </w:tc>
      </w:tr>
      <w:tr w:rsidR="00794EB9" w:rsidRPr="00794EB9" w14:paraId="44DF5F35"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4F56CE50"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035B8BD"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37FD1728"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036E33F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Diseñar e implementar un modelo tecnológico alternativo de vigilancia, para la prevención y la seguridad ciudadana en los polos de desarrollo rural</w:t>
            </w:r>
          </w:p>
        </w:tc>
        <w:tc>
          <w:tcPr>
            <w:tcW w:w="610" w:type="pct"/>
            <w:tcBorders>
              <w:top w:val="nil"/>
              <w:left w:val="single" w:sz="8" w:space="0" w:color="434343"/>
              <w:bottom w:val="single" w:sz="8" w:space="0" w:color="434343"/>
              <w:right w:val="single" w:sz="8" w:space="0" w:color="434343"/>
            </w:tcBorders>
            <w:vAlign w:val="center"/>
          </w:tcPr>
          <w:p w14:paraId="35CC942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045C549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4.2.2 Incrementar la efectividad del sistema de justicia penal</w:t>
            </w:r>
          </w:p>
        </w:tc>
        <w:tc>
          <w:tcPr>
            <w:tcW w:w="762" w:type="pct"/>
            <w:tcBorders>
              <w:top w:val="nil"/>
              <w:left w:val="single" w:sz="8" w:space="0" w:color="434343"/>
              <w:bottom w:val="single" w:sz="8" w:space="0" w:color="434343"/>
              <w:right w:val="single" w:sz="8" w:space="0" w:color="434343"/>
            </w:tcBorders>
            <w:vAlign w:val="center"/>
          </w:tcPr>
          <w:p w14:paraId="6525F61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4.2.2.2 Fortalecimiento de la infraestructura, el equipo tecnológico y los recursos de las instituciones encargadas de operar el sistema de justicia penal</w:t>
            </w:r>
          </w:p>
        </w:tc>
        <w:tc>
          <w:tcPr>
            <w:tcW w:w="736" w:type="pct"/>
            <w:vMerge/>
            <w:tcBorders>
              <w:top w:val="nil"/>
              <w:left w:val="single" w:sz="8" w:space="0" w:color="434343"/>
              <w:bottom w:val="single" w:sz="8" w:space="0" w:color="434343"/>
              <w:right w:val="single" w:sz="8" w:space="0" w:color="434343"/>
            </w:tcBorders>
            <w:vAlign w:val="center"/>
            <w:hideMark/>
          </w:tcPr>
          <w:p w14:paraId="7C5E3334" w14:textId="77777777" w:rsidR="00794EB9" w:rsidRPr="00794EB9" w:rsidRDefault="00794EB9" w:rsidP="00C307FB">
            <w:pPr>
              <w:rPr>
                <w:rFonts w:ascii="Arial" w:hAnsi="Arial" w:cs="Arial"/>
                <w:b/>
                <w:bCs/>
                <w:sz w:val="22"/>
                <w:szCs w:val="22"/>
                <w:lang w:eastAsia="es-MX"/>
              </w:rPr>
            </w:pPr>
          </w:p>
        </w:tc>
      </w:tr>
      <w:tr w:rsidR="00794EB9" w:rsidRPr="00794EB9" w14:paraId="0CEA3D31" w14:textId="77777777" w:rsidTr="00C307FB">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8543DE9" w14:textId="77777777" w:rsidR="00794EB9" w:rsidRPr="00794EB9" w:rsidRDefault="00794EB9" w:rsidP="00C307FB">
            <w:pPr>
              <w:spacing w:after="240"/>
              <w:rPr>
                <w:rFonts w:ascii="Arial" w:hAnsi="Arial" w:cs="Arial"/>
                <w:sz w:val="22"/>
                <w:szCs w:val="22"/>
                <w:lang w:eastAsia="es-MX"/>
              </w:rPr>
            </w:pPr>
            <w:r w:rsidRPr="00794EB9">
              <w:rPr>
                <w:rFonts w:ascii="Arial" w:hAnsi="Arial" w:cs="Arial"/>
                <w:sz w:val="22"/>
                <w:szCs w:val="22"/>
                <w:lang w:eastAsia="es-MX"/>
              </w:rPr>
              <w:t>Seguridad ciudadana y paz sostenible</w:t>
            </w:r>
            <w:r w:rsidRPr="00794EB9">
              <w:rPr>
                <w:rFonts w:ascii="Arial" w:hAnsi="Arial" w:cs="Arial"/>
                <w:sz w:val="22"/>
                <w:szCs w:val="22"/>
                <w:lang w:eastAsia="es-MX"/>
              </w:rPr>
              <w:br/>
            </w:r>
            <w:r w:rsidRPr="00794EB9">
              <w:rPr>
                <w:rFonts w:ascii="Arial" w:hAnsi="Arial" w:cs="Arial"/>
                <w:sz w:val="22"/>
                <w:szCs w:val="22"/>
                <w:lang w:eastAsia="es-MX"/>
              </w:rPr>
              <w:br/>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2D7DC5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Fortalecer la cohesión social consolidando un modelo de seguridad cívica y ciudadana para la prevención, vigilancia y atención de factores </w:t>
            </w:r>
            <w:r w:rsidRPr="00794EB9">
              <w:rPr>
                <w:rFonts w:ascii="Arial" w:hAnsi="Arial" w:cs="Arial"/>
                <w:sz w:val="22"/>
                <w:szCs w:val="22"/>
                <w:lang w:eastAsia="es-MX"/>
              </w:rPr>
              <w:lastRenderedPageBreak/>
              <w:t>de riesgo</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E2C3D5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Desarrollo comunitario y entornos seguros</w:t>
            </w:r>
          </w:p>
        </w:tc>
        <w:tc>
          <w:tcPr>
            <w:tcW w:w="686" w:type="pct"/>
            <w:tcBorders>
              <w:top w:val="nil"/>
              <w:left w:val="nil"/>
              <w:bottom w:val="single" w:sz="8" w:space="0" w:color="434343"/>
              <w:right w:val="single" w:sz="8" w:space="0" w:color="434343"/>
            </w:tcBorders>
            <w:shd w:val="clear" w:color="auto" w:fill="auto"/>
            <w:vAlign w:val="center"/>
            <w:hideMark/>
          </w:tcPr>
          <w:p w14:paraId="5239D64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programas de organización comunitaria y cultura cívica para el desarrollo local y el fortalecimiento del núcleo familiar</w:t>
            </w:r>
          </w:p>
        </w:tc>
        <w:tc>
          <w:tcPr>
            <w:tcW w:w="610" w:type="pct"/>
            <w:tcBorders>
              <w:top w:val="nil"/>
              <w:left w:val="single" w:sz="8" w:space="0" w:color="434343"/>
              <w:bottom w:val="single" w:sz="8" w:space="0" w:color="434343"/>
              <w:right w:val="single" w:sz="8" w:space="0" w:color="434343"/>
            </w:tcBorders>
            <w:vAlign w:val="center"/>
          </w:tcPr>
          <w:p w14:paraId="0FDE009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52C96D6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1.1.1 Abatir la pobreza en todas sus vertientes y desde sus causas</w:t>
            </w:r>
          </w:p>
        </w:tc>
        <w:tc>
          <w:tcPr>
            <w:tcW w:w="762" w:type="pct"/>
            <w:tcBorders>
              <w:top w:val="nil"/>
              <w:left w:val="single" w:sz="8" w:space="0" w:color="434343"/>
              <w:bottom w:val="single" w:sz="8" w:space="0" w:color="434343"/>
              <w:right w:val="single" w:sz="8" w:space="0" w:color="434343"/>
            </w:tcBorders>
            <w:vAlign w:val="center"/>
          </w:tcPr>
          <w:p w14:paraId="1478073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1.1.1.5 Incremento de los niveles de cohesión social de las comunidades</w:t>
            </w:r>
          </w:p>
        </w:tc>
        <w:tc>
          <w:tcPr>
            <w:tcW w:w="736" w:type="pct"/>
            <w:vMerge/>
            <w:tcBorders>
              <w:top w:val="nil"/>
              <w:left w:val="single" w:sz="8" w:space="0" w:color="434343"/>
              <w:bottom w:val="single" w:sz="8" w:space="0" w:color="434343"/>
              <w:right w:val="single" w:sz="8" w:space="0" w:color="434343"/>
            </w:tcBorders>
            <w:vAlign w:val="center"/>
            <w:hideMark/>
          </w:tcPr>
          <w:p w14:paraId="5BBA15FC" w14:textId="77777777" w:rsidR="00794EB9" w:rsidRPr="00794EB9" w:rsidRDefault="00794EB9" w:rsidP="00C307FB">
            <w:pPr>
              <w:rPr>
                <w:rFonts w:ascii="Arial" w:hAnsi="Arial" w:cs="Arial"/>
                <w:b/>
                <w:bCs/>
                <w:sz w:val="22"/>
                <w:szCs w:val="22"/>
                <w:lang w:eastAsia="es-MX"/>
              </w:rPr>
            </w:pPr>
          </w:p>
        </w:tc>
      </w:tr>
      <w:tr w:rsidR="00794EB9" w:rsidRPr="00794EB9" w14:paraId="569029A0"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113A2FB6"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045015C"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251C849"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467D9C9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Establecer mecanismos de colaboración y coordinaci</w:t>
            </w:r>
            <w:r w:rsidRPr="00794EB9">
              <w:rPr>
                <w:rFonts w:ascii="Arial" w:hAnsi="Arial" w:cs="Arial"/>
                <w:sz w:val="22"/>
                <w:szCs w:val="22"/>
                <w:lang w:eastAsia="es-MX"/>
              </w:rPr>
              <w:lastRenderedPageBreak/>
              <w:t>ón con la comunidad educativa y las instancias correspondientes, para contar con trayectos seguros y escuelas libres de vandalismo</w:t>
            </w:r>
          </w:p>
        </w:tc>
        <w:tc>
          <w:tcPr>
            <w:tcW w:w="610" w:type="pct"/>
            <w:tcBorders>
              <w:top w:val="nil"/>
              <w:left w:val="single" w:sz="8" w:space="0" w:color="434343"/>
              <w:bottom w:val="single" w:sz="8" w:space="0" w:color="434343"/>
              <w:right w:val="single" w:sz="8" w:space="0" w:color="434343"/>
            </w:tcBorders>
            <w:vAlign w:val="center"/>
          </w:tcPr>
          <w:p w14:paraId="5BEE4A9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11: Lograr que las ciudades sean </w:t>
            </w:r>
            <w:r w:rsidRPr="00794EB9">
              <w:rPr>
                <w:rFonts w:ascii="Arial" w:hAnsi="Arial" w:cs="Arial"/>
                <w:b/>
                <w:bCs/>
                <w:sz w:val="22"/>
                <w:szCs w:val="22"/>
                <w:lang w:eastAsia="es-MX"/>
              </w:rPr>
              <w:lastRenderedPageBreak/>
              <w:t>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5FB1547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3.2.1 Lograr una administración sostenible </w:t>
            </w:r>
            <w:r w:rsidRPr="00794EB9">
              <w:rPr>
                <w:rFonts w:ascii="Arial" w:hAnsi="Arial" w:cs="Arial"/>
                <w:b/>
                <w:bCs/>
                <w:sz w:val="22"/>
                <w:szCs w:val="22"/>
                <w:lang w:eastAsia="es-MX"/>
              </w:rPr>
              <w:lastRenderedPageBreak/>
              <w:t>del territorio, que impulse el desarrollo de comunidades y ciudades humanas y sostenible</w:t>
            </w:r>
          </w:p>
        </w:tc>
        <w:tc>
          <w:tcPr>
            <w:tcW w:w="762" w:type="pct"/>
            <w:tcBorders>
              <w:top w:val="nil"/>
              <w:left w:val="single" w:sz="8" w:space="0" w:color="434343"/>
              <w:bottom w:val="single" w:sz="8" w:space="0" w:color="434343"/>
              <w:right w:val="single" w:sz="8" w:space="0" w:color="434343"/>
            </w:tcBorders>
            <w:vAlign w:val="center"/>
          </w:tcPr>
          <w:p w14:paraId="3102DEA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3.2.1.3 Promoción del derecho a la ciudad y </w:t>
            </w:r>
            <w:r w:rsidRPr="00794EB9">
              <w:rPr>
                <w:rFonts w:ascii="Arial" w:hAnsi="Arial" w:cs="Arial"/>
                <w:b/>
                <w:bCs/>
                <w:sz w:val="22"/>
                <w:szCs w:val="22"/>
                <w:lang w:eastAsia="es-MX"/>
              </w:rPr>
              <w:lastRenderedPageBreak/>
              <w:t>a la equidad e inclusión en los asentamientos humanos con perspectiva de género</w:t>
            </w:r>
          </w:p>
        </w:tc>
        <w:tc>
          <w:tcPr>
            <w:tcW w:w="736" w:type="pct"/>
            <w:vMerge/>
            <w:tcBorders>
              <w:top w:val="nil"/>
              <w:left w:val="single" w:sz="8" w:space="0" w:color="434343"/>
              <w:bottom w:val="single" w:sz="8" w:space="0" w:color="434343"/>
              <w:right w:val="single" w:sz="8" w:space="0" w:color="434343"/>
            </w:tcBorders>
            <w:vAlign w:val="center"/>
            <w:hideMark/>
          </w:tcPr>
          <w:p w14:paraId="5624A30E" w14:textId="77777777" w:rsidR="00794EB9" w:rsidRPr="00794EB9" w:rsidRDefault="00794EB9" w:rsidP="00C307FB">
            <w:pPr>
              <w:rPr>
                <w:rFonts w:ascii="Arial" w:hAnsi="Arial" w:cs="Arial"/>
                <w:b/>
                <w:bCs/>
                <w:sz w:val="22"/>
                <w:szCs w:val="22"/>
                <w:lang w:eastAsia="es-MX"/>
              </w:rPr>
            </w:pPr>
          </w:p>
        </w:tc>
      </w:tr>
      <w:tr w:rsidR="00794EB9" w:rsidRPr="00794EB9" w14:paraId="4368164D" w14:textId="77777777" w:rsidTr="00C307FB">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399BB4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Tecnología y conectividad digital</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BB2C96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la cobertura de conectividad digital, favoreciendo la tele gestión y una mayor eficiencia de servicios públicos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4E4F47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Conectividad digital y tele gestión de servicios públicos </w:t>
            </w:r>
          </w:p>
        </w:tc>
        <w:tc>
          <w:tcPr>
            <w:tcW w:w="686" w:type="pct"/>
            <w:tcBorders>
              <w:top w:val="nil"/>
              <w:left w:val="nil"/>
              <w:bottom w:val="single" w:sz="8" w:space="0" w:color="434343"/>
              <w:right w:val="single" w:sz="8" w:space="0" w:color="434343"/>
            </w:tcBorders>
            <w:shd w:val="clear" w:color="auto" w:fill="auto"/>
            <w:vAlign w:val="center"/>
            <w:hideMark/>
          </w:tcPr>
          <w:p w14:paraId="1E8466A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la infraestructura para la prestación y optimización de servicios públicos por medio la tele gestión</w:t>
            </w:r>
          </w:p>
        </w:tc>
        <w:tc>
          <w:tcPr>
            <w:tcW w:w="610" w:type="pct"/>
            <w:tcBorders>
              <w:top w:val="nil"/>
              <w:left w:val="single" w:sz="8" w:space="0" w:color="434343"/>
              <w:bottom w:val="single" w:sz="8" w:space="0" w:color="434343"/>
              <w:right w:val="single" w:sz="8" w:space="0" w:color="434343"/>
            </w:tcBorders>
            <w:vAlign w:val="center"/>
          </w:tcPr>
          <w:p w14:paraId="58630F8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6B5869D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4.2.2 Incrementar la efectividad del sistema de justicia penal</w:t>
            </w:r>
          </w:p>
        </w:tc>
        <w:tc>
          <w:tcPr>
            <w:tcW w:w="762" w:type="pct"/>
            <w:tcBorders>
              <w:top w:val="nil"/>
              <w:left w:val="single" w:sz="8" w:space="0" w:color="434343"/>
              <w:bottom w:val="single" w:sz="8" w:space="0" w:color="434343"/>
              <w:right w:val="single" w:sz="8" w:space="0" w:color="434343"/>
            </w:tcBorders>
            <w:vAlign w:val="center"/>
          </w:tcPr>
          <w:p w14:paraId="39E234B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4.2.2.2 Fortalecimiento de la infraestructura, el equipo tecnológico y los recursos de las instituciones encargadas de operar el sistema de justicia penal</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60D9DB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3.3 Tolerancia Cero</w:t>
            </w:r>
          </w:p>
        </w:tc>
      </w:tr>
      <w:tr w:rsidR="00794EB9" w:rsidRPr="00794EB9" w14:paraId="34C313DF"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0B2C50E2"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3E279776"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FEA6DE6"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2F86D6D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Desarrollar e implementar programas de inteligencia artificial y ciencia </w:t>
            </w:r>
            <w:r w:rsidRPr="00794EB9">
              <w:rPr>
                <w:rFonts w:ascii="Arial" w:hAnsi="Arial" w:cs="Arial"/>
                <w:sz w:val="22"/>
                <w:szCs w:val="22"/>
                <w:lang w:eastAsia="es-MX"/>
              </w:rPr>
              <w:lastRenderedPageBreak/>
              <w:t>de datos con alianzas nacionales e internacionales para la mejora en la prestación de servicios públicos</w:t>
            </w:r>
          </w:p>
        </w:tc>
        <w:tc>
          <w:tcPr>
            <w:tcW w:w="610" w:type="pct"/>
            <w:tcBorders>
              <w:top w:val="nil"/>
              <w:left w:val="single" w:sz="8" w:space="0" w:color="434343"/>
              <w:bottom w:val="single" w:sz="8" w:space="0" w:color="434343"/>
              <w:right w:val="single" w:sz="8" w:space="0" w:color="434343"/>
            </w:tcBorders>
            <w:vAlign w:val="center"/>
          </w:tcPr>
          <w:p w14:paraId="62ECB81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9: Construir infraestructuras resilientes, promove</w:t>
            </w:r>
            <w:r w:rsidRPr="00794EB9">
              <w:rPr>
                <w:rFonts w:ascii="Arial" w:hAnsi="Arial" w:cs="Arial"/>
                <w:b/>
                <w:bCs/>
                <w:sz w:val="22"/>
                <w:szCs w:val="22"/>
                <w:lang w:eastAsia="es-MX"/>
              </w:rPr>
              <w:lastRenderedPageBreak/>
              <w:t>r la industrialización sostenible y fomentar la innovación</w:t>
            </w:r>
          </w:p>
        </w:tc>
        <w:tc>
          <w:tcPr>
            <w:tcW w:w="837" w:type="pct"/>
            <w:tcBorders>
              <w:top w:val="nil"/>
              <w:left w:val="single" w:sz="8" w:space="0" w:color="434343"/>
              <w:bottom w:val="single" w:sz="8" w:space="0" w:color="434343"/>
              <w:right w:val="single" w:sz="8" w:space="0" w:color="434343"/>
            </w:tcBorders>
            <w:vAlign w:val="center"/>
          </w:tcPr>
          <w:p w14:paraId="2E6031B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4.1.1 Incrementar la eficiencia y la eficacia del sector público estatal,</w:t>
            </w:r>
          </w:p>
          <w:p w14:paraId="3B5FF2A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con el involucramiento corresponsable de la sociedad</w:t>
            </w:r>
          </w:p>
        </w:tc>
        <w:tc>
          <w:tcPr>
            <w:tcW w:w="762" w:type="pct"/>
            <w:tcBorders>
              <w:top w:val="nil"/>
              <w:left w:val="single" w:sz="8" w:space="0" w:color="434343"/>
              <w:bottom w:val="single" w:sz="8" w:space="0" w:color="434343"/>
              <w:right w:val="single" w:sz="8" w:space="0" w:color="434343"/>
            </w:tcBorders>
            <w:vAlign w:val="center"/>
          </w:tcPr>
          <w:p w14:paraId="6AECBAD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4.1.1.6 Mejora de los procesos gubernamentales mediante la </w:t>
            </w:r>
            <w:r w:rsidRPr="00794EB9">
              <w:rPr>
                <w:rFonts w:ascii="Arial" w:hAnsi="Arial" w:cs="Arial"/>
                <w:b/>
                <w:bCs/>
                <w:sz w:val="22"/>
                <w:szCs w:val="22"/>
                <w:lang w:eastAsia="es-MX"/>
              </w:rPr>
              <w:lastRenderedPageBreak/>
              <w:t>desregulación y el aprovechamiento de las tecnologías de información y comunicación, para que la ciudadanía cuente con servicios más accesibles, ágiles y efectivos</w:t>
            </w:r>
          </w:p>
        </w:tc>
        <w:tc>
          <w:tcPr>
            <w:tcW w:w="736" w:type="pct"/>
            <w:vMerge/>
            <w:tcBorders>
              <w:top w:val="nil"/>
              <w:left w:val="single" w:sz="8" w:space="0" w:color="434343"/>
              <w:bottom w:val="single" w:sz="8" w:space="0" w:color="434343"/>
              <w:right w:val="single" w:sz="8" w:space="0" w:color="434343"/>
            </w:tcBorders>
            <w:vAlign w:val="center"/>
            <w:hideMark/>
          </w:tcPr>
          <w:p w14:paraId="16C8E9EE" w14:textId="77777777" w:rsidR="00794EB9" w:rsidRPr="00794EB9" w:rsidRDefault="00794EB9" w:rsidP="00C307FB">
            <w:pPr>
              <w:rPr>
                <w:rFonts w:ascii="Arial" w:hAnsi="Arial" w:cs="Arial"/>
                <w:b/>
                <w:bCs/>
                <w:sz w:val="22"/>
                <w:szCs w:val="22"/>
                <w:lang w:eastAsia="es-MX"/>
              </w:rPr>
            </w:pPr>
          </w:p>
        </w:tc>
      </w:tr>
      <w:tr w:rsidR="00794EB9" w:rsidRPr="00794EB9" w14:paraId="383C4D1F"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3ADE25A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541" w:type="pct"/>
            <w:tcBorders>
              <w:top w:val="nil"/>
              <w:left w:val="nil"/>
              <w:bottom w:val="single" w:sz="8" w:space="0" w:color="434343"/>
              <w:right w:val="single" w:sz="8" w:space="0" w:color="434343"/>
            </w:tcBorders>
            <w:shd w:val="clear" w:color="auto" w:fill="auto"/>
            <w:vAlign w:val="center"/>
            <w:hideMark/>
          </w:tcPr>
          <w:p w14:paraId="7756869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459" w:type="pct"/>
            <w:tcBorders>
              <w:top w:val="nil"/>
              <w:left w:val="nil"/>
              <w:bottom w:val="single" w:sz="8" w:space="0" w:color="434343"/>
              <w:right w:val="single" w:sz="8" w:space="0" w:color="434343"/>
            </w:tcBorders>
            <w:shd w:val="clear" w:color="auto" w:fill="auto"/>
            <w:vAlign w:val="center"/>
            <w:hideMark/>
          </w:tcPr>
          <w:p w14:paraId="4D76981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686" w:type="pct"/>
            <w:tcBorders>
              <w:top w:val="nil"/>
              <w:left w:val="nil"/>
              <w:bottom w:val="single" w:sz="8" w:space="0" w:color="434343"/>
              <w:right w:val="single" w:sz="8" w:space="0" w:color="434343"/>
            </w:tcBorders>
            <w:shd w:val="clear" w:color="auto" w:fill="auto"/>
            <w:vAlign w:val="center"/>
            <w:hideMark/>
          </w:tcPr>
          <w:p w14:paraId="59B6662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programas de organización comunitaria y cultura cívica para el desarrollo local y el fortalecimiento del núcleo familiar</w:t>
            </w:r>
          </w:p>
        </w:tc>
        <w:tc>
          <w:tcPr>
            <w:tcW w:w="610" w:type="pct"/>
            <w:tcBorders>
              <w:top w:val="nil"/>
              <w:left w:val="single" w:sz="8" w:space="0" w:color="434343"/>
              <w:bottom w:val="single" w:sz="8" w:space="0" w:color="434343"/>
              <w:right w:val="single" w:sz="8" w:space="0" w:color="434343"/>
            </w:tcBorders>
            <w:vAlign w:val="center"/>
          </w:tcPr>
          <w:p w14:paraId="457ABDC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10CFC86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1.1.1 Abatir la pobreza en todas sus vertientes y desde sus causas</w:t>
            </w:r>
          </w:p>
        </w:tc>
        <w:tc>
          <w:tcPr>
            <w:tcW w:w="762" w:type="pct"/>
            <w:tcBorders>
              <w:top w:val="nil"/>
              <w:left w:val="single" w:sz="8" w:space="0" w:color="434343"/>
              <w:bottom w:val="single" w:sz="8" w:space="0" w:color="434343"/>
              <w:right w:val="single" w:sz="8" w:space="0" w:color="434343"/>
            </w:tcBorders>
            <w:vAlign w:val="center"/>
          </w:tcPr>
          <w:p w14:paraId="0E46C42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1.1.1.5 Incremento de los niveles de cohesión social de las comunidades</w:t>
            </w:r>
          </w:p>
        </w:tc>
        <w:tc>
          <w:tcPr>
            <w:tcW w:w="736" w:type="pct"/>
            <w:vMerge/>
            <w:tcBorders>
              <w:top w:val="nil"/>
              <w:left w:val="single" w:sz="8" w:space="0" w:color="434343"/>
              <w:bottom w:val="single" w:sz="8" w:space="0" w:color="434343"/>
              <w:right w:val="single" w:sz="8" w:space="0" w:color="434343"/>
            </w:tcBorders>
            <w:vAlign w:val="center"/>
            <w:hideMark/>
          </w:tcPr>
          <w:p w14:paraId="4BDEAA69" w14:textId="77777777" w:rsidR="00794EB9" w:rsidRPr="00794EB9" w:rsidRDefault="00794EB9" w:rsidP="00C307FB">
            <w:pPr>
              <w:rPr>
                <w:rFonts w:ascii="Arial" w:hAnsi="Arial" w:cs="Arial"/>
                <w:b/>
                <w:bCs/>
                <w:sz w:val="22"/>
                <w:szCs w:val="22"/>
                <w:lang w:eastAsia="es-MX"/>
              </w:rPr>
            </w:pPr>
          </w:p>
        </w:tc>
      </w:tr>
      <w:tr w:rsidR="00794EB9" w:rsidRPr="00794EB9" w14:paraId="0928282E"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7C6762F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254CB39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0A92662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2D648AE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nil"/>
            </w:tcBorders>
            <w:shd w:val="clear" w:color="auto" w:fill="D9D9D9" w:themeFill="background1" w:themeFillShade="D9"/>
            <w:vAlign w:val="center"/>
          </w:tcPr>
          <w:p w14:paraId="053293DF" w14:textId="77777777" w:rsidR="00794EB9" w:rsidRPr="00794EB9" w:rsidRDefault="00794EB9" w:rsidP="00C307FB">
            <w:pPr>
              <w:rPr>
                <w:rFonts w:ascii="Arial" w:hAnsi="Arial" w:cs="Arial"/>
                <w:b/>
                <w:bCs/>
                <w:sz w:val="22"/>
                <w:szCs w:val="22"/>
                <w:lang w:eastAsia="es-MX"/>
              </w:rPr>
            </w:pPr>
          </w:p>
        </w:tc>
        <w:tc>
          <w:tcPr>
            <w:tcW w:w="837" w:type="pct"/>
            <w:tcBorders>
              <w:top w:val="nil"/>
              <w:left w:val="nil"/>
              <w:bottom w:val="single" w:sz="8" w:space="0" w:color="434343"/>
              <w:right w:val="nil"/>
            </w:tcBorders>
            <w:shd w:val="clear" w:color="auto" w:fill="D9D9D9" w:themeFill="background1" w:themeFillShade="D9"/>
            <w:vAlign w:val="center"/>
          </w:tcPr>
          <w:p w14:paraId="005F8976" w14:textId="77777777" w:rsidR="00794EB9" w:rsidRPr="00794EB9" w:rsidRDefault="00794EB9" w:rsidP="00C307FB">
            <w:pPr>
              <w:rPr>
                <w:rFonts w:ascii="Arial" w:hAnsi="Arial" w:cs="Arial"/>
                <w:b/>
                <w:bCs/>
                <w:sz w:val="22"/>
                <w:szCs w:val="22"/>
                <w:lang w:eastAsia="es-MX"/>
              </w:rPr>
            </w:pPr>
          </w:p>
        </w:tc>
        <w:tc>
          <w:tcPr>
            <w:tcW w:w="762" w:type="pct"/>
            <w:tcBorders>
              <w:top w:val="nil"/>
              <w:left w:val="nil"/>
              <w:bottom w:val="single" w:sz="8" w:space="0" w:color="434343"/>
              <w:right w:val="nil"/>
            </w:tcBorders>
            <w:shd w:val="clear" w:color="auto" w:fill="D9D9D9" w:themeFill="background1" w:themeFillShade="D9"/>
            <w:vAlign w:val="center"/>
          </w:tcPr>
          <w:p w14:paraId="6C29373A" w14:textId="77777777" w:rsidR="00794EB9" w:rsidRPr="00794EB9" w:rsidRDefault="00794EB9" w:rsidP="00C307FB">
            <w:pPr>
              <w:rPr>
                <w:rFonts w:ascii="Arial" w:hAnsi="Arial" w:cs="Arial"/>
                <w:b/>
                <w:bCs/>
                <w:sz w:val="22"/>
                <w:szCs w:val="22"/>
                <w:lang w:eastAsia="es-MX"/>
              </w:rPr>
            </w:pPr>
          </w:p>
        </w:tc>
        <w:tc>
          <w:tcPr>
            <w:tcW w:w="73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0438913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VT4. León Ciudad Emoción</w:t>
            </w:r>
          </w:p>
        </w:tc>
      </w:tr>
      <w:tr w:rsidR="00794EB9" w:rsidRPr="00794EB9" w14:paraId="40FA34E5"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49A127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Modelo urbano integrador</w:t>
            </w:r>
          </w:p>
        </w:tc>
        <w:tc>
          <w:tcPr>
            <w:tcW w:w="541" w:type="pct"/>
            <w:tcBorders>
              <w:top w:val="nil"/>
              <w:left w:val="nil"/>
              <w:bottom w:val="single" w:sz="8" w:space="0" w:color="434343"/>
              <w:right w:val="single" w:sz="8" w:space="0" w:color="434343"/>
            </w:tcBorders>
            <w:shd w:val="clear" w:color="auto" w:fill="auto"/>
            <w:vAlign w:val="center"/>
            <w:hideMark/>
          </w:tcPr>
          <w:p w14:paraId="05C39AC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Lograr una ciudad incluyente, accesible, consolidada y densificada con procesos de regeneración, ordenamiento e integración entre los sistemas de movilidad e infraestructura verde </w:t>
            </w:r>
          </w:p>
        </w:tc>
        <w:tc>
          <w:tcPr>
            <w:tcW w:w="459" w:type="pct"/>
            <w:tcBorders>
              <w:top w:val="nil"/>
              <w:left w:val="nil"/>
              <w:bottom w:val="single" w:sz="8" w:space="0" w:color="434343"/>
              <w:right w:val="single" w:sz="8" w:space="0" w:color="434343"/>
            </w:tcBorders>
            <w:shd w:val="clear" w:color="auto" w:fill="auto"/>
            <w:vAlign w:val="center"/>
            <w:hideMark/>
          </w:tcPr>
          <w:p w14:paraId="3C15909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Densificación y consolidación urbana</w:t>
            </w:r>
            <w:r w:rsidRPr="00794EB9">
              <w:rPr>
                <w:rFonts w:ascii="Arial" w:hAnsi="Arial" w:cs="Arial"/>
                <w:sz w:val="22"/>
                <w:szCs w:val="22"/>
                <w:lang w:eastAsia="es-MX"/>
              </w:rPr>
              <w:br/>
              <w:t xml:space="preserve"> </w:t>
            </w:r>
          </w:p>
        </w:tc>
        <w:tc>
          <w:tcPr>
            <w:tcW w:w="686" w:type="pct"/>
            <w:tcBorders>
              <w:top w:val="nil"/>
              <w:left w:val="nil"/>
              <w:bottom w:val="single" w:sz="8" w:space="0" w:color="434343"/>
              <w:right w:val="single" w:sz="8" w:space="0" w:color="434343"/>
            </w:tcBorders>
            <w:shd w:val="clear" w:color="auto" w:fill="auto"/>
            <w:vAlign w:val="center"/>
            <w:hideMark/>
          </w:tcPr>
          <w:p w14:paraId="2258076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Regenerar y reactivar turística y económicamente el Distrito F, correspondiente a la Ciudad Histórica </w:t>
            </w:r>
          </w:p>
        </w:tc>
        <w:tc>
          <w:tcPr>
            <w:tcW w:w="610" w:type="pct"/>
            <w:tcBorders>
              <w:top w:val="nil"/>
              <w:left w:val="single" w:sz="8" w:space="0" w:color="434343"/>
              <w:bottom w:val="single" w:sz="8" w:space="0" w:color="434343"/>
              <w:right w:val="single" w:sz="8" w:space="0" w:color="434343"/>
            </w:tcBorders>
            <w:vAlign w:val="center"/>
          </w:tcPr>
          <w:p w14:paraId="2621F15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7F352D8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w:t>
            </w:r>
          </w:p>
          <w:p w14:paraId="3621D0A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4A4F049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3.2.1.5 Difusión y protección del patrimonio cultural, urbano y arquitectónico con enfoque incluyente</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46EFD5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VT.4.1 Patrimonio Cultural e Identidad Leonesa </w:t>
            </w:r>
          </w:p>
        </w:tc>
      </w:tr>
      <w:tr w:rsidR="00794EB9" w:rsidRPr="00794EB9" w14:paraId="7775E606" w14:textId="77777777" w:rsidTr="00C307FB">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9CC0EC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460D7F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Ampliar la oferta de sitios y opciones de recreación y esparcimiento, con </w:t>
            </w:r>
            <w:r w:rsidRPr="00794EB9">
              <w:rPr>
                <w:rFonts w:ascii="Arial" w:hAnsi="Arial" w:cs="Arial"/>
                <w:sz w:val="22"/>
                <w:szCs w:val="22"/>
                <w:lang w:eastAsia="es-MX"/>
              </w:rPr>
              <w:lastRenderedPageBreak/>
              <w:t>altos estándares de calidad, que sean accesibles para las y los leoneses y visitantes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24A047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Promoción de la cultura y la identidad leonesa. </w:t>
            </w:r>
          </w:p>
        </w:tc>
        <w:tc>
          <w:tcPr>
            <w:tcW w:w="686" w:type="pct"/>
            <w:tcBorders>
              <w:top w:val="nil"/>
              <w:left w:val="nil"/>
              <w:bottom w:val="single" w:sz="8" w:space="0" w:color="434343"/>
              <w:right w:val="single" w:sz="8" w:space="0" w:color="434343"/>
            </w:tcBorders>
            <w:shd w:val="clear" w:color="auto" w:fill="auto"/>
            <w:vAlign w:val="center"/>
            <w:hideMark/>
          </w:tcPr>
          <w:p w14:paraId="3C9AD62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Restaurar, regenerar y reactivar los atractivos naturales, así como el patrimonio histórico y cultural </w:t>
            </w:r>
          </w:p>
        </w:tc>
        <w:tc>
          <w:tcPr>
            <w:tcW w:w="610" w:type="pct"/>
            <w:tcBorders>
              <w:top w:val="nil"/>
              <w:left w:val="single" w:sz="8" w:space="0" w:color="434343"/>
              <w:bottom w:val="single" w:sz="8" w:space="0" w:color="434343"/>
              <w:right w:val="single" w:sz="8" w:space="0" w:color="434343"/>
            </w:tcBorders>
            <w:vAlign w:val="center"/>
          </w:tcPr>
          <w:p w14:paraId="1B16462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w:t>
            </w:r>
            <w:r w:rsidRPr="00794EB9">
              <w:rPr>
                <w:rFonts w:ascii="Arial" w:hAnsi="Arial" w:cs="Arial"/>
                <w:b/>
                <w:bCs/>
                <w:sz w:val="22"/>
                <w:szCs w:val="22"/>
                <w:lang w:eastAsia="es-MX"/>
              </w:rPr>
              <w:lastRenderedPageBreak/>
              <w:t>es y sostenibles</w:t>
            </w:r>
          </w:p>
        </w:tc>
        <w:tc>
          <w:tcPr>
            <w:tcW w:w="837" w:type="pct"/>
            <w:tcBorders>
              <w:top w:val="nil"/>
              <w:left w:val="single" w:sz="8" w:space="0" w:color="434343"/>
              <w:bottom w:val="single" w:sz="8" w:space="0" w:color="434343"/>
              <w:right w:val="single" w:sz="8" w:space="0" w:color="434343"/>
            </w:tcBorders>
            <w:vAlign w:val="center"/>
          </w:tcPr>
          <w:p w14:paraId="408CF6B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3.2.1 Lograr una administración sostenible del territorio, que impulse el</w:t>
            </w:r>
          </w:p>
          <w:p w14:paraId="7AE0BF8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1B21DA4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3.2.1.5 Difusión y protección del patrimonio cultural, urbano y arquitectónico con </w:t>
            </w:r>
            <w:r w:rsidRPr="00794EB9">
              <w:rPr>
                <w:rFonts w:ascii="Arial" w:hAnsi="Arial" w:cs="Arial"/>
                <w:b/>
                <w:bCs/>
                <w:sz w:val="22"/>
                <w:szCs w:val="22"/>
                <w:lang w:eastAsia="es-MX"/>
              </w:rPr>
              <w:lastRenderedPageBreak/>
              <w:t>enfoque incluyente</w:t>
            </w:r>
          </w:p>
        </w:tc>
        <w:tc>
          <w:tcPr>
            <w:tcW w:w="736" w:type="pct"/>
            <w:vMerge/>
            <w:tcBorders>
              <w:top w:val="nil"/>
              <w:left w:val="single" w:sz="8" w:space="0" w:color="434343"/>
              <w:bottom w:val="single" w:sz="8" w:space="0" w:color="434343"/>
              <w:right w:val="single" w:sz="8" w:space="0" w:color="434343"/>
            </w:tcBorders>
            <w:vAlign w:val="center"/>
            <w:hideMark/>
          </w:tcPr>
          <w:p w14:paraId="7CC04722" w14:textId="77777777" w:rsidR="00794EB9" w:rsidRPr="00794EB9" w:rsidRDefault="00794EB9" w:rsidP="00C307FB">
            <w:pPr>
              <w:rPr>
                <w:rFonts w:ascii="Arial" w:hAnsi="Arial" w:cs="Arial"/>
                <w:b/>
                <w:bCs/>
                <w:sz w:val="22"/>
                <w:szCs w:val="22"/>
                <w:lang w:eastAsia="es-MX"/>
              </w:rPr>
            </w:pPr>
          </w:p>
        </w:tc>
      </w:tr>
      <w:tr w:rsidR="00794EB9" w:rsidRPr="00794EB9" w14:paraId="11C740D0"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01066BFF"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E69B3D5"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6824D3EF"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67E3703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Conservar y mantener y ampliar la infraestructura cultural del municipio</w:t>
            </w:r>
          </w:p>
        </w:tc>
        <w:tc>
          <w:tcPr>
            <w:tcW w:w="610" w:type="pct"/>
            <w:tcBorders>
              <w:top w:val="nil"/>
              <w:left w:val="single" w:sz="8" w:space="0" w:color="434343"/>
              <w:bottom w:val="single" w:sz="8" w:space="0" w:color="434343"/>
              <w:right w:val="single" w:sz="8" w:space="0" w:color="434343"/>
            </w:tcBorders>
            <w:vAlign w:val="center"/>
          </w:tcPr>
          <w:p w14:paraId="1B5583A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3AA8F0B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w:t>
            </w:r>
          </w:p>
          <w:p w14:paraId="7E2876A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715C9F0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3.2.1.5 Difusión y protección del patrimonio cultural, urbano y arquitectónico con enfoque incluyente</w:t>
            </w:r>
          </w:p>
        </w:tc>
        <w:tc>
          <w:tcPr>
            <w:tcW w:w="736" w:type="pct"/>
            <w:vMerge/>
            <w:tcBorders>
              <w:top w:val="nil"/>
              <w:left w:val="single" w:sz="8" w:space="0" w:color="434343"/>
              <w:bottom w:val="single" w:sz="8" w:space="0" w:color="434343"/>
              <w:right w:val="single" w:sz="8" w:space="0" w:color="434343"/>
            </w:tcBorders>
            <w:vAlign w:val="center"/>
            <w:hideMark/>
          </w:tcPr>
          <w:p w14:paraId="094E094B" w14:textId="77777777" w:rsidR="00794EB9" w:rsidRPr="00794EB9" w:rsidRDefault="00794EB9" w:rsidP="00C307FB">
            <w:pPr>
              <w:rPr>
                <w:rFonts w:ascii="Arial" w:hAnsi="Arial" w:cs="Arial"/>
                <w:b/>
                <w:bCs/>
                <w:sz w:val="22"/>
                <w:szCs w:val="22"/>
                <w:lang w:eastAsia="es-MX"/>
              </w:rPr>
            </w:pPr>
          </w:p>
        </w:tc>
      </w:tr>
      <w:tr w:rsidR="00794EB9" w:rsidRPr="00794EB9" w14:paraId="18550843"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40E38B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Estilos de vida saludable </w:t>
            </w:r>
          </w:p>
        </w:tc>
        <w:tc>
          <w:tcPr>
            <w:tcW w:w="541" w:type="pct"/>
            <w:tcBorders>
              <w:top w:val="nil"/>
              <w:left w:val="nil"/>
              <w:bottom w:val="single" w:sz="8" w:space="0" w:color="434343"/>
              <w:right w:val="single" w:sz="8" w:space="0" w:color="434343"/>
            </w:tcBorders>
            <w:shd w:val="clear" w:color="auto" w:fill="auto"/>
            <w:vAlign w:val="center"/>
            <w:hideMark/>
          </w:tcPr>
          <w:p w14:paraId="50A387F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Consolidar una cultura de prevención, auto cuidado y hábitos saludables para la reducción de enfermedades crónico-degenerativas y </w:t>
            </w:r>
            <w:r w:rsidRPr="00794EB9">
              <w:rPr>
                <w:rFonts w:ascii="Arial" w:hAnsi="Arial" w:cs="Arial"/>
                <w:sz w:val="22"/>
                <w:szCs w:val="22"/>
                <w:lang w:eastAsia="es-MX"/>
              </w:rPr>
              <w:lastRenderedPageBreak/>
              <w:t>psicosociales</w:t>
            </w:r>
          </w:p>
        </w:tc>
        <w:tc>
          <w:tcPr>
            <w:tcW w:w="459" w:type="pct"/>
            <w:tcBorders>
              <w:top w:val="nil"/>
              <w:left w:val="nil"/>
              <w:bottom w:val="single" w:sz="8" w:space="0" w:color="434343"/>
              <w:right w:val="single" w:sz="8" w:space="0" w:color="434343"/>
            </w:tcBorders>
            <w:shd w:val="clear" w:color="auto" w:fill="auto"/>
            <w:vAlign w:val="center"/>
            <w:hideMark/>
          </w:tcPr>
          <w:p w14:paraId="2CA32E3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Cultura de prevención, autocuidado y atención de la salud</w:t>
            </w:r>
          </w:p>
        </w:tc>
        <w:tc>
          <w:tcPr>
            <w:tcW w:w="686" w:type="pct"/>
            <w:tcBorders>
              <w:top w:val="nil"/>
              <w:left w:val="nil"/>
              <w:bottom w:val="single" w:sz="8" w:space="0" w:color="434343"/>
              <w:right w:val="single" w:sz="8" w:space="0" w:color="434343"/>
            </w:tcBorders>
            <w:shd w:val="clear" w:color="auto" w:fill="auto"/>
            <w:vAlign w:val="center"/>
            <w:hideMark/>
          </w:tcPr>
          <w:p w14:paraId="0B311C5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programas de cultura física y deporte en escuelas, centros de capacitación y sitios laborales</w:t>
            </w:r>
          </w:p>
        </w:tc>
        <w:tc>
          <w:tcPr>
            <w:tcW w:w="610" w:type="pct"/>
            <w:tcBorders>
              <w:top w:val="nil"/>
              <w:left w:val="single" w:sz="8" w:space="0" w:color="434343"/>
              <w:bottom w:val="single" w:sz="8" w:space="0" w:color="434343"/>
              <w:right w:val="single" w:sz="8" w:space="0" w:color="434343"/>
            </w:tcBorders>
            <w:vAlign w:val="center"/>
          </w:tcPr>
          <w:p w14:paraId="76193B6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Objetivo 4: Garantizar una educación inclusiva, equitativa y de calidad y promover oportunidades de aprendizaje durante toda la </w:t>
            </w:r>
            <w:r w:rsidRPr="00794EB9">
              <w:rPr>
                <w:rFonts w:ascii="Arial" w:hAnsi="Arial" w:cs="Arial"/>
                <w:b/>
                <w:bCs/>
                <w:sz w:val="22"/>
                <w:szCs w:val="22"/>
                <w:lang w:eastAsia="es-MX"/>
              </w:rPr>
              <w:lastRenderedPageBreak/>
              <w:t>vida para todos</w:t>
            </w:r>
          </w:p>
        </w:tc>
        <w:tc>
          <w:tcPr>
            <w:tcW w:w="837" w:type="pct"/>
            <w:tcBorders>
              <w:top w:val="nil"/>
              <w:left w:val="single" w:sz="8" w:space="0" w:color="434343"/>
              <w:bottom w:val="single" w:sz="8" w:space="0" w:color="434343"/>
              <w:right w:val="single" w:sz="8" w:space="0" w:color="434343"/>
            </w:tcBorders>
            <w:vAlign w:val="center"/>
          </w:tcPr>
          <w:p w14:paraId="4109AE2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1.2.3 Potenciar a la cultura y al deporte como elementos del desarrollo integral de las personas y las comunidades</w:t>
            </w:r>
          </w:p>
        </w:tc>
        <w:tc>
          <w:tcPr>
            <w:tcW w:w="762" w:type="pct"/>
            <w:tcBorders>
              <w:top w:val="nil"/>
              <w:left w:val="single" w:sz="8" w:space="0" w:color="434343"/>
              <w:bottom w:val="single" w:sz="8" w:space="0" w:color="434343"/>
              <w:right w:val="single" w:sz="8" w:space="0" w:color="434343"/>
            </w:tcBorders>
            <w:vAlign w:val="center"/>
          </w:tcPr>
          <w:p w14:paraId="2B6BA54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1.2.3.4 Promoción de la cultura física en todos los sectores de la población, para fomentar un estilo de vida saludable.</w:t>
            </w:r>
          </w:p>
        </w:tc>
        <w:tc>
          <w:tcPr>
            <w:tcW w:w="736" w:type="pct"/>
            <w:vMerge/>
            <w:tcBorders>
              <w:top w:val="nil"/>
              <w:left w:val="single" w:sz="8" w:space="0" w:color="434343"/>
              <w:bottom w:val="single" w:sz="8" w:space="0" w:color="434343"/>
              <w:right w:val="single" w:sz="8" w:space="0" w:color="434343"/>
            </w:tcBorders>
            <w:vAlign w:val="center"/>
            <w:hideMark/>
          </w:tcPr>
          <w:p w14:paraId="5BB05FB8" w14:textId="77777777" w:rsidR="00794EB9" w:rsidRPr="00794EB9" w:rsidRDefault="00794EB9" w:rsidP="00C307FB">
            <w:pPr>
              <w:rPr>
                <w:rFonts w:ascii="Arial" w:hAnsi="Arial" w:cs="Arial"/>
                <w:b/>
                <w:bCs/>
                <w:sz w:val="22"/>
                <w:szCs w:val="22"/>
                <w:lang w:eastAsia="es-MX"/>
              </w:rPr>
            </w:pPr>
          </w:p>
        </w:tc>
      </w:tr>
      <w:tr w:rsidR="00794EB9" w:rsidRPr="00794EB9" w14:paraId="764A410F" w14:textId="77777777" w:rsidTr="00C307FB">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12AB3D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E419C6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esparcimiento, con altos estándares de calidad, que sean accesibles para las y los leoneses y visitantes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61A648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Promoción de la cultura y la identidad leonesa</w:t>
            </w:r>
          </w:p>
        </w:tc>
        <w:tc>
          <w:tcPr>
            <w:tcW w:w="686" w:type="pct"/>
            <w:tcBorders>
              <w:top w:val="nil"/>
              <w:left w:val="nil"/>
              <w:bottom w:val="single" w:sz="8" w:space="0" w:color="434343"/>
              <w:right w:val="single" w:sz="8" w:space="0" w:color="434343"/>
            </w:tcBorders>
            <w:shd w:val="clear" w:color="auto" w:fill="auto"/>
            <w:vAlign w:val="center"/>
            <w:hideMark/>
          </w:tcPr>
          <w:p w14:paraId="5D8F569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Desarrollar actividades culturales que sean accesibles para la población en zonas vulnerables y propiciar las visitas y apropiación de los espacios y recintos emblemáticos de la ciudad</w:t>
            </w:r>
          </w:p>
        </w:tc>
        <w:tc>
          <w:tcPr>
            <w:tcW w:w="610" w:type="pct"/>
            <w:tcBorders>
              <w:top w:val="nil"/>
              <w:left w:val="single" w:sz="8" w:space="0" w:color="434343"/>
              <w:bottom w:val="single" w:sz="8" w:space="0" w:color="434343"/>
              <w:right w:val="single" w:sz="8" w:space="0" w:color="434343"/>
            </w:tcBorders>
            <w:vAlign w:val="center"/>
          </w:tcPr>
          <w:p w14:paraId="5EFA175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3B5DD2F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1.2.3 Potenciar a la cultura y al deporte como elementos del desarrollo integral de las personas y las comunidades</w:t>
            </w:r>
          </w:p>
        </w:tc>
        <w:tc>
          <w:tcPr>
            <w:tcW w:w="762" w:type="pct"/>
            <w:tcBorders>
              <w:top w:val="nil"/>
              <w:left w:val="single" w:sz="8" w:space="0" w:color="434343"/>
              <w:bottom w:val="single" w:sz="8" w:space="0" w:color="434343"/>
              <w:right w:val="single" w:sz="8" w:space="0" w:color="434343"/>
            </w:tcBorders>
            <w:vAlign w:val="center"/>
          </w:tcPr>
          <w:p w14:paraId="1974668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1.2.3.2 Incremento de alternativas y espacios para la recreación cultural</w:t>
            </w:r>
          </w:p>
        </w:tc>
        <w:tc>
          <w:tcPr>
            <w:tcW w:w="736" w:type="pct"/>
            <w:vMerge/>
            <w:tcBorders>
              <w:top w:val="nil"/>
              <w:left w:val="single" w:sz="8" w:space="0" w:color="434343"/>
              <w:bottom w:val="single" w:sz="8" w:space="0" w:color="434343"/>
              <w:right w:val="single" w:sz="8" w:space="0" w:color="434343"/>
            </w:tcBorders>
            <w:vAlign w:val="center"/>
            <w:hideMark/>
          </w:tcPr>
          <w:p w14:paraId="218E972C" w14:textId="77777777" w:rsidR="00794EB9" w:rsidRPr="00794EB9" w:rsidRDefault="00794EB9" w:rsidP="00C307FB">
            <w:pPr>
              <w:rPr>
                <w:rFonts w:ascii="Arial" w:hAnsi="Arial" w:cs="Arial"/>
                <w:b/>
                <w:bCs/>
                <w:sz w:val="22"/>
                <w:szCs w:val="22"/>
                <w:lang w:eastAsia="es-MX"/>
              </w:rPr>
            </w:pPr>
          </w:p>
        </w:tc>
      </w:tr>
      <w:tr w:rsidR="00794EB9" w:rsidRPr="00794EB9" w14:paraId="41976610"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19AEC0A2"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020B4C8"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61C443C1" w14:textId="77777777" w:rsidR="00794EB9" w:rsidRPr="00794EB9" w:rsidRDefault="00794EB9" w:rsidP="00C307FB">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16840E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Promover el arraigo y la identidad local con la generación de circuitos y recorridos culturales que articulen sitios y espacios públicos del municipio </w:t>
            </w:r>
            <w:r w:rsidRPr="00794EB9">
              <w:rPr>
                <w:rFonts w:ascii="Arial" w:hAnsi="Arial" w:cs="Arial"/>
                <w:sz w:val="22"/>
                <w:szCs w:val="22"/>
                <w:lang w:eastAsia="es-MX"/>
              </w:rPr>
              <w:lastRenderedPageBreak/>
              <w:t>y que incentiven el turismo local</w:t>
            </w:r>
          </w:p>
        </w:tc>
        <w:tc>
          <w:tcPr>
            <w:tcW w:w="610" w:type="pct"/>
            <w:vMerge w:val="restart"/>
            <w:tcBorders>
              <w:top w:val="nil"/>
              <w:left w:val="single" w:sz="8" w:space="0" w:color="434343"/>
              <w:right w:val="single" w:sz="8" w:space="0" w:color="434343"/>
            </w:tcBorders>
            <w:vAlign w:val="center"/>
          </w:tcPr>
          <w:p w14:paraId="578F503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8: Promover el crecimiento económico inclusivo y sostenible, el empleo y el trabajo decente para todos</w:t>
            </w:r>
          </w:p>
        </w:tc>
        <w:tc>
          <w:tcPr>
            <w:tcW w:w="837" w:type="pct"/>
            <w:vMerge w:val="restart"/>
            <w:tcBorders>
              <w:top w:val="nil"/>
              <w:left w:val="single" w:sz="8" w:space="0" w:color="434343"/>
              <w:right w:val="single" w:sz="8" w:space="0" w:color="434343"/>
            </w:tcBorders>
            <w:vAlign w:val="center"/>
          </w:tcPr>
          <w:p w14:paraId="3005F7F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OBJETIVO 2.3.1 Consolidar el potencial turístico de Guanajuato e impulsarlo a ser uno de los principales destinos turísticos a nivel nacional, con posicionamiento </w:t>
            </w:r>
            <w:r w:rsidRPr="00794EB9">
              <w:rPr>
                <w:rFonts w:ascii="Arial" w:hAnsi="Arial" w:cs="Arial"/>
                <w:b/>
                <w:bCs/>
                <w:sz w:val="22"/>
                <w:szCs w:val="22"/>
                <w:lang w:eastAsia="es-MX"/>
              </w:rPr>
              <w:lastRenderedPageBreak/>
              <w:t>internacional</w:t>
            </w:r>
          </w:p>
        </w:tc>
        <w:tc>
          <w:tcPr>
            <w:tcW w:w="762" w:type="pct"/>
            <w:vMerge w:val="restart"/>
            <w:tcBorders>
              <w:top w:val="nil"/>
              <w:left w:val="single" w:sz="8" w:space="0" w:color="434343"/>
              <w:right w:val="single" w:sz="8" w:space="0" w:color="434343"/>
            </w:tcBorders>
            <w:vAlign w:val="center"/>
          </w:tcPr>
          <w:p w14:paraId="7006CDB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Estrategia 2.3.1.2 Elevación de la competitividad, la innovación, la diversificación y el valor agregado de la oferta turística</w:t>
            </w:r>
          </w:p>
        </w:tc>
        <w:tc>
          <w:tcPr>
            <w:tcW w:w="736" w:type="pct"/>
            <w:vMerge/>
            <w:tcBorders>
              <w:top w:val="nil"/>
              <w:left w:val="single" w:sz="8" w:space="0" w:color="434343"/>
              <w:bottom w:val="single" w:sz="8" w:space="0" w:color="434343"/>
              <w:right w:val="single" w:sz="8" w:space="0" w:color="434343"/>
            </w:tcBorders>
            <w:vAlign w:val="center"/>
            <w:hideMark/>
          </w:tcPr>
          <w:p w14:paraId="500DEF05" w14:textId="77777777" w:rsidR="00794EB9" w:rsidRPr="00794EB9" w:rsidRDefault="00794EB9" w:rsidP="00C307FB">
            <w:pPr>
              <w:rPr>
                <w:rFonts w:ascii="Arial" w:hAnsi="Arial" w:cs="Arial"/>
                <w:b/>
                <w:bCs/>
                <w:sz w:val="22"/>
                <w:szCs w:val="22"/>
                <w:lang w:eastAsia="es-MX"/>
              </w:rPr>
            </w:pPr>
          </w:p>
        </w:tc>
      </w:tr>
      <w:tr w:rsidR="00794EB9" w:rsidRPr="00794EB9" w14:paraId="61D47946"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68334615"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2147E68"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3742090A"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B619361"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695FECC4"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200B1736"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64863DB2" w14:textId="77777777" w:rsidR="00794EB9" w:rsidRPr="00794EB9" w:rsidRDefault="00794EB9" w:rsidP="00C307FB">
            <w:pPr>
              <w:rPr>
                <w:rFonts w:ascii="Arial" w:hAnsi="Arial" w:cs="Arial"/>
                <w:b/>
                <w:bCs/>
                <w:sz w:val="22"/>
                <w:szCs w:val="22"/>
                <w:lang w:eastAsia="es-MX"/>
              </w:rPr>
            </w:pP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CF9AFA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VT 4.2. Marca Ciudad</w:t>
            </w:r>
          </w:p>
        </w:tc>
      </w:tr>
      <w:tr w:rsidR="00794EB9" w:rsidRPr="00794EB9" w14:paraId="6AA54BA1"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F3D69F1"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2161186"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3AB2CC2"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8E0B13E"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3EFC7C27"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7733BBD5"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16B9C827"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704037B0" w14:textId="77777777" w:rsidR="00794EB9" w:rsidRPr="00794EB9" w:rsidRDefault="00794EB9" w:rsidP="00C307FB">
            <w:pPr>
              <w:rPr>
                <w:rFonts w:ascii="Arial" w:hAnsi="Arial" w:cs="Arial"/>
                <w:b/>
                <w:bCs/>
                <w:sz w:val="22"/>
                <w:szCs w:val="22"/>
                <w:lang w:eastAsia="es-MX"/>
              </w:rPr>
            </w:pPr>
          </w:p>
        </w:tc>
      </w:tr>
      <w:tr w:rsidR="00794EB9" w:rsidRPr="00794EB9" w14:paraId="39CDBEB7"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253408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541" w:type="pct"/>
            <w:tcBorders>
              <w:top w:val="nil"/>
              <w:left w:val="nil"/>
              <w:bottom w:val="single" w:sz="8" w:space="0" w:color="434343"/>
              <w:right w:val="single" w:sz="8" w:space="0" w:color="434343"/>
            </w:tcBorders>
            <w:shd w:val="clear" w:color="auto" w:fill="auto"/>
            <w:vAlign w:val="center"/>
            <w:hideMark/>
          </w:tcPr>
          <w:p w14:paraId="2EDF10C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459" w:type="pct"/>
            <w:tcBorders>
              <w:top w:val="nil"/>
              <w:left w:val="nil"/>
              <w:bottom w:val="single" w:sz="8" w:space="0" w:color="434343"/>
              <w:right w:val="single" w:sz="8" w:space="0" w:color="434343"/>
            </w:tcBorders>
            <w:shd w:val="clear" w:color="auto" w:fill="auto"/>
            <w:vAlign w:val="center"/>
            <w:hideMark/>
          </w:tcPr>
          <w:p w14:paraId="3E93495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Juventudes agentes del cambio</w:t>
            </w:r>
          </w:p>
        </w:tc>
        <w:tc>
          <w:tcPr>
            <w:tcW w:w="686" w:type="pct"/>
            <w:tcBorders>
              <w:top w:val="nil"/>
              <w:left w:val="nil"/>
              <w:bottom w:val="single" w:sz="8" w:space="0" w:color="434343"/>
              <w:right w:val="single" w:sz="8" w:space="0" w:color="434343"/>
            </w:tcBorders>
            <w:shd w:val="clear" w:color="auto" w:fill="auto"/>
            <w:vAlign w:val="center"/>
            <w:hideMark/>
          </w:tcPr>
          <w:p w14:paraId="33710DB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Brindar apoyos para la internacionalización y el desarrollo de habilidades interculturales de las juventudes </w:t>
            </w:r>
          </w:p>
        </w:tc>
        <w:tc>
          <w:tcPr>
            <w:tcW w:w="610" w:type="pct"/>
            <w:tcBorders>
              <w:top w:val="nil"/>
              <w:left w:val="single" w:sz="8" w:space="0" w:color="434343"/>
              <w:bottom w:val="single" w:sz="8" w:space="0" w:color="434343"/>
              <w:right w:val="single" w:sz="8" w:space="0" w:color="434343"/>
            </w:tcBorders>
            <w:vAlign w:val="center"/>
          </w:tcPr>
          <w:p w14:paraId="1327ABB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73F2CEC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44F3F04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1.3.1.2 Apoyo para que las personas jóvenes potencien sus habilidades y capacidades para el logro de sus proyectos de vida en condiciones de igualdad</w:t>
            </w:r>
          </w:p>
        </w:tc>
        <w:tc>
          <w:tcPr>
            <w:tcW w:w="736" w:type="pct"/>
            <w:vMerge/>
            <w:tcBorders>
              <w:top w:val="nil"/>
              <w:left w:val="single" w:sz="8" w:space="0" w:color="434343"/>
              <w:bottom w:val="single" w:sz="8" w:space="0" w:color="434343"/>
              <w:right w:val="single" w:sz="8" w:space="0" w:color="434343"/>
            </w:tcBorders>
            <w:vAlign w:val="center"/>
            <w:hideMark/>
          </w:tcPr>
          <w:p w14:paraId="5D55A5FD" w14:textId="77777777" w:rsidR="00794EB9" w:rsidRPr="00794EB9" w:rsidRDefault="00794EB9" w:rsidP="00C307FB">
            <w:pPr>
              <w:rPr>
                <w:rFonts w:ascii="Arial" w:hAnsi="Arial" w:cs="Arial"/>
                <w:b/>
                <w:bCs/>
                <w:sz w:val="22"/>
                <w:szCs w:val="22"/>
                <w:lang w:eastAsia="es-MX"/>
              </w:rPr>
            </w:pPr>
          </w:p>
        </w:tc>
      </w:tr>
      <w:tr w:rsidR="00794EB9" w:rsidRPr="00794EB9" w14:paraId="08B91491"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51A4A3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Estilos de vida saludable </w:t>
            </w:r>
          </w:p>
        </w:tc>
        <w:tc>
          <w:tcPr>
            <w:tcW w:w="541" w:type="pct"/>
            <w:tcBorders>
              <w:top w:val="nil"/>
              <w:left w:val="nil"/>
              <w:bottom w:val="single" w:sz="8" w:space="0" w:color="434343"/>
              <w:right w:val="single" w:sz="8" w:space="0" w:color="434343"/>
            </w:tcBorders>
            <w:shd w:val="clear" w:color="auto" w:fill="auto"/>
            <w:vAlign w:val="center"/>
            <w:hideMark/>
          </w:tcPr>
          <w:p w14:paraId="7C9E3B1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w:t>
            </w:r>
            <w:r w:rsidRPr="00794EB9">
              <w:rPr>
                <w:rFonts w:ascii="Arial" w:hAnsi="Arial" w:cs="Arial"/>
                <w:sz w:val="22"/>
                <w:szCs w:val="22"/>
                <w:lang w:eastAsia="es-MX"/>
              </w:rPr>
              <w:lastRenderedPageBreak/>
              <w:t>les para la reducción de enfermedades crónico-degenerativas y psicosociales</w:t>
            </w:r>
          </w:p>
        </w:tc>
        <w:tc>
          <w:tcPr>
            <w:tcW w:w="459" w:type="pct"/>
            <w:tcBorders>
              <w:top w:val="nil"/>
              <w:left w:val="nil"/>
              <w:bottom w:val="single" w:sz="8" w:space="0" w:color="434343"/>
              <w:right w:val="single" w:sz="8" w:space="0" w:color="434343"/>
            </w:tcBorders>
            <w:shd w:val="clear" w:color="auto" w:fill="auto"/>
            <w:vAlign w:val="center"/>
            <w:hideMark/>
          </w:tcPr>
          <w:p w14:paraId="5D4D6E5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Cultura de prevención, autocuidado y atención de la salud</w:t>
            </w:r>
          </w:p>
        </w:tc>
        <w:tc>
          <w:tcPr>
            <w:tcW w:w="686" w:type="pct"/>
            <w:tcBorders>
              <w:top w:val="nil"/>
              <w:left w:val="nil"/>
              <w:bottom w:val="single" w:sz="8" w:space="0" w:color="434343"/>
              <w:right w:val="single" w:sz="8" w:space="0" w:color="434343"/>
            </w:tcBorders>
            <w:shd w:val="clear" w:color="auto" w:fill="auto"/>
            <w:vAlign w:val="center"/>
            <w:hideMark/>
          </w:tcPr>
          <w:p w14:paraId="7E8E039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programas de cultura física y deporte en escuelas, centros de capacitación y sitios laborales</w:t>
            </w:r>
          </w:p>
        </w:tc>
        <w:tc>
          <w:tcPr>
            <w:tcW w:w="610" w:type="pct"/>
            <w:tcBorders>
              <w:top w:val="nil"/>
              <w:left w:val="single" w:sz="8" w:space="0" w:color="434343"/>
              <w:bottom w:val="single" w:sz="8" w:space="0" w:color="434343"/>
              <w:right w:val="single" w:sz="8" w:space="0" w:color="434343"/>
            </w:tcBorders>
            <w:vAlign w:val="center"/>
          </w:tcPr>
          <w:p w14:paraId="292CED2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Objetivo 4: Garantizar una educación inclusiva, equitativa y de calidad </w:t>
            </w:r>
            <w:r w:rsidRPr="00794EB9">
              <w:rPr>
                <w:rFonts w:ascii="Arial" w:hAnsi="Arial" w:cs="Arial"/>
                <w:b/>
                <w:bCs/>
                <w:sz w:val="22"/>
                <w:szCs w:val="22"/>
                <w:lang w:eastAsia="es-MX"/>
              </w:rPr>
              <w:lastRenderedPageBreak/>
              <w:t>y promover oportunidades de aprendizaje durante toda la vida para todos</w:t>
            </w:r>
          </w:p>
        </w:tc>
        <w:tc>
          <w:tcPr>
            <w:tcW w:w="837" w:type="pct"/>
            <w:tcBorders>
              <w:top w:val="nil"/>
              <w:left w:val="single" w:sz="8" w:space="0" w:color="434343"/>
              <w:bottom w:val="single" w:sz="8" w:space="0" w:color="434343"/>
              <w:right w:val="single" w:sz="8" w:space="0" w:color="434343"/>
            </w:tcBorders>
            <w:vAlign w:val="center"/>
          </w:tcPr>
          <w:p w14:paraId="3B93ED6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1.2.3 Potenciar a la cultura y al deporte como elementos del desarrollo integral de las </w:t>
            </w:r>
            <w:r w:rsidRPr="00794EB9">
              <w:rPr>
                <w:rFonts w:ascii="Arial" w:hAnsi="Arial" w:cs="Arial"/>
                <w:b/>
                <w:bCs/>
                <w:sz w:val="22"/>
                <w:szCs w:val="22"/>
                <w:lang w:eastAsia="es-MX"/>
              </w:rPr>
              <w:lastRenderedPageBreak/>
              <w:t>personas y las comunidades</w:t>
            </w:r>
          </w:p>
        </w:tc>
        <w:tc>
          <w:tcPr>
            <w:tcW w:w="762" w:type="pct"/>
            <w:tcBorders>
              <w:top w:val="nil"/>
              <w:left w:val="single" w:sz="8" w:space="0" w:color="434343"/>
              <w:bottom w:val="single" w:sz="8" w:space="0" w:color="434343"/>
              <w:right w:val="single" w:sz="8" w:space="0" w:color="434343"/>
            </w:tcBorders>
            <w:vAlign w:val="center"/>
          </w:tcPr>
          <w:p w14:paraId="3508682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1.2.3.4 Promoción de la cultura física en todos los sectores de la población, para </w:t>
            </w:r>
            <w:r w:rsidRPr="00794EB9">
              <w:rPr>
                <w:rFonts w:ascii="Arial" w:hAnsi="Arial" w:cs="Arial"/>
                <w:b/>
                <w:bCs/>
                <w:sz w:val="22"/>
                <w:szCs w:val="22"/>
                <w:lang w:eastAsia="es-MX"/>
              </w:rPr>
              <w:lastRenderedPageBreak/>
              <w:t>fomentar un estilo de vida saludable</w:t>
            </w:r>
          </w:p>
        </w:tc>
        <w:tc>
          <w:tcPr>
            <w:tcW w:w="736" w:type="pct"/>
            <w:vMerge/>
            <w:tcBorders>
              <w:top w:val="nil"/>
              <w:left w:val="single" w:sz="8" w:space="0" w:color="434343"/>
              <w:bottom w:val="single" w:sz="8" w:space="0" w:color="434343"/>
              <w:right w:val="single" w:sz="8" w:space="0" w:color="434343"/>
            </w:tcBorders>
            <w:vAlign w:val="center"/>
            <w:hideMark/>
          </w:tcPr>
          <w:p w14:paraId="1E8FABA8" w14:textId="77777777" w:rsidR="00794EB9" w:rsidRPr="00794EB9" w:rsidRDefault="00794EB9" w:rsidP="00C307FB">
            <w:pPr>
              <w:rPr>
                <w:rFonts w:ascii="Arial" w:hAnsi="Arial" w:cs="Arial"/>
                <w:b/>
                <w:bCs/>
                <w:sz w:val="22"/>
                <w:szCs w:val="22"/>
                <w:lang w:eastAsia="es-MX"/>
              </w:rPr>
            </w:pPr>
          </w:p>
        </w:tc>
      </w:tr>
      <w:tr w:rsidR="00794EB9" w:rsidRPr="00794EB9" w14:paraId="692E658A"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3F56AB8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Fortalecimiento de sectores estratégicos y de la economía local</w:t>
            </w:r>
          </w:p>
        </w:tc>
        <w:tc>
          <w:tcPr>
            <w:tcW w:w="541" w:type="pct"/>
            <w:tcBorders>
              <w:top w:val="nil"/>
              <w:left w:val="nil"/>
              <w:bottom w:val="single" w:sz="8" w:space="0" w:color="434343"/>
              <w:right w:val="single" w:sz="8" w:space="0" w:color="434343"/>
            </w:tcBorders>
            <w:shd w:val="clear" w:color="auto" w:fill="auto"/>
            <w:vAlign w:val="center"/>
            <w:hideMark/>
          </w:tcPr>
          <w:p w14:paraId="7B005F3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Impulsar los sectores que muestran un alto potencial de desarrollo favoreciendo la diversificación y el fortalecimiento de la economía local</w:t>
            </w:r>
          </w:p>
        </w:tc>
        <w:tc>
          <w:tcPr>
            <w:tcW w:w="459" w:type="pct"/>
            <w:tcBorders>
              <w:top w:val="nil"/>
              <w:left w:val="nil"/>
              <w:bottom w:val="single" w:sz="8" w:space="0" w:color="434343"/>
              <w:right w:val="single" w:sz="8" w:space="0" w:color="434343"/>
            </w:tcBorders>
            <w:shd w:val="clear" w:color="auto" w:fill="auto"/>
            <w:vAlign w:val="center"/>
            <w:hideMark/>
          </w:tcPr>
          <w:p w14:paraId="5851D21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Turismo sostenible</w:t>
            </w:r>
          </w:p>
        </w:tc>
        <w:tc>
          <w:tcPr>
            <w:tcW w:w="686" w:type="pct"/>
            <w:tcBorders>
              <w:top w:val="nil"/>
              <w:left w:val="nil"/>
              <w:bottom w:val="single" w:sz="8" w:space="0" w:color="434343"/>
              <w:right w:val="single" w:sz="8" w:space="0" w:color="434343"/>
            </w:tcBorders>
            <w:shd w:val="clear" w:color="auto" w:fill="auto"/>
            <w:vAlign w:val="center"/>
            <w:hideMark/>
          </w:tcPr>
          <w:p w14:paraId="55F69C9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Gestionar alianzas estratégicas locales, nacionales e internacionales que permitan fortalecer la competitividad y visibilidad turística de León</w:t>
            </w:r>
          </w:p>
        </w:tc>
        <w:tc>
          <w:tcPr>
            <w:tcW w:w="610" w:type="pct"/>
            <w:tcBorders>
              <w:top w:val="nil"/>
              <w:left w:val="single" w:sz="8" w:space="0" w:color="434343"/>
              <w:bottom w:val="single" w:sz="8" w:space="0" w:color="434343"/>
              <w:right w:val="single" w:sz="8" w:space="0" w:color="434343"/>
            </w:tcBorders>
            <w:vAlign w:val="center"/>
          </w:tcPr>
          <w:p w14:paraId="70E248E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3414F13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2.3.1 Consolidar el potencial turístico de Guanajuato e impulsarlo a ser uno de los principales destinos turísticos a nivel nacional, con posicionamiento internacional</w:t>
            </w:r>
          </w:p>
        </w:tc>
        <w:tc>
          <w:tcPr>
            <w:tcW w:w="762" w:type="pct"/>
            <w:tcBorders>
              <w:top w:val="nil"/>
              <w:left w:val="single" w:sz="8" w:space="0" w:color="434343"/>
              <w:bottom w:val="single" w:sz="8" w:space="0" w:color="434343"/>
              <w:right w:val="single" w:sz="8" w:space="0" w:color="434343"/>
            </w:tcBorders>
            <w:vAlign w:val="center"/>
          </w:tcPr>
          <w:p w14:paraId="227760B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2.3.1.2 Elevación de la competitividad, la innovación, la diversificación y el valor agregado de la oferta turística</w:t>
            </w:r>
          </w:p>
        </w:tc>
        <w:tc>
          <w:tcPr>
            <w:tcW w:w="736" w:type="pct"/>
            <w:vMerge/>
            <w:tcBorders>
              <w:top w:val="nil"/>
              <w:left w:val="single" w:sz="8" w:space="0" w:color="434343"/>
              <w:bottom w:val="single" w:sz="8" w:space="0" w:color="434343"/>
              <w:right w:val="single" w:sz="8" w:space="0" w:color="434343"/>
            </w:tcBorders>
            <w:vAlign w:val="center"/>
            <w:hideMark/>
          </w:tcPr>
          <w:p w14:paraId="58C7199C" w14:textId="77777777" w:rsidR="00794EB9" w:rsidRPr="00794EB9" w:rsidRDefault="00794EB9" w:rsidP="00C307FB">
            <w:pPr>
              <w:rPr>
                <w:rFonts w:ascii="Arial" w:hAnsi="Arial" w:cs="Arial"/>
                <w:b/>
                <w:bCs/>
                <w:sz w:val="22"/>
                <w:szCs w:val="22"/>
                <w:lang w:eastAsia="es-MX"/>
              </w:rPr>
            </w:pPr>
          </w:p>
        </w:tc>
      </w:tr>
      <w:tr w:rsidR="00794EB9" w:rsidRPr="00794EB9" w14:paraId="6F3EC369" w14:textId="77777777" w:rsidTr="00C307FB">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3FA403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27F4D9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w:t>
            </w:r>
            <w:r w:rsidRPr="00794EB9">
              <w:rPr>
                <w:rFonts w:ascii="Arial" w:hAnsi="Arial" w:cs="Arial"/>
                <w:sz w:val="22"/>
                <w:szCs w:val="22"/>
                <w:lang w:eastAsia="es-MX"/>
              </w:rPr>
              <w:lastRenderedPageBreak/>
              <w:t>miento, con altos estándares de calidad, que sean accesibles para las y los leoneses y visitantes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8D03CC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Promoción de la cultura y la identidad leonesa</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7B8442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Desarrollar actividades culturales que sean accesibles para la población </w:t>
            </w:r>
            <w:r w:rsidRPr="00794EB9">
              <w:rPr>
                <w:rFonts w:ascii="Arial" w:hAnsi="Arial" w:cs="Arial"/>
                <w:sz w:val="22"/>
                <w:szCs w:val="22"/>
                <w:lang w:eastAsia="es-MX"/>
              </w:rPr>
              <w:lastRenderedPageBreak/>
              <w:t>en zonas vulnerables y propiciar las visitas y apropiación de los espacios y recintos emblemáticos de la ciudad</w:t>
            </w:r>
          </w:p>
        </w:tc>
        <w:tc>
          <w:tcPr>
            <w:tcW w:w="610" w:type="pct"/>
            <w:vMerge w:val="restart"/>
            <w:tcBorders>
              <w:top w:val="nil"/>
              <w:left w:val="single" w:sz="8" w:space="0" w:color="434343"/>
              <w:right w:val="single" w:sz="8" w:space="0" w:color="434343"/>
            </w:tcBorders>
            <w:vAlign w:val="center"/>
          </w:tcPr>
          <w:p w14:paraId="331A9BC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11: Lograr que las ciudades sean más inclusivas, </w:t>
            </w:r>
            <w:r w:rsidRPr="00794EB9">
              <w:rPr>
                <w:rFonts w:ascii="Arial" w:hAnsi="Arial" w:cs="Arial"/>
                <w:b/>
                <w:bCs/>
                <w:sz w:val="22"/>
                <w:szCs w:val="22"/>
                <w:lang w:eastAsia="es-MX"/>
              </w:rPr>
              <w:lastRenderedPageBreak/>
              <w:t>seguras, resilientes y sostenibles</w:t>
            </w:r>
          </w:p>
        </w:tc>
        <w:tc>
          <w:tcPr>
            <w:tcW w:w="837" w:type="pct"/>
            <w:vMerge w:val="restart"/>
            <w:tcBorders>
              <w:top w:val="nil"/>
              <w:left w:val="single" w:sz="8" w:space="0" w:color="434343"/>
              <w:right w:val="single" w:sz="8" w:space="0" w:color="434343"/>
            </w:tcBorders>
            <w:vAlign w:val="center"/>
          </w:tcPr>
          <w:p w14:paraId="1ED6E97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1.2.3 Potenciar a la cultura y al deporte como elementos del desarrollo </w:t>
            </w:r>
            <w:r w:rsidRPr="00794EB9">
              <w:rPr>
                <w:rFonts w:ascii="Arial" w:hAnsi="Arial" w:cs="Arial"/>
                <w:b/>
                <w:bCs/>
                <w:sz w:val="22"/>
                <w:szCs w:val="22"/>
                <w:lang w:eastAsia="es-MX"/>
              </w:rPr>
              <w:lastRenderedPageBreak/>
              <w:t>integral de las personas y las comunidades</w:t>
            </w:r>
          </w:p>
        </w:tc>
        <w:tc>
          <w:tcPr>
            <w:tcW w:w="762" w:type="pct"/>
            <w:vMerge w:val="restart"/>
            <w:tcBorders>
              <w:top w:val="nil"/>
              <w:left w:val="single" w:sz="8" w:space="0" w:color="434343"/>
              <w:right w:val="single" w:sz="8" w:space="0" w:color="434343"/>
            </w:tcBorders>
            <w:vAlign w:val="center"/>
          </w:tcPr>
          <w:p w14:paraId="35C6B78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1.2.3.2 Incremento de alternativas y espacios para la </w:t>
            </w:r>
            <w:r w:rsidRPr="00794EB9">
              <w:rPr>
                <w:rFonts w:ascii="Arial" w:hAnsi="Arial" w:cs="Arial"/>
                <w:b/>
                <w:bCs/>
                <w:sz w:val="22"/>
                <w:szCs w:val="22"/>
                <w:lang w:eastAsia="es-MX"/>
              </w:rPr>
              <w:lastRenderedPageBreak/>
              <w:t>recreación cultural</w:t>
            </w:r>
          </w:p>
        </w:tc>
        <w:tc>
          <w:tcPr>
            <w:tcW w:w="736" w:type="pct"/>
            <w:vMerge/>
            <w:tcBorders>
              <w:top w:val="nil"/>
              <w:left w:val="single" w:sz="8" w:space="0" w:color="434343"/>
              <w:bottom w:val="single" w:sz="8" w:space="0" w:color="434343"/>
              <w:right w:val="single" w:sz="8" w:space="0" w:color="434343"/>
            </w:tcBorders>
            <w:vAlign w:val="center"/>
            <w:hideMark/>
          </w:tcPr>
          <w:p w14:paraId="237C3660" w14:textId="77777777" w:rsidR="00794EB9" w:rsidRPr="00794EB9" w:rsidRDefault="00794EB9" w:rsidP="00C307FB">
            <w:pPr>
              <w:rPr>
                <w:rFonts w:ascii="Arial" w:hAnsi="Arial" w:cs="Arial"/>
                <w:b/>
                <w:bCs/>
                <w:sz w:val="22"/>
                <w:szCs w:val="22"/>
                <w:lang w:eastAsia="es-MX"/>
              </w:rPr>
            </w:pPr>
          </w:p>
        </w:tc>
      </w:tr>
      <w:tr w:rsidR="00794EB9" w:rsidRPr="00794EB9" w14:paraId="44C034AC"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55DB785F"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FA5BDA2"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468E9FB"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7E5453B"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319DDCCC"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102C5B66"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10BB1101" w14:textId="77777777" w:rsidR="00794EB9" w:rsidRPr="00794EB9" w:rsidRDefault="00794EB9" w:rsidP="00C307FB">
            <w:pPr>
              <w:rPr>
                <w:rFonts w:ascii="Arial" w:hAnsi="Arial" w:cs="Arial"/>
                <w:b/>
                <w:bCs/>
                <w:sz w:val="22"/>
                <w:szCs w:val="22"/>
                <w:lang w:eastAsia="es-MX"/>
              </w:rPr>
            </w:pP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38808A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VT.4.3 Atracción y Promoción de Eventos Turísticos </w:t>
            </w:r>
            <w:r w:rsidRPr="00794EB9">
              <w:rPr>
                <w:rFonts w:ascii="Arial" w:hAnsi="Arial" w:cs="Arial"/>
                <w:b/>
                <w:bCs/>
                <w:sz w:val="22"/>
                <w:szCs w:val="22"/>
                <w:lang w:eastAsia="es-MX"/>
              </w:rPr>
              <w:lastRenderedPageBreak/>
              <w:t xml:space="preserve">y Culturales </w:t>
            </w:r>
          </w:p>
        </w:tc>
      </w:tr>
      <w:tr w:rsidR="00794EB9" w:rsidRPr="00794EB9" w14:paraId="58AB258B"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CB1943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Desarrollo rural sustentable</w:t>
            </w:r>
          </w:p>
        </w:tc>
        <w:tc>
          <w:tcPr>
            <w:tcW w:w="541" w:type="pct"/>
            <w:tcBorders>
              <w:top w:val="nil"/>
              <w:left w:val="nil"/>
              <w:bottom w:val="single" w:sz="8" w:space="0" w:color="434343"/>
              <w:right w:val="single" w:sz="8" w:space="0" w:color="434343"/>
            </w:tcBorders>
            <w:shd w:val="clear" w:color="auto" w:fill="auto"/>
            <w:vAlign w:val="center"/>
            <w:hideMark/>
          </w:tcPr>
          <w:p w14:paraId="638F9A6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Aumentar la productividad y la eficiencia del sector agroalimentario, consolidando un modelo de desarrollo rural sostenible, incluyente y articulado</w:t>
            </w:r>
          </w:p>
        </w:tc>
        <w:tc>
          <w:tcPr>
            <w:tcW w:w="459" w:type="pct"/>
            <w:tcBorders>
              <w:top w:val="nil"/>
              <w:left w:val="nil"/>
              <w:bottom w:val="single" w:sz="8" w:space="0" w:color="434343"/>
              <w:right w:val="single" w:sz="8" w:space="0" w:color="434343"/>
            </w:tcBorders>
            <w:shd w:val="clear" w:color="auto" w:fill="auto"/>
            <w:vAlign w:val="center"/>
            <w:hideMark/>
          </w:tcPr>
          <w:p w14:paraId="172369D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Fortalecimiento del sector agroalimentario y del abasto local</w:t>
            </w:r>
          </w:p>
        </w:tc>
        <w:tc>
          <w:tcPr>
            <w:tcW w:w="686" w:type="pct"/>
            <w:tcBorders>
              <w:top w:val="nil"/>
              <w:left w:val="nil"/>
              <w:bottom w:val="single" w:sz="8" w:space="0" w:color="434343"/>
              <w:right w:val="single" w:sz="8" w:space="0" w:color="434343"/>
            </w:tcBorders>
            <w:shd w:val="clear" w:color="auto" w:fill="auto"/>
            <w:vAlign w:val="center"/>
            <w:hideMark/>
          </w:tcPr>
          <w:p w14:paraId="44A1143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Modernizar y ampliar el sistema de centros de abasto y promover su articulación con mercados públicos y centros de comercialización rural para promover el consumo local</w:t>
            </w:r>
          </w:p>
        </w:tc>
        <w:tc>
          <w:tcPr>
            <w:tcW w:w="610" w:type="pct"/>
            <w:tcBorders>
              <w:top w:val="nil"/>
              <w:left w:val="single" w:sz="8" w:space="0" w:color="434343"/>
              <w:bottom w:val="single" w:sz="8" w:space="0" w:color="434343"/>
              <w:right w:val="single" w:sz="8" w:space="0" w:color="434343"/>
            </w:tcBorders>
            <w:vAlign w:val="center"/>
          </w:tcPr>
          <w:p w14:paraId="729115A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2: Poner fin al hambre</w:t>
            </w:r>
          </w:p>
        </w:tc>
        <w:tc>
          <w:tcPr>
            <w:tcW w:w="837" w:type="pct"/>
            <w:tcBorders>
              <w:top w:val="nil"/>
              <w:left w:val="single" w:sz="8" w:space="0" w:color="434343"/>
              <w:bottom w:val="single" w:sz="8" w:space="0" w:color="434343"/>
              <w:right w:val="single" w:sz="8" w:space="0" w:color="434343"/>
            </w:tcBorders>
            <w:vAlign w:val="center"/>
          </w:tcPr>
          <w:p w14:paraId="42F9D20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2.4.1 Consolidar un sector agroalimentario productivo, que garantice la seguridad alimentaria en el estado</w:t>
            </w:r>
          </w:p>
        </w:tc>
        <w:tc>
          <w:tcPr>
            <w:tcW w:w="762" w:type="pct"/>
            <w:tcBorders>
              <w:top w:val="nil"/>
              <w:left w:val="single" w:sz="8" w:space="0" w:color="434343"/>
              <w:bottom w:val="single" w:sz="8" w:space="0" w:color="434343"/>
              <w:right w:val="single" w:sz="8" w:space="0" w:color="434343"/>
            </w:tcBorders>
            <w:vAlign w:val="center"/>
          </w:tcPr>
          <w:p w14:paraId="04FA854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2.4.1.4 Fortalecimiento de la productividad y la autosuficiencia de la sociedad rural con igualdad de oportunidades para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19D698A8" w14:textId="77777777" w:rsidR="00794EB9" w:rsidRPr="00794EB9" w:rsidRDefault="00794EB9" w:rsidP="00C307FB">
            <w:pPr>
              <w:rPr>
                <w:rFonts w:ascii="Arial" w:hAnsi="Arial" w:cs="Arial"/>
                <w:b/>
                <w:bCs/>
                <w:sz w:val="22"/>
                <w:szCs w:val="22"/>
                <w:lang w:eastAsia="es-MX"/>
              </w:rPr>
            </w:pPr>
          </w:p>
        </w:tc>
      </w:tr>
      <w:tr w:rsidR="00794EB9" w:rsidRPr="00794EB9" w14:paraId="3EF7E0C4" w14:textId="77777777" w:rsidTr="00C307FB">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8CC2E6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Fortalecimiento de sect</w:t>
            </w:r>
            <w:r w:rsidRPr="00794EB9">
              <w:rPr>
                <w:rFonts w:ascii="Arial" w:hAnsi="Arial" w:cs="Arial"/>
                <w:sz w:val="22"/>
                <w:szCs w:val="22"/>
                <w:lang w:eastAsia="es-MX"/>
              </w:rPr>
              <w:lastRenderedPageBreak/>
              <w:t>ores estratégicos y de la economía local</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C1CBDE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Impulsar los sectores que muestra</w:t>
            </w:r>
            <w:r w:rsidRPr="00794EB9">
              <w:rPr>
                <w:rFonts w:ascii="Arial" w:hAnsi="Arial" w:cs="Arial"/>
                <w:sz w:val="22"/>
                <w:szCs w:val="22"/>
                <w:lang w:eastAsia="es-MX"/>
              </w:rPr>
              <w:lastRenderedPageBreak/>
              <w:t>n un alto potencial de desarrollo favoreciendo la diversificación y el fortalecimiento de la economía local</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5AEC96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Turismo sostenible</w:t>
            </w:r>
          </w:p>
        </w:tc>
        <w:tc>
          <w:tcPr>
            <w:tcW w:w="686" w:type="pct"/>
            <w:tcBorders>
              <w:top w:val="nil"/>
              <w:left w:val="nil"/>
              <w:bottom w:val="single" w:sz="8" w:space="0" w:color="434343"/>
              <w:right w:val="single" w:sz="8" w:space="0" w:color="434343"/>
            </w:tcBorders>
            <w:shd w:val="clear" w:color="auto" w:fill="auto"/>
            <w:vAlign w:val="center"/>
            <w:hideMark/>
          </w:tcPr>
          <w:p w14:paraId="5D72010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la innovación y el emprendi</w:t>
            </w:r>
            <w:r w:rsidRPr="00794EB9">
              <w:rPr>
                <w:rFonts w:ascii="Arial" w:hAnsi="Arial" w:cs="Arial"/>
                <w:sz w:val="22"/>
                <w:szCs w:val="22"/>
                <w:lang w:eastAsia="es-MX"/>
              </w:rPr>
              <w:lastRenderedPageBreak/>
              <w:t>miento en el turismo doméstico como factor clave de resiliencia social y económica a partir de la cultura, identidad e historia leonesa</w:t>
            </w:r>
          </w:p>
        </w:tc>
        <w:tc>
          <w:tcPr>
            <w:tcW w:w="610" w:type="pct"/>
            <w:tcBorders>
              <w:top w:val="nil"/>
              <w:left w:val="single" w:sz="8" w:space="0" w:color="434343"/>
              <w:bottom w:val="single" w:sz="8" w:space="0" w:color="434343"/>
              <w:right w:val="single" w:sz="8" w:space="0" w:color="434343"/>
            </w:tcBorders>
            <w:vAlign w:val="center"/>
          </w:tcPr>
          <w:p w14:paraId="799E971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8: Promover el crecimie</w:t>
            </w:r>
            <w:r w:rsidRPr="00794EB9">
              <w:rPr>
                <w:rFonts w:ascii="Arial" w:hAnsi="Arial" w:cs="Arial"/>
                <w:b/>
                <w:bCs/>
                <w:sz w:val="22"/>
                <w:szCs w:val="22"/>
                <w:lang w:eastAsia="es-MX"/>
              </w:rPr>
              <w:lastRenderedPageBreak/>
              <w:t>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5416A7D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2.3.1 Consolidar el potencial turístico de </w:t>
            </w:r>
            <w:r w:rsidRPr="00794EB9">
              <w:rPr>
                <w:rFonts w:ascii="Arial" w:hAnsi="Arial" w:cs="Arial"/>
                <w:b/>
                <w:bCs/>
                <w:sz w:val="22"/>
                <w:szCs w:val="22"/>
                <w:lang w:eastAsia="es-MX"/>
              </w:rPr>
              <w:lastRenderedPageBreak/>
              <w:t>Guanajuato e impulsarlo a ser uno de los principales destinos turísticos a nivel nacional, con posicionamiento internacional</w:t>
            </w:r>
          </w:p>
        </w:tc>
        <w:tc>
          <w:tcPr>
            <w:tcW w:w="762" w:type="pct"/>
            <w:tcBorders>
              <w:top w:val="nil"/>
              <w:left w:val="single" w:sz="8" w:space="0" w:color="434343"/>
              <w:bottom w:val="single" w:sz="8" w:space="0" w:color="434343"/>
              <w:right w:val="single" w:sz="8" w:space="0" w:color="434343"/>
            </w:tcBorders>
            <w:vAlign w:val="center"/>
          </w:tcPr>
          <w:p w14:paraId="0430D6C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Estrategia 2.3.1.2 Elevación de la competitivi</w:t>
            </w:r>
            <w:r w:rsidRPr="00794EB9">
              <w:rPr>
                <w:rFonts w:ascii="Arial" w:hAnsi="Arial" w:cs="Arial"/>
                <w:b/>
                <w:bCs/>
                <w:sz w:val="22"/>
                <w:szCs w:val="22"/>
                <w:lang w:eastAsia="es-MX"/>
              </w:rPr>
              <w:lastRenderedPageBreak/>
              <w:t>dad, la innovación, la diversificación y el valor agregado de la oferta turística</w:t>
            </w:r>
          </w:p>
        </w:tc>
        <w:tc>
          <w:tcPr>
            <w:tcW w:w="736" w:type="pct"/>
            <w:vMerge/>
            <w:tcBorders>
              <w:top w:val="nil"/>
              <w:left w:val="single" w:sz="8" w:space="0" w:color="434343"/>
              <w:bottom w:val="single" w:sz="8" w:space="0" w:color="434343"/>
              <w:right w:val="single" w:sz="8" w:space="0" w:color="434343"/>
            </w:tcBorders>
            <w:vAlign w:val="center"/>
            <w:hideMark/>
          </w:tcPr>
          <w:p w14:paraId="60ABEEE0" w14:textId="77777777" w:rsidR="00794EB9" w:rsidRPr="00794EB9" w:rsidRDefault="00794EB9" w:rsidP="00C307FB">
            <w:pPr>
              <w:rPr>
                <w:rFonts w:ascii="Arial" w:hAnsi="Arial" w:cs="Arial"/>
                <w:b/>
                <w:bCs/>
                <w:sz w:val="22"/>
                <w:szCs w:val="22"/>
                <w:lang w:eastAsia="es-MX"/>
              </w:rPr>
            </w:pPr>
          </w:p>
        </w:tc>
      </w:tr>
      <w:tr w:rsidR="00794EB9" w:rsidRPr="00794EB9" w14:paraId="195629AE"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46768D6E"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4D1C80B7"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5982B875"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06EB416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Gestionar alianzas estratégicas locales, nacionales e internacionales que permitan fortalecer la competitividad y visibilidad turística de León</w:t>
            </w:r>
          </w:p>
        </w:tc>
        <w:tc>
          <w:tcPr>
            <w:tcW w:w="610" w:type="pct"/>
            <w:tcBorders>
              <w:top w:val="nil"/>
              <w:left w:val="single" w:sz="8" w:space="0" w:color="434343"/>
              <w:bottom w:val="single" w:sz="8" w:space="0" w:color="434343"/>
              <w:right w:val="single" w:sz="8" w:space="0" w:color="434343"/>
            </w:tcBorders>
            <w:vAlign w:val="center"/>
          </w:tcPr>
          <w:p w14:paraId="0A38477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2C1B35B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2.3.1 Consolidar el potencial turístico de Guanajuato e impulsarlo a ser uno de los principales destinos turísticos a nivel nacional, con posicionamiento internacional</w:t>
            </w:r>
          </w:p>
        </w:tc>
        <w:tc>
          <w:tcPr>
            <w:tcW w:w="762" w:type="pct"/>
            <w:tcBorders>
              <w:top w:val="nil"/>
              <w:left w:val="single" w:sz="8" w:space="0" w:color="434343"/>
              <w:bottom w:val="single" w:sz="8" w:space="0" w:color="434343"/>
              <w:right w:val="single" w:sz="8" w:space="0" w:color="434343"/>
            </w:tcBorders>
            <w:vAlign w:val="center"/>
          </w:tcPr>
          <w:p w14:paraId="2AE7926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2.3.1.2 Elevación de la competitividad, la innovación, la diversificación y el valor agregado de la oferta turística</w:t>
            </w:r>
          </w:p>
        </w:tc>
        <w:tc>
          <w:tcPr>
            <w:tcW w:w="736" w:type="pct"/>
            <w:vMerge/>
            <w:tcBorders>
              <w:top w:val="nil"/>
              <w:left w:val="single" w:sz="8" w:space="0" w:color="434343"/>
              <w:bottom w:val="single" w:sz="8" w:space="0" w:color="434343"/>
              <w:right w:val="single" w:sz="8" w:space="0" w:color="434343"/>
            </w:tcBorders>
            <w:vAlign w:val="center"/>
            <w:hideMark/>
          </w:tcPr>
          <w:p w14:paraId="10E76D3B" w14:textId="77777777" w:rsidR="00794EB9" w:rsidRPr="00794EB9" w:rsidRDefault="00794EB9" w:rsidP="00C307FB">
            <w:pPr>
              <w:rPr>
                <w:rFonts w:ascii="Arial" w:hAnsi="Arial" w:cs="Arial"/>
                <w:b/>
                <w:bCs/>
                <w:sz w:val="22"/>
                <w:szCs w:val="22"/>
                <w:lang w:eastAsia="es-MX"/>
              </w:rPr>
            </w:pPr>
          </w:p>
        </w:tc>
      </w:tr>
      <w:tr w:rsidR="00794EB9" w:rsidRPr="00794EB9" w14:paraId="32EF69B4"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1989C95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55FE9D6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23E916C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401B265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nil"/>
            </w:tcBorders>
            <w:shd w:val="clear" w:color="auto" w:fill="D9D9D9" w:themeFill="background1" w:themeFillShade="D9"/>
            <w:vAlign w:val="center"/>
          </w:tcPr>
          <w:p w14:paraId="6C9A6F81" w14:textId="77777777" w:rsidR="00794EB9" w:rsidRPr="00794EB9" w:rsidRDefault="00794EB9" w:rsidP="00C307FB">
            <w:pPr>
              <w:rPr>
                <w:rFonts w:ascii="Arial" w:hAnsi="Arial" w:cs="Arial"/>
                <w:b/>
                <w:bCs/>
                <w:sz w:val="22"/>
                <w:szCs w:val="22"/>
                <w:lang w:eastAsia="es-MX"/>
              </w:rPr>
            </w:pPr>
          </w:p>
        </w:tc>
        <w:tc>
          <w:tcPr>
            <w:tcW w:w="837" w:type="pct"/>
            <w:tcBorders>
              <w:top w:val="nil"/>
              <w:left w:val="nil"/>
              <w:bottom w:val="single" w:sz="8" w:space="0" w:color="434343"/>
              <w:right w:val="nil"/>
            </w:tcBorders>
            <w:shd w:val="clear" w:color="auto" w:fill="D9D9D9" w:themeFill="background1" w:themeFillShade="D9"/>
            <w:vAlign w:val="center"/>
          </w:tcPr>
          <w:p w14:paraId="7BB4A5E4" w14:textId="77777777" w:rsidR="00794EB9" w:rsidRPr="00794EB9" w:rsidRDefault="00794EB9" w:rsidP="00C307FB">
            <w:pPr>
              <w:rPr>
                <w:rFonts w:ascii="Arial" w:hAnsi="Arial" w:cs="Arial"/>
                <w:b/>
                <w:bCs/>
                <w:sz w:val="22"/>
                <w:szCs w:val="22"/>
                <w:lang w:eastAsia="es-MX"/>
              </w:rPr>
            </w:pPr>
          </w:p>
        </w:tc>
        <w:tc>
          <w:tcPr>
            <w:tcW w:w="762" w:type="pct"/>
            <w:tcBorders>
              <w:top w:val="nil"/>
              <w:left w:val="nil"/>
              <w:bottom w:val="single" w:sz="4" w:space="0" w:color="auto"/>
              <w:right w:val="nil"/>
            </w:tcBorders>
            <w:shd w:val="clear" w:color="auto" w:fill="D9D9D9" w:themeFill="background1" w:themeFillShade="D9"/>
            <w:vAlign w:val="center"/>
          </w:tcPr>
          <w:p w14:paraId="5C4D09BF" w14:textId="77777777" w:rsidR="00794EB9" w:rsidRPr="00794EB9" w:rsidRDefault="00794EB9" w:rsidP="00C307FB">
            <w:pPr>
              <w:rPr>
                <w:rFonts w:ascii="Arial" w:hAnsi="Arial" w:cs="Arial"/>
                <w:b/>
                <w:bCs/>
                <w:sz w:val="22"/>
                <w:szCs w:val="22"/>
                <w:lang w:eastAsia="es-MX"/>
              </w:rPr>
            </w:pPr>
          </w:p>
        </w:tc>
        <w:tc>
          <w:tcPr>
            <w:tcW w:w="736" w:type="pct"/>
            <w:tcBorders>
              <w:top w:val="nil"/>
              <w:left w:val="nil"/>
              <w:bottom w:val="single" w:sz="4" w:space="0" w:color="auto"/>
              <w:right w:val="single" w:sz="8" w:space="0" w:color="434343"/>
            </w:tcBorders>
            <w:shd w:val="clear" w:color="auto" w:fill="D9D9D9" w:themeFill="background1" w:themeFillShade="D9"/>
            <w:noWrap/>
            <w:vAlign w:val="center"/>
            <w:hideMark/>
          </w:tcPr>
          <w:p w14:paraId="127BD03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VS1. León Verde</w:t>
            </w:r>
          </w:p>
        </w:tc>
      </w:tr>
      <w:tr w:rsidR="00794EB9" w:rsidRPr="00794EB9" w14:paraId="46357CE6"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5B7002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Educación equitativa, pertinent</w:t>
            </w:r>
            <w:r w:rsidRPr="00794EB9">
              <w:rPr>
                <w:rFonts w:ascii="Arial" w:hAnsi="Arial" w:cs="Arial"/>
                <w:sz w:val="22"/>
                <w:szCs w:val="22"/>
                <w:lang w:eastAsia="es-MX"/>
              </w:rPr>
              <w:lastRenderedPageBreak/>
              <w:t>e y de calidad</w:t>
            </w:r>
          </w:p>
        </w:tc>
        <w:tc>
          <w:tcPr>
            <w:tcW w:w="541" w:type="pct"/>
            <w:tcBorders>
              <w:top w:val="nil"/>
              <w:left w:val="nil"/>
              <w:bottom w:val="single" w:sz="8" w:space="0" w:color="434343"/>
              <w:right w:val="single" w:sz="8" w:space="0" w:color="434343"/>
            </w:tcBorders>
            <w:shd w:val="clear" w:color="auto" w:fill="auto"/>
            <w:vAlign w:val="center"/>
            <w:hideMark/>
          </w:tcPr>
          <w:p w14:paraId="788E736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Promover el aprendizaje equitativo, pertinente y de </w:t>
            </w:r>
            <w:r w:rsidRPr="00794EB9">
              <w:rPr>
                <w:rFonts w:ascii="Arial" w:hAnsi="Arial" w:cs="Arial"/>
                <w:sz w:val="22"/>
                <w:szCs w:val="22"/>
                <w:lang w:eastAsia="es-MX"/>
              </w:rPr>
              <w:lastRenderedPageBreak/>
              <w:t>calidad a lo largo de la vida</w:t>
            </w:r>
          </w:p>
        </w:tc>
        <w:tc>
          <w:tcPr>
            <w:tcW w:w="459" w:type="pct"/>
            <w:tcBorders>
              <w:top w:val="nil"/>
              <w:left w:val="nil"/>
              <w:bottom w:val="single" w:sz="8" w:space="0" w:color="434343"/>
              <w:right w:val="single" w:sz="8" w:space="0" w:color="434343"/>
            </w:tcBorders>
            <w:shd w:val="clear" w:color="auto" w:fill="auto"/>
            <w:vAlign w:val="center"/>
            <w:hideMark/>
          </w:tcPr>
          <w:p w14:paraId="0BEDDA9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Educación ciudadana con enfoque de </w:t>
            </w:r>
            <w:r w:rsidRPr="00794EB9">
              <w:rPr>
                <w:rFonts w:ascii="Arial" w:hAnsi="Arial" w:cs="Arial"/>
                <w:sz w:val="22"/>
                <w:szCs w:val="22"/>
                <w:lang w:eastAsia="es-MX"/>
              </w:rPr>
              <w:lastRenderedPageBreak/>
              <w:t xml:space="preserve">derechos </w:t>
            </w:r>
          </w:p>
        </w:tc>
        <w:tc>
          <w:tcPr>
            <w:tcW w:w="686" w:type="pct"/>
            <w:tcBorders>
              <w:top w:val="nil"/>
              <w:left w:val="nil"/>
              <w:bottom w:val="single" w:sz="8" w:space="0" w:color="434343"/>
              <w:right w:val="single" w:sz="8" w:space="0" w:color="434343"/>
            </w:tcBorders>
            <w:shd w:val="clear" w:color="auto" w:fill="auto"/>
            <w:vAlign w:val="center"/>
            <w:hideMark/>
          </w:tcPr>
          <w:p w14:paraId="3EE8625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Implementar un esquema integral de educación ambiental para la ciudadaní</w:t>
            </w:r>
            <w:r w:rsidRPr="00794EB9">
              <w:rPr>
                <w:rFonts w:ascii="Arial" w:hAnsi="Arial" w:cs="Arial"/>
                <w:sz w:val="22"/>
                <w:szCs w:val="22"/>
                <w:lang w:eastAsia="es-MX"/>
              </w:rPr>
              <w:lastRenderedPageBreak/>
              <w:t>a,  con énfasis en la participación de niñas, niños y adolescentes</w:t>
            </w:r>
          </w:p>
        </w:tc>
        <w:tc>
          <w:tcPr>
            <w:tcW w:w="610" w:type="pct"/>
            <w:tcBorders>
              <w:top w:val="nil"/>
              <w:left w:val="nil"/>
              <w:bottom w:val="single" w:sz="8" w:space="0" w:color="434343"/>
              <w:right w:val="single" w:sz="4" w:space="0" w:color="auto"/>
            </w:tcBorders>
            <w:vAlign w:val="center"/>
          </w:tcPr>
          <w:p w14:paraId="7410C0D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12: Garantizar modalidades de consumo y </w:t>
            </w:r>
            <w:r w:rsidRPr="00794EB9">
              <w:rPr>
                <w:rFonts w:ascii="Arial" w:hAnsi="Arial" w:cs="Arial"/>
                <w:b/>
                <w:bCs/>
                <w:sz w:val="22"/>
                <w:szCs w:val="22"/>
                <w:lang w:eastAsia="es-MX"/>
              </w:rPr>
              <w:lastRenderedPageBreak/>
              <w:t>producción sostenibles</w:t>
            </w:r>
          </w:p>
        </w:tc>
        <w:tc>
          <w:tcPr>
            <w:tcW w:w="837" w:type="pct"/>
            <w:tcBorders>
              <w:top w:val="nil"/>
              <w:left w:val="single" w:sz="4" w:space="0" w:color="auto"/>
              <w:bottom w:val="single" w:sz="8" w:space="0" w:color="434343"/>
              <w:right w:val="single" w:sz="4" w:space="0" w:color="auto"/>
            </w:tcBorders>
            <w:vAlign w:val="center"/>
          </w:tcPr>
          <w:p w14:paraId="41C3359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3.1.2 Lograr una adecuada gestión del medio ambiente que </w:t>
            </w:r>
            <w:r w:rsidRPr="00794EB9">
              <w:rPr>
                <w:rFonts w:ascii="Arial" w:hAnsi="Arial" w:cs="Arial"/>
                <w:b/>
                <w:bCs/>
                <w:sz w:val="22"/>
                <w:szCs w:val="22"/>
                <w:lang w:eastAsia="es-MX"/>
              </w:rPr>
              <w:lastRenderedPageBreak/>
              <w:t>favorezca el aprovechamiento racional y sustentable de los recursos naturales</w:t>
            </w:r>
          </w:p>
        </w:tc>
        <w:tc>
          <w:tcPr>
            <w:tcW w:w="762" w:type="pct"/>
            <w:tcBorders>
              <w:top w:val="single" w:sz="4" w:space="0" w:color="auto"/>
              <w:left w:val="single" w:sz="4" w:space="0" w:color="auto"/>
              <w:bottom w:val="single" w:sz="4" w:space="0" w:color="auto"/>
              <w:right w:val="single" w:sz="4" w:space="0" w:color="auto"/>
            </w:tcBorders>
            <w:vAlign w:val="center"/>
          </w:tcPr>
          <w:p w14:paraId="78EC16A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3.1.2.4 Difusión y protección del patrimonio natural del estado con </w:t>
            </w:r>
            <w:r w:rsidRPr="00794EB9">
              <w:rPr>
                <w:rFonts w:ascii="Arial" w:hAnsi="Arial" w:cs="Arial"/>
                <w:b/>
                <w:bCs/>
                <w:sz w:val="22"/>
                <w:szCs w:val="22"/>
                <w:lang w:eastAsia="es-MX"/>
              </w:rPr>
              <w:lastRenderedPageBreak/>
              <w:t>enfoque incluyente</w:t>
            </w:r>
          </w:p>
        </w:tc>
        <w:tc>
          <w:tcPr>
            <w:tcW w:w="7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2E105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VS. 1.1 Amigos del Planeta</w:t>
            </w:r>
          </w:p>
        </w:tc>
      </w:tr>
      <w:tr w:rsidR="00794EB9" w:rsidRPr="00794EB9" w14:paraId="0D60844C"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tcPr>
          <w:p w14:paraId="0D054C3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Sustentabilidad ante el cambio climático</w:t>
            </w:r>
          </w:p>
        </w:tc>
        <w:tc>
          <w:tcPr>
            <w:tcW w:w="541" w:type="pct"/>
            <w:tcBorders>
              <w:top w:val="nil"/>
              <w:left w:val="nil"/>
              <w:bottom w:val="single" w:sz="8" w:space="0" w:color="434343"/>
              <w:right w:val="single" w:sz="8" w:space="0" w:color="434343"/>
            </w:tcBorders>
            <w:shd w:val="clear" w:color="auto" w:fill="auto"/>
            <w:vAlign w:val="center"/>
          </w:tcPr>
          <w:p w14:paraId="1F4A7AF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Aprovechar de manera racional y sustentable los recursos naturales a favor de la mitigación y</w:t>
            </w:r>
          </w:p>
          <w:p w14:paraId="075CB93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adaptación ante el cambio climático</w:t>
            </w:r>
          </w:p>
        </w:tc>
        <w:tc>
          <w:tcPr>
            <w:tcW w:w="459" w:type="pct"/>
            <w:tcBorders>
              <w:top w:val="nil"/>
              <w:left w:val="nil"/>
              <w:bottom w:val="single" w:sz="8" w:space="0" w:color="434343"/>
              <w:right w:val="single" w:sz="8" w:space="0" w:color="434343"/>
            </w:tcBorders>
            <w:shd w:val="clear" w:color="auto" w:fill="auto"/>
            <w:vAlign w:val="center"/>
          </w:tcPr>
          <w:p w14:paraId="0B3A382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Conservación y regeneración de los recursos naturales</w:t>
            </w:r>
          </w:p>
        </w:tc>
        <w:tc>
          <w:tcPr>
            <w:tcW w:w="686" w:type="pct"/>
            <w:tcBorders>
              <w:top w:val="nil"/>
              <w:left w:val="nil"/>
              <w:bottom w:val="single" w:sz="8" w:space="0" w:color="434343"/>
              <w:right w:val="single" w:sz="8" w:space="0" w:color="434343"/>
            </w:tcBorders>
            <w:shd w:val="clear" w:color="auto" w:fill="auto"/>
            <w:vAlign w:val="center"/>
          </w:tcPr>
          <w:p w14:paraId="538889A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Reforzar acciones que coadyuven en la conservación, preservación, protección, regeneración y regulación de los</w:t>
            </w:r>
          </w:p>
          <w:p w14:paraId="3815BDE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recursos naturales del municipio a través de la valoración de los servicios ecosistémicos en las áreas naturales</w:t>
            </w:r>
          </w:p>
          <w:p w14:paraId="352453B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protegidas estatales y municipales</w:t>
            </w:r>
          </w:p>
        </w:tc>
        <w:tc>
          <w:tcPr>
            <w:tcW w:w="610" w:type="pct"/>
            <w:tcBorders>
              <w:top w:val="nil"/>
              <w:left w:val="nil"/>
              <w:bottom w:val="single" w:sz="8" w:space="0" w:color="434343"/>
              <w:right w:val="single" w:sz="4" w:space="0" w:color="auto"/>
            </w:tcBorders>
            <w:shd w:val="clear" w:color="auto" w:fill="auto"/>
          </w:tcPr>
          <w:p w14:paraId="4DAD524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15: Gestionar sosteniblemente los bosques, luchar contra la desertificación, detener e invertir la degradación de las tierras, detener la pérdida de biodiversidad</w:t>
            </w:r>
          </w:p>
        </w:tc>
        <w:tc>
          <w:tcPr>
            <w:tcW w:w="837" w:type="pct"/>
            <w:tcBorders>
              <w:top w:val="nil"/>
              <w:left w:val="single" w:sz="4" w:space="0" w:color="auto"/>
              <w:bottom w:val="single" w:sz="8" w:space="0" w:color="434343"/>
              <w:right w:val="single" w:sz="4" w:space="0" w:color="auto"/>
            </w:tcBorders>
            <w:shd w:val="clear" w:color="auto" w:fill="auto"/>
          </w:tcPr>
          <w:p w14:paraId="0D3B293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3.1.2 Lograr una adecuada gestión del medio ambiente que favorezca el aprovechamiento racional y sustentable de los recursos naturales</w:t>
            </w:r>
          </w:p>
        </w:tc>
        <w:tc>
          <w:tcPr>
            <w:tcW w:w="762" w:type="pct"/>
            <w:tcBorders>
              <w:top w:val="single" w:sz="4" w:space="0" w:color="auto"/>
              <w:left w:val="single" w:sz="4" w:space="0" w:color="auto"/>
              <w:bottom w:val="single" w:sz="8" w:space="0" w:color="434343"/>
              <w:right w:val="single" w:sz="4" w:space="0" w:color="auto"/>
            </w:tcBorders>
            <w:shd w:val="clear" w:color="auto" w:fill="auto"/>
          </w:tcPr>
          <w:p w14:paraId="31A9FE2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3.1.2.2 Protección y conservación de la biodiversidad y los ecosistemas en el territorio estatal</w:t>
            </w:r>
          </w:p>
        </w:tc>
        <w:tc>
          <w:tcPr>
            <w:tcW w:w="736" w:type="pct"/>
            <w:vMerge w:val="restart"/>
            <w:tcBorders>
              <w:top w:val="single" w:sz="4" w:space="0" w:color="auto"/>
              <w:left w:val="single" w:sz="4" w:space="0" w:color="auto"/>
              <w:right w:val="single" w:sz="8" w:space="0" w:color="434343"/>
            </w:tcBorders>
            <w:shd w:val="clear" w:color="auto" w:fill="auto"/>
            <w:vAlign w:val="center"/>
          </w:tcPr>
          <w:p w14:paraId="6186D9DB" w14:textId="77777777" w:rsidR="00794EB9" w:rsidRPr="00794EB9" w:rsidRDefault="00794EB9" w:rsidP="00C307FB">
            <w:pPr>
              <w:ind w:hanging="2"/>
              <w:rPr>
                <w:rFonts w:ascii="Arial" w:hAnsi="Arial" w:cs="Arial"/>
                <w:b/>
                <w:bCs/>
                <w:sz w:val="22"/>
                <w:szCs w:val="22"/>
                <w:lang w:eastAsia="es-MX"/>
              </w:rPr>
            </w:pPr>
            <w:r w:rsidRPr="00794EB9">
              <w:rPr>
                <w:rFonts w:ascii="Arial" w:hAnsi="Arial" w:cs="Arial"/>
                <w:b/>
                <w:bCs/>
                <w:sz w:val="22"/>
                <w:szCs w:val="22"/>
                <w:lang w:eastAsia="es-MX"/>
              </w:rPr>
              <w:t>VS. 1.2 León protector de mascotas y animales en riesgo</w:t>
            </w:r>
          </w:p>
        </w:tc>
      </w:tr>
      <w:tr w:rsidR="00794EB9" w:rsidRPr="00794EB9" w14:paraId="40478918" w14:textId="77777777" w:rsidTr="00C307FB">
        <w:trPr>
          <w:trHeight w:val="898"/>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AC0140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Estilos de vida saludable</w:t>
            </w:r>
          </w:p>
        </w:tc>
        <w:tc>
          <w:tcPr>
            <w:tcW w:w="541" w:type="pct"/>
            <w:tcBorders>
              <w:top w:val="nil"/>
              <w:left w:val="single" w:sz="8" w:space="0" w:color="434343"/>
              <w:bottom w:val="single" w:sz="8" w:space="0" w:color="434343"/>
              <w:right w:val="single" w:sz="8" w:space="0" w:color="434343"/>
            </w:tcBorders>
            <w:shd w:val="clear" w:color="auto" w:fill="auto"/>
            <w:vAlign w:val="center"/>
            <w:hideMark/>
          </w:tcPr>
          <w:p w14:paraId="45CC2D4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459" w:type="pct"/>
            <w:tcBorders>
              <w:top w:val="nil"/>
              <w:left w:val="single" w:sz="8" w:space="0" w:color="434343"/>
              <w:bottom w:val="single" w:sz="8" w:space="0" w:color="434343"/>
              <w:right w:val="single" w:sz="8" w:space="0" w:color="434343"/>
            </w:tcBorders>
            <w:shd w:val="clear" w:color="auto" w:fill="auto"/>
            <w:vAlign w:val="center"/>
            <w:hideMark/>
          </w:tcPr>
          <w:p w14:paraId="44F1B82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686" w:type="pct"/>
            <w:tcBorders>
              <w:top w:val="nil"/>
              <w:left w:val="single" w:sz="8" w:space="0" w:color="434343"/>
              <w:bottom w:val="single" w:sz="8" w:space="0" w:color="434343"/>
              <w:right w:val="single" w:sz="8" w:space="0" w:color="434343"/>
            </w:tcBorders>
            <w:shd w:val="clear" w:color="auto" w:fill="auto"/>
            <w:vAlign w:val="center"/>
            <w:hideMark/>
          </w:tcPr>
          <w:p w14:paraId="0831EB2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un modelo municipal de salud preventiva que promueva estilos de vida saludable y la activación física, con énfasis en zonas de mayor vulnerabilidad</w:t>
            </w:r>
          </w:p>
        </w:tc>
        <w:tc>
          <w:tcPr>
            <w:tcW w:w="610" w:type="pct"/>
            <w:tcBorders>
              <w:top w:val="nil"/>
              <w:left w:val="single" w:sz="8" w:space="0" w:color="434343"/>
              <w:bottom w:val="single" w:sz="4" w:space="0" w:color="auto"/>
              <w:right w:val="single" w:sz="8" w:space="0" w:color="434343"/>
            </w:tcBorders>
          </w:tcPr>
          <w:p w14:paraId="7E17529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 Garantizar una vida sana y promover el bienestar para todos en todas las edades</w:t>
            </w:r>
          </w:p>
        </w:tc>
        <w:tc>
          <w:tcPr>
            <w:tcW w:w="837" w:type="pct"/>
            <w:tcBorders>
              <w:top w:val="nil"/>
              <w:left w:val="single" w:sz="8" w:space="0" w:color="434343"/>
              <w:bottom w:val="single" w:sz="4" w:space="0" w:color="auto"/>
              <w:right w:val="single" w:sz="8" w:space="0" w:color="434343"/>
            </w:tcBorders>
          </w:tcPr>
          <w:p w14:paraId="5FC77A3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1.1.2 Otorgar servicios de salud oportunos, con altos estándares de calidad y seguridad para las y los pacientes</w:t>
            </w:r>
          </w:p>
        </w:tc>
        <w:tc>
          <w:tcPr>
            <w:tcW w:w="762" w:type="pct"/>
            <w:tcBorders>
              <w:top w:val="nil"/>
              <w:left w:val="single" w:sz="8" w:space="0" w:color="434343"/>
              <w:bottom w:val="single" w:sz="4" w:space="0" w:color="auto"/>
              <w:right w:val="single" w:sz="4" w:space="0" w:color="auto"/>
            </w:tcBorders>
          </w:tcPr>
          <w:p w14:paraId="02A94FD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1.1.2.1 Consolidación de un sistema de salud universal con un enfoque participativo, preventivo, oportuno y de calidad</w:t>
            </w:r>
          </w:p>
        </w:tc>
        <w:tc>
          <w:tcPr>
            <w:tcW w:w="736" w:type="pct"/>
            <w:vMerge/>
            <w:tcBorders>
              <w:left w:val="single" w:sz="4" w:space="0" w:color="auto"/>
              <w:bottom w:val="nil"/>
              <w:right w:val="single" w:sz="8" w:space="0" w:color="434343"/>
            </w:tcBorders>
            <w:shd w:val="clear" w:color="auto" w:fill="auto"/>
            <w:vAlign w:val="center"/>
            <w:hideMark/>
          </w:tcPr>
          <w:p w14:paraId="346921EE" w14:textId="77777777" w:rsidR="00794EB9" w:rsidRPr="00794EB9" w:rsidRDefault="00794EB9" w:rsidP="00C307FB">
            <w:pPr>
              <w:rPr>
                <w:rFonts w:ascii="Arial" w:hAnsi="Arial" w:cs="Arial"/>
                <w:b/>
                <w:bCs/>
                <w:sz w:val="22"/>
                <w:szCs w:val="22"/>
                <w:lang w:eastAsia="es-MX"/>
              </w:rPr>
            </w:pPr>
          </w:p>
        </w:tc>
      </w:tr>
      <w:tr w:rsidR="00794EB9" w:rsidRPr="00794EB9" w14:paraId="7B8FD4A5" w14:textId="77777777" w:rsidTr="00C307FB">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363423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1EF684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esparcimiento, con altos estándares de calidad, que sean accesibles para las y los leonese</w:t>
            </w:r>
            <w:r w:rsidRPr="00794EB9">
              <w:rPr>
                <w:rFonts w:ascii="Arial" w:hAnsi="Arial" w:cs="Arial"/>
                <w:sz w:val="22"/>
                <w:szCs w:val="22"/>
                <w:lang w:eastAsia="es-MX"/>
              </w:rPr>
              <w:lastRenderedPageBreak/>
              <w:t>s y visitantes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87F7BA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Espacios públicos para la convivencia social</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DB6863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el sistema de parques urbanos para el disfrute, la educación y recreación</w:t>
            </w:r>
          </w:p>
        </w:tc>
        <w:tc>
          <w:tcPr>
            <w:tcW w:w="610" w:type="pct"/>
            <w:vMerge w:val="restart"/>
            <w:tcBorders>
              <w:top w:val="single" w:sz="4" w:space="0" w:color="auto"/>
              <w:left w:val="single" w:sz="8" w:space="0" w:color="434343"/>
              <w:right w:val="single" w:sz="8" w:space="0" w:color="434343"/>
            </w:tcBorders>
            <w:vAlign w:val="center"/>
          </w:tcPr>
          <w:p w14:paraId="2E46A9D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vMerge w:val="restart"/>
            <w:tcBorders>
              <w:top w:val="single" w:sz="4" w:space="0" w:color="auto"/>
              <w:left w:val="single" w:sz="8" w:space="0" w:color="434343"/>
              <w:right w:val="single" w:sz="8" w:space="0" w:color="434343"/>
            </w:tcBorders>
            <w:vAlign w:val="center"/>
          </w:tcPr>
          <w:p w14:paraId="67EE851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vMerge w:val="restart"/>
            <w:tcBorders>
              <w:top w:val="single" w:sz="4" w:space="0" w:color="auto"/>
              <w:left w:val="single" w:sz="8" w:space="0" w:color="434343"/>
              <w:right w:val="single" w:sz="8" w:space="0" w:color="434343"/>
            </w:tcBorders>
            <w:vAlign w:val="center"/>
          </w:tcPr>
          <w:p w14:paraId="44753B2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3.2.1.3 Promoción del derecho a la ciudad y a la equidad e inclusión en los asentamientos humanos con perspectiva de género</w:t>
            </w:r>
          </w:p>
        </w:tc>
        <w:tc>
          <w:tcPr>
            <w:tcW w:w="736" w:type="pct"/>
            <w:vMerge w:val="restart"/>
            <w:tcBorders>
              <w:top w:val="single" w:sz="4" w:space="0" w:color="auto"/>
              <w:left w:val="single" w:sz="8" w:space="0" w:color="434343"/>
              <w:bottom w:val="single" w:sz="8" w:space="0" w:color="434343"/>
              <w:right w:val="single" w:sz="8" w:space="0" w:color="434343"/>
            </w:tcBorders>
            <w:shd w:val="clear" w:color="auto" w:fill="auto"/>
            <w:vAlign w:val="center"/>
            <w:hideMark/>
          </w:tcPr>
          <w:p w14:paraId="606AC83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VS. 1.3 Red de Parques Urbanos y Áreas Naturales </w:t>
            </w:r>
          </w:p>
        </w:tc>
      </w:tr>
      <w:tr w:rsidR="00794EB9" w:rsidRPr="00794EB9" w14:paraId="3C364044"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57DDC902"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275305C"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4CD2313"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CC747E0"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241D2A27"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0DE6E27A"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6D8B20A8"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0D70D208" w14:textId="77777777" w:rsidR="00794EB9" w:rsidRPr="00794EB9" w:rsidRDefault="00794EB9" w:rsidP="00C307FB">
            <w:pPr>
              <w:rPr>
                <w:rFonts w:ascii="Arial" w:hAnsi="Arial" w:cs="Arial"/>
                <w:b/>
                <w:bCs/>
                <w:sz w:val="22"/>
                <w:szCs w:val="22"/>
                <w:lang w:eastAsia="es-MX"/>
              </w:rPr>
            </w:pPr>
          </w:p>
        </w:tc>
      </w:tr>
      <w:tr w:rsidR="00794EB9" w:rsidRPr="00794EB9" w14:paraId="42408799"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84C55DC"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38694A3"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D012881"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07B96F0"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205A1FE6"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3C868290"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0F4BA2A6"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3AB6B4E" w14:textId="77777777" w:rsidR="00794EB9" w:rsidRPr="00794EB9" w:rsidRDefault="00794EB9" w:rsidP="00C307FB">
            <w:pPr>
              <w:rPr>
                <w:rFonts w:ascii="Arial" w:hAnsi="Arial" w:cs="Arial"/>
                <w:b/>
                <w:bCs/>
                <w:sz w:val="22"/>
                <w:szCs w:val="22"/>
                <w:lang w:eastAsia="es-MX"/>
              </w:rPr>
            </w:pPr>
          </w:p>
        </w:tc>
      </w:tr>
      <w:tr w:rsidR="00794EB9" w:rsidRPr="00794EB9" w14:paraId="16EA8830"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09EC083"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54C49D1"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AB8A3CD"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870D740"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3BFE7BC1"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2CDE7C39"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6E5059C4"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1B90A3D9" w14:textId="77777777" w:rsidR="00794EB9" w:rsidRPr="00794EB9" w:rsidRDefault="00794EB9" w:rsidP="00C307FB">
            <w:pPr>
              <w:rPr>
                <w:rFonts w:ascii="Arial" w:hAnsi="Arial" w:cs="Arial"/>
                <w:b/>
                <w:bCs/>
                <w:sz w:val="22"/>
                <w:szCs w:val="22"/>
                <w:lang w:eastAsia="es-MX"/>
              </w:rPr>
            </w:pPr>
          </w:p>
        </w:tc>
      </w:tr>
      <w:tr w:rsidR="00794EB9" w:rsidRPr="00794EB9" w14:paraId="5F420A84"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3E77506F"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255989B"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8CC2377"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3A7945B4"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5973E115"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4D8EC289"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78C9EEC9"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75DAA03C" w14:textId="77777777" w:rsidR="00794EB9" w:rsidRPr="00794EB9" w:rsidRDefault="00794EB9" w:rsidP="00C307FB">
            <w:pPr>
              <w:rPr>
                <w:rFonts w:ascii="Arial" w:hAnsi="Arial" w:cs="Arial"/>
                <w:b/>
                <w:bCs/>
                <w:sz w:val="22"/>
                <w:szCs w:val="22"/>
                <w:lang w:eastAsia="es-MX"/>
              </w:rPr>
            </w:pPr>
          </w:p>
        </w:tc>
      </w:tr>
      <w:tr w:rsidR="00794EB9" w:rsidRPr="00794EB9" w14:paraId="46E508A6"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39A5960"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3636F2C"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8ACC6C6"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75260F7"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7E5E9EB2"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0EFB10FF"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50C7C3B4"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1AABABA8" w14:textId="77777777" w:rsidR="00794EB9" w:rsidRPr="00794EB9" w:rsidRDefault="00794EB9" w:rsidP="00C307FB">
            <w:pPr>
              <w:rPr>
                <w:rFonts w:ascii="Arial" w:hAnsi="Arial" w:cs="Arial"/>
                <w:b/>
                <w:bCs/>
                <w:sz w:val="22"/>
                <w:szCs w:val="22"/>
                <w:lang w:eastAsia="es-MX"/>
              </w:rPr>
            </w:pPr>
          </w:p>
        </w:tc>
      </w:tr>
      <w:tr w:rsidR="00794EB9" w:rsidRPr="00794EB9" w14:paraId="6879B926"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5B89A01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541" w:type="pct"/>
            <w:tcBorders>
              <w:top w:val="nil"/>
              <w:left w:val="single" w:sz="8" w:space="0" w:color="434343"/>
              <w:bottom w:val="single" w:sz="8" w:space="0" w:color="434343"/>
              <w:right w:val="single" w:sz="8" w:space="0" w:color="434343"/>
            </w:tcBorders>
            <w:shd w:val="clear" w:color="auto" w:fill="auto"/>
            <w:vAlign w:val="center"/>
            <w:hideMark/>
          </w:tcPr>
          <w:p w14:paraId="49D09A9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esparcimiento, con altos estándares de calidad, que sean accesibles para las y los leoneses y visitantes</w:t>
            </w:r>
          </w:p>
        </w:tc>
        <w:tc>
          <w:tcPr>
            <w:tcW w:w="459" w:type="pct"/>
            <w:tcBorders>
              <w:top w:val="nil"/>
              <w:left w:val="single" w:sz="8" w:space="0" w:color="434343"/>
              <w:bottom w:val="single" w:sz="8" w:space="0" w:color="434343"/>
              <w:right w:val="single" w:sz="8" w:space="0" w:color="434343"/>
            </w:tcBorders>
            <w:shd w:val="clear" w:color="auto" w:fill="auto"/>
            <w:vAlign w:val="center"/>
            <w:hideMark/>
          </w:tcPr>
          <w:p w14:paraId="62C801E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Espacios públicos para la convivencia social</w:t>
            </w:r>
          </w:p>
        </w:tc>
        <w:tc>
          <w:tcPr>
            <w:tcW w:w="686" w:type="pct"/>
            <w:tcBorders>
              <w:top w:val="nil"/>
              <w:left w:val="single" w:sz="8" w:space="0" w:color="434343"/>
              <w:bottom w:val="single" w:sz="8" w:space="0" w:color="434343"/>
              <w:right w:val="single" w:sz="8" w:space="0" w:color="434343"/>
            </w:tcBorders>
            <w:shd w:val="clear" w:color="auto" w:fill="auto"/>
            <w:vAlign w:val="center"/>
            <w:hideMark/>
          </w:tcPr>
          <w:p w14:paraId="2DFCD8D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alianzas y esquemas alternativos de gestión con el sector social y privado para la creación, rescate, regeneración y mantenimiento sostenible de espacios públicos</w:t>
            </w:r>
          </w:p>
        </w:tc>
        <w:tc>
          <w:tcPr>
            <w:tcW w:w="610" w:type="pct"/>
            <w:tcBorders>
              <w:top w:val="nil"/>
              <w:left w:val="single" w:sz="8" w:space="0" w:color="434343"/>
              <w:right w:val="single" w:sz="8" w:space="0" w:color="434343"/>
            </w:tcBorders>
            <w:vAlign w:val="center"/>
          </w:tcPr>
          <w:p w14:paraId="5817DAF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right w:val="single" w:sz="8" w:space="0" w:color="434343"/>
            </w:tcBorders>
            <w:vAlign w:val="center"/>
          </w:tcPr>
          <w:p w14:paraId="26372EC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right w:val="single" w:sz="8" w:space="0" w:color="434343"/>
            </w:tcBorders>
            <w:vAlign w:val="center"/>
          </w:tcPr>
          <w:p w14:paraId="2E0AA9B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3.2.1.3 Promoción del derecho a la ciudad y a la equidad e inclusión en los asentamientos humanos con perspectiva de género</w:t>
            </w:r>
          </w:p>
        </w:tc>
        <w:tc>
          <w:tcPr>
            <w:tcW w:w="736" w:type="pct"/>
            <w:vMerge/>
            <w:tcBorders>
              <w:top w:val="nil"/>
              <w:left w:val="single" w:sz="8" w:space="0" w:color="434343"/>
              <w:bottom w:val="single" w:sz="8" w:space="0" w:color="434343"/>
              <w:right w:val="single" w:sz="8" w:space="0" w:color="434343"/>
            </w:tcBorders>
            <w:vAlign w:val="center"/>
            <w:hideMark/>
          </w:tcPr>
          <w:p w14:paraId="6A1CA884" w14:textId="77777777" w:rsidR="00794EB9" w:rsidRPr="00794EB9" w:rsidRDefault="00794EB9" w:rsidP="00C307FB">
            <w:pPr>
              <w:rPr>
                <w:rFonts w:ascii="Arial" w:hAnsi="Arial" w:cs="Arial"/>
                <w:b/>
                <w:bCs/>
                <w:sz w:val="22"/>
                <w:szCs w:val="22"/>
                <w:lang w:eastAsia="es-MX"/>
              </w:rPr>
            </w:pPr>
          </w:p>
        </w:tc>
      </w:tr>
      <w:tr w:rsidR="00794EB9" w:rsidRPr="00794EB9" w14:paraId="7C528241" w14:textId="77777777" w:rsidTr="00C307FB">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0C0E7E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Modelo urbano integrador </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38D87D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w:t>
            </w:r>
            <w:r w:rsidRPr="00794EB9">
              <w:rPr>
                <w:rFonts w:ascii="Arial" w:hAnsi="Arial" w:cs="Arial"/>
                <w:sz w:val="22"/>
                <w:szCs w:val="22"/>
                <w:lang w:eastAsia="es-MX"/>
              </w:rPr>
              <w:lastRenderedPageBreak/>
              <w:t>miento e integración entre los sistemas de movilidad e infraestructura verde</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7A15E2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Infraestructura verde</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4A5111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Generar e integrar una red de infraestructura verde urbana con un enfoque de la gestión del suelo, a través de la conectividad de las áreas </w:t>
            </w:r>
            <w:r w:rsidRPr="00794EB9">
              <w:rPr>
                <w:rFonts w:ascii="Arial" w:hAnsi="Arial" w:cs="Arial"/>
                <w:sz w:val="22"/>
                <w:szCs w:val="22"/>
                <w:lang w:eastAsia="es-MX"/>
              </w:rPr>
              <w:lastRenderedPageBreak/>
              <w:t>naturales protegidas, cinturones verdes o amortiguamiento, parques metropolitanos, urbanos, lineales, andadores, ríos, arroyos y ciclovías para generar una ciudad más resiliente y sostenible</w:t>
            </w:r>
          </w:p>
        </w:tc>
        <w:tc>
          <w:tcPr>
            <w:tcW w:w="610" w:type="pct"/>
            <w:vMerge w:val="restart"/>
            <w:tcBorders>
              <w:top w:val="nil"/>
              <w:left w:val="single" w:sz="8" w:space="0" w:color="434343"/>
              <w:right w:val="single" w:sz="8" w:space="0" w:color="434343"/>
            </w:tcBorders>
            <w:vAlign w:val="center"/>
          </w:tcPr>
          <w:p w14:paraId="5B8CCDC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11: Lograr que las ciudades sean más inclusivas, seguras, resilientes y sostenibles</w:t>
            </w:r>
          </w:p>
        </w:tc>
        <w:tc>
          <w:tcPr>
            <w:tcW w:w="837" w:type="pct"/>
            <w:vMerge w:val="restart"/>
            <w:tcBorders>
              <w:top w:val="nil"/>
              <w:left w:val="single" w:sz="8" w:space="0" w:color="434343"/>
              <w:right w:val="single" w:sz="8" w:space="0" w:color="434343"/>
            </w:tcBorders>
            <w:vAlign w:val="center"/>
          </w:tcPr>
          <w:p w14:paraId="43BE6CB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3.1.2 Lograr una adecuada gestión del medio ambiente que favorezca el aprovechamiento racional y sustentable de los recursos naturales</w:t>
            </w:r>
          </w:p>
        </w:tc>
        <w:tc>
          <w:tcPr>
            <w:tcW w:w="762" w:type="pct"/>
            <w:vMerge w:val="restart"/>
            <w:tcBorders>
              <w:top w:val="nil"/>
              <w:left w:val="single" w:sz="8" w:space="0" w:color="434343"/>
              <w:right w:val="single" w:sz="8" w:space="0" w:color="434343"/>
            </w:tcBorders>
            <w:vAlign w:val="center"/>
          </w:tcPr>
          <w:p w14:paraId="7B5E394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3.1.2.2 Protección y conservación de la biodiversidad y los ecosistemas en el territorio estatal</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8C8D9A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 1.4 Nuevo Parque Metropolitano</w:t>
            </w:r>
          </w:p>
        </w:tc>
      </w:tr>
      <w:tr w:rsidR="00794EB9" w:rsidRPr="00794EB9" w14:paraId="253529D2"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45BE65C"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4A11CE1"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43DDCC30"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EEF2F38"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28F352C2"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19BAA708"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28A6AD7B"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1D5A1DC7" w14:textId="77777777" w:rsidR="00794EB9" w:rsidRPr="00794EB9" w:rsidRDefault="00794EB9" w:rsidP="00C307FB">
            <w:pPr>
              <w:rPr>
                <w:rFonts w:ascii="Arial" w:hAnsi="Arial" w:cs="Arial"/>
                <w:b/>
                <w:bCs/>
                <w:sz w:val="22"/>
                <w:szCs w:val="22"/>
                <w:lang w:eastAsia="es-MX"/>
              </w:rPr>
            </w:pPr>
          </w:p>
        </w:tc>
      </w:tr>
      <w:tr w:rsidR="00794EB9" w:rsidRPr="00794EB9" w14:paraId="5A82AE45"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3921E8E"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7AAE915"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2BC86A6"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658654BC"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6D6DA69B"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229D813F"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0F7407F6"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71621313" w14:textId="77777777" w:rsidR="00794EB9" w:rsidRPr="00794EB9" w:rsidRDefault="00794EB9" w:rsidP="00C307FB">
            <w:pPr>
              <w:rPr>
                <w:rFonts w:ascii="Arial" w:hAnsi="Arial" w:cs="Arial"/>
                <w:b/>
                <w:bCs/>
                <w:sz w:val="22"/>
                <w:szCs w:val="22"/>
                <w:lang w:eastAsia="es-MX"/>
              </w:rPr>
            </w:pPr>
          </w:p>
        </w:tc>
      </w:tr>
      <w:tr w:rsidR="00794EB9" w:rsidRPr="00794EB9" w14:paraId="1C76D662"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2647C5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 Acceso y sostenibilidad del agua, con una sociedad sensible para su uso y cuidado</w:t>
            </w:r>
          </w:p>
        </w:tc>
        <w:tc>
          <w:tcPr>
            <w:tcW w:w="541" w:type="pct"/>
            <w:tcBorders>
              <w:top w:val="nil"/>
              <w:left w:val="nil"/>
              <w:bottom w:val="single" w:sz="8" w:space="0" w:color="434343"/>
              <w:right w:val="single" w:sz="8" w:space="0" w:color="434343"/>
            </w:tcBorders>
            <w:shd w:val="clear" w:color="auto" w:fill="auto"/>
            <w:vAlign w:val="center"/>
            <w:hideMark/>
          </w:tcPr>
          <w:p w14:paraId="4402BEF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Garantizar el acceso eficiente al agua, asequible en cantidad y calidad, requerida para los sectores doméstico, industrial, </w:t>
            </w:r>
            <w:r w:rsidRPr="00794EB9">
              <w:rPr>
                <w:rFonts w:ascii="Arial" w:hAnsi="Arial" w:cs="Arial"/>
                <w:sz w:val="22"/>
                <w:szCs w:val="22"/>
                <w:lang w:eastAsia="es-MX"/>
              </w:rPr>
              <w:lastRenderedPageBreak/>
              <w:t>comercial, servicios y agrícola</w:t>
            </w:r>
          </w:p>
        </w:tc>
        <w:tc>
          <w:tcPr>
            <w:tcW w:w="459" w:type="pct"/>
            <w:tcBorders>
              <w:top w:val="nil"/>
              <w:left w:val="nil"/>
              <w:bottom w:val="single" w:sz="8" w:space="0" w:color="434343"/>
              <w:right w:val="single" w:sz="8" w:space="0" w:color="434343"/>
            </w:tcBorders>
            <w:shd w:val="clear" w:color="auto" w:fill="auto"/>
            <w:vAlign w:val="center"/>
            <w:hideMark/>
          </w:tcPr>
          <w:p w14:paraId="3864EDC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Accesibilidad al agua para todos</w:t>
            </w:r>
          </w:p>
        </w:tc>
        <w:tc>
          <w:tcPr>
            <w:tcW w:w="686" w:type="pct"/>
            <w:tcBorders>
              <w:top w:val="nil"/>
              <w:left w:val="nil"/>
              <w:bottom w:val="single" w:sz="8" w:space="0" w:color="434343"/>
              <w:right w:val="single" w:sz="8" w:space="0" w:color="434343"/>
            </w:tcBorders>
            <w:shd w:val="clear" w:color="auto" w:fill="auto"/>
            <w:vAlign w:val="center"/>
            <w:hideMark/>
          </w:tcPr>
          <w:p w14:paraId="13021820" w14:textId="77777777" w:rsidR="00794EB9" w:rsidRPr="00794EB9" w:rsidRDefault="00794EB9" w:rsidP="00C307FB">
            <w:pPr>
              <w:spacing w:after="240"/>
              <w:rPr>
                <w:rFonts w:ascii="Arial" w:hAnsi="Arial" w:cs="Arial"/>
                <w:sz w:val="22"/>
                <w:szCs w:val="22"/>
                <w:lang w:eastAsia="es-MX"/>
              </w:rPr>
            </w:pPr>
            <w:r w:rsidRPr="00794EB9">
              <w:rPr>
                <w:rFonts w:ascii="Arial" w:hAnsi="Arial" w:cs="Arial"/>
                <w:sz w:val="22"/>
                <w:szCs w:val="22"/>
                <w:lang w:eastAsia="es-MX"/>
              </w:rPr>
              <w:t>Impulsar e implementar el Plan Maestro de Desarrollo Hidráulico Municipal a través de los ejes estratégicos de agua potable y alcantarillado, tratamiento, reúso pluvial e hidromete</w:t>
            </w:r>
            <w:r w:rsidRPr="00794EB9">
              <w:rPr>
                <w:rFonts w:ascii="Arial" w:hAnsi="Arial" w:cs="Arial"/>
                <w:sz w:val="22"/>
                <w:szCs w:val="22"/>
                <w:lang w:eastAsia="es-MX"/>
              </w:rPr>
              <w:lastRenderedPageBreak/>
              <w:t>orológica</w:t>
            </w:r>
            <w:r w:rsidRPr="00794EB9">
              <w:rPr>
                <w:rFonts w:ascii="Arial" w:hAnsi="Arial" w:cs="Arial"/>
                <w:sz w:val="22"/>
                <w:szCs w:val="22"/>
                <w:lang w:eastAsia="es-MX"/>
              </w:rPr>
              <w:br/>
            </w:r>
            <w:r w:rsidRPr="00794EB9">
              <w:rPr>
                <w:rFonts w:ascii="Arial" w:hAnsi="Arial" w:cs="Arial"/>
                <w:sz w:val="22"/>
                <w:szCs w:val="22"/>
                <w:lang w:eastAsia="es-MX"/>
              </w:rPr>
              <w:br/>
            </w:r>
          </w:p>
        </w:tc>
        <w:tc>
          <w:tcPr>
            <w:tcW w:w="610" w:type="pct"/>
            <w:tcBorders>
              <w:top w:val="nil"/>
              <w:left w:val="single" w:sz="8" w:space="0" w:color="434343"/>
              <w:bottom w:val="single" w:sz="8" w:space="0" w:color="434343"/>
              <w:right w:val="single" w:sz="8" w:space="0" w:color="434343"/>
            </w:tcBorders>
            <w:vAlign w:val="center"/>
          </w:tcPr>
          <w:p w14:paraId="526445A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6: Garantizar la disponibilidad de agua y su gestión sostenible y el saneamiento para todos</w:t>
            </w:r>
          </w:p>
        </w:tc>
        <w:tc>
          <w:tcPr>
            <w:tcW w:w="837" w:type="pct"/>
            <w:tcBorders>
              <w:top w:val="nil"/>
              <w:left w:val="single" w:sz="8" w:space="0" w:color="434343"/>
              <w:bottom w:val="single" w:sz="8" w:space="0" w:color="434343"/>
              <w:right w:val="single" w:sz="8" w:space="0" w:color="434343"/>
            </w:tcBorders>
            <w:vAlign w:val="center"/>
          </w:tcPr>
          <w:p w14:paraId="6BD0590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3.1.1 Garantizar la disponibilidad y calidad del agua de acuerdo con sus diferentes destinos</w:t>
            </w:r>
          </w:p>
        </w:tc>
        <w:tc>
          <w:tcPr>
            <w:tcW w:w="762" w:type="pct"/>
            <w:tcBorders>
              <w:top w:val="nil"/>
              <w:left w:val="single" w:sz="8" w:space="0" w:color="434343"/>
              <w:bottom w:val="single" w:sz="8" w:space="0" w:color="434343"/>
              <w:right w:val="single" w:sz="8" w:space="0" w:color="434343"/>
            </w:tcBorders>
            <w:vAlign w:val="center"/>
          </w:tcPr>
          <w:p w14:paraId="32F4411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3.1.1.1 Crecimiento y consolidación de la infraestructura hidráulica, para la captación y la distribución eficiente del agua</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F71668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 1.5 Agua para todos</w:t>
            </w:r>
          </w:p>
        </w:tc>
      </w:tr>
      <w:tr w:rsidR="00794EB9" w:rsidRPr="00794EB9" w14:paraId="48980BA2"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60B2DD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Equidad social</w:t>
            </w:r>
          </w:p>
        </w:tc>
        <w:tc>
          <w:tcPr>
            <w:tcW w:w="541" w:type="pct"/>
            <w:tcBorders>
              <w:top w:val="nil"/>
              <w:left w:val="nil"/>
              <w:bottom w:val="single" w:sz="8" w:space="0" w:color="434343"/>
              <w:right w:val="single" w:sz="8" w:space="0" w:color="434343"/>
            </w:tcBorders>
            <w:shd w:val="clear" w:color="auto" w:fill="auto"/>
            <w:vAlign w:val="center"/>
            <w:hideMark/>
          </w:tcPr>
          <w:p w14:paraId="45E977F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459" w:type="pct"/>
            <w:tcBorders>
              <w:top w:val="nil"/>
              <w:left w:val="nil"/>
              <w:bottom w:val="single" w:sz="8" w:space="0" w:color="434343"/>
              <w:right w:val="single" w:sz="8" w:space="0" w:color="434343"/>
            </w:tcBorders>
            <w:shd w:val="clear" w:color="auto" w:fill="auto"/>
            <w:vAlign w:val="center"/>
            <w:hideMark/>
          </w:tcPr>
          <w:p w14:paraId="28AB9AF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Atención a la población urbana en alguna situación de pobreza</w:t>
            </w:r>
          </w:p>
        </w:tc>
        <w:tc>
          <w:tcPr>
            <w:tcW w:w="686" w:type="pct"/>
            <w:tcBorders>
              <w:top w:val="nil"/>
              <w:left w:val="nil"/>
              <w:bottom w:val="single" w:sz="8" w:space="0" w:color="434343"/>
              <w:right w:val="single" w:sz="8" w:space="0" w:color="434343"/>
            </w:tcBorders>
            <w:shd w:val="clear" w:color="auto" w:fill="auto"/>
            <w:vAlign w:val="center"/>
            <w:hideMark/>
          </w:tcPr>
          <w:p w14:paraId="5A65C37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Dotar de servicios básicos de agua potable, drenaje sanitario y electrificación para las familias en los polígonos de desarrollo</w:t>
            </w:r>
          </w:p>
        </w:tc>
        <w:tc>
          <w:tcPr>
            <w:tcW w:w="610" w:type="pct"/>
            <w:tcBorders>
              <w:top w:val="nil"/>
              <w:left w:val="single" w:sz="8" w:space="0" w:color="434343"/>
              <w:bottom w:val="single" w:sz="8" w:space="0" w:color="434343"/>
              <w:right w:val="single" w:sz="8" w:space="0" w:color="434343"/>
            </w:tcBorders>
            <w:vAlign w:val="center"/>
          </w:tcPr>
          <w:p w14:paraId="0D0860C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1574B29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1.1.1 Abatir la pobreza en todas sus vertientes y desde sus causas</w:t>
            </w:r>
          </w:p>
        </w:tc>
        <w:tc>
          <w:tcPr>
            <w:tcW w:w="762" w:type="pct"/>
            <w:tcBorders>
              <w:top w:val="nil"/>
              <w:left w:val="single" w:sz="8" w:space="0" w:color="434343"/>
              <w:bottom w:val="single" w:sz="8" w:space="0" w:color="434343"/>
              <w:right w:val="single" w:sz="8" w:space="0" w:color="434343"/>
            </w:tcBorders>
            <w:vAlign w:val="center"/>
          </w:tcPr>
          <w:p w14:paraId="38F51D7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1.1.1.3 Cobertura universal de los servicios básicos</w:t>
            </w:r>
          </w:p>
        </w:tc>
        <w:tc>
          <w:tcPr>
            <w:tcW w:w="736" w:type="pct"/>
            <w:vMerge/>
            <w:tcBorders>
              <w:top w:val="nil"/>
              <w:left w:val="single" w:sz="8" w:space="0" w:color="434343"/>
              <w:bottom w:val="single" w:sz="8" w:space="0" w:color="434343"/>
              <w:right w:val="single" w:sz="8" w:space="0" w:color="434343"/>
            </w:tcBorders>
            <w:vAlign w:val="center"/>
            <w:hideMark/>
          </w:tcPr>
          <w:p w14:paraId="2E77E4FA" w14:textId="77777777" w:rsidR="00794EB9" w:rsidRPr="00794EB9" w:rsidRDefault="00794EB9" w:rsidP="00C307FB">
            <w:pPr>
              <w:rPr>
                <w:rFonts w:ascii="Arial" w:hAnsi="Arial" w:cs="Arial"/>
                <w:b/>
                <w:bCs/>
                <w:sz w:val="22"/>
                <w:szCs w:val="22"/>
                <w:lang w:eastAsia="es-MX"/>
              </w:rPr>
            </w:pPr>
          </w:p>
        </w:tc>
      </w:tr>
      <w:tr w:rsidR="00794EB9" w:rsidRPr="00794EB9" w14:paraId="77D82996" w14:textId="77777777" w:rsidTr="00C307FB">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C03244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Acceso y sostenibilidad del agua, con una sociedad sensible para su uso y </w:t>
            </w:r>
            <w:r w:rsidRPr="00794EB9">
              <w:rPr>
                <w:rFonts w:ascii="Arial" w:hAnsi="Arial" w:cs="Arial"/>
                <w:sz w:val="22"/>
                <w:szCs w:val="22"/>
                <w:lang w:eastAsia="es-MX"/>
              </w:rPr>
              <w:lastRenderedPageBreak/>
              <w:t>cuidado</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F92F31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Garantizar el acceso eficiente al agua, asequible en cantidad y calidad, requerida para los sectores domésti</w:t>
            </w:r>
            <w:r w:rsidRPr="00794EB9">
              <w:rPr>
                <w:rFonts w:ascii="Arial" w:hAnsi="Arial" w:cs="Arial"/>
                <w:sz w:val="22"/>
                <w:szCs w:val="22"/>
                <w:lang w:eastAsia="es-MX"/>
              </w:rPr>
              <w:lastRenderedPageBreak/>
              <w:t>co, industrial, comercial, servicios y agrícola</w:t>
            </w:r>
          </w:p>
        </w:tc>
        <w:tc>
          <w:tcPr>
            <w:tcW w:w="459" w:type="pct"/>
            <w:tcBorders>
              <w:top w:val="nil"/>
              <w:left w:val="nil"/>
              <w:bottom w:val="single" w:sz="8" w:space="0" w:color="434343"/>
              <w:right w:val="single" w:sz="8" w:space="0" w:color="434343"/>
            </w:tcBorders>
            <w:shd w:val="clear" w:color="auto" w:fill="auto"/>
            <w:vAlign w:val="center"/>
            <w:hideMark/>
          </w:tcPr>
          <w:p w14:paraId="7384572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Corresponsabilidad en el aseguramiento del recurso</w:t>
            </w:r>
          </w:p>
        </w:tc>
        <w:tc>
          <w:tcPr>
            <w:tcW w:w="686" w:type="pct"/>
            <w:tcBorders>
              <w:top w:val="nil"/>
              <w:left w:val="nil"/>
              <w:bottom w:val="single" w:sz="8" w:space="0" w:color="434343"/>
              <w:right w:val="single" w:sz="8" w:space="0" w:color="434343"/>
            </w:tcBorders>
            <w:shd w:val="clear" w:color="auto" w:fill="auto"/>
            <w:vAlign w:val="center"/>
            <w:hideMark/>
          </w:tcPr>
          <w:p w14:paraId="37113E9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Fomentar y promover el tratamiento y reutilización de agua en los actuales y futuros fraccionamientos de la ciudad</w:t>
            </w:r>
          </w:p>
        </w:tc>
        <w:tc>
          <w:tcPr>
            <w:tcW w:w="610" w:type="pct"/>
            <w:tcBorders>
              <w:top w:val="nil"/>
              <w:left w:val="single" w:sz="8" w:space="0" w:color="434343"/>
              <w:bottom w:val="single" w:sz="8" w:space="0" w:color="434343"/>
              <w:right w:val="single" w:sz="8" w:space="0" w:color="434343"/>
            </w:tcBorders>
            <w:vAlign w:val="center"/>
          </w:tcPr>
          <w:p w14:paraId="2B9A768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6: Garantizar la disponibilidad de agua y su gestión sostenible y el saneamiento para todos</w:t>
            </w:r>
          </w:p>
        </w:tc>
        <w:tc>
          <w:tcPr>
            <w:tcW w:w="837" w:type="pct"/>
            <w:tcBorders>
              <w:top w:val="nil"/>
              <w:left w:val="single" w:sz="8" w:space="0" w:color="434343"/>
              <w:bottom w:val="single" w:sz="8" w:space="0" w:color="434343"/>
              <w:right w:val="single" w:sz="8" w:space="0" w:color="434343"/>
            </w:tcBorders>
            <w:vAlign w:val="center"/>
          </w:tcPr>
          <w:p w14:paraId="5FC1ECD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3.1.1.5 Tratamiento de aguas residuales para reúso en actividades industriales y riego de áreas verdes</w:t>
            </w:r>
          </w:p>
        </w:tc>
        <w:tc>
          <w:tcPr>
            <w:tcW w:w="762" w:type="pct"/>
            <w:tcBorders>
              <w:top w:val="nil"/>
              <w:left w:val="single" w:sz="8" w:space="0" w:color="434343"/>
              <w:bottom w:val="single" w:sz="8" w:space="0" w:color="434343"/>
              <w:right w:val="single" w:sz="8" w:space="0" w:color="434343"/>
            </w:tcBorders>
            <w:vAlign w:val="center"/>
          </w:tcPr>
          <w:p w14:paraId="2DA6C44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3.1.1 Garantizar la disponibilidad y calidad del agua de acuerdo con sus diferentes destinos</w:t>
            </w:r>
          </w:p>
        </w:tc>
        <w:tc>
          <w:tcPr>
            <w:tcW w:w="736" w:type="pct"/>
            <w:vMerge/>
            <w:tcBorders>
              <w:top w:val="nil"/>
              <w:left w:val="single" w:sz="8" w:space="0" w:color="434343"/>
              <w:bottom w:val="single" w:sz="8" w:space="0" w:color="434343"/>
              <w:right w:val="single" w:sz="8" w:space="0" w:color="434343"/>
            </w:tcBorders>
            <w:vAlign w:val="center"/>
            <w:hideMark/>
          </w:tcPr>
          <w:p w14:paraId="71C3992C" w14:textId="77777777" w:rsidR="00794EB9" w:rsidRPr="00794EB9" w:rsidRDefault="00794EB9" w:rsidP="00C307FB">
            <w:pPr>
              <w:rPr>
                <w:rFonts w:ascii="Arial" w:hAnsi="Arial" w:cs="Arial"/>
                <w:b/>
                <w:bCs/>
                <w:sz w:val="22"/>
                <w:szCs w:val="22"/>
                <w:lang w:eastAsia="es-MX"/>
              </w:rPr>
            </w:pPr>
          </w:p>
        </w:tc>
      </w:tr>
      <w:tr w:rsidR="00794EB9" w:rsidRPr="00794EB9" w14:paraId="32EAB858"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3AC06264"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18B7CC2" w14:textId="77777777" w:rsidR="00794EB9" w:rsidRPr="00794EB9" w:rsidRDefault="00794EB9" w:rsidP="00C307FB">
            <w:pPr>
              <w:rPr>
                <w:rFonts w:ascii="Arial" w:hAnsi="Arial" w:cs="Arial"/>
                <w:sz w:val="22"/>
                <w:szCs w:val="22"/>
                <w:lang w:eastAsia="es-MX"/>
              </w:rPr>
            </w:pP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F3DDD9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Accesibilidad </w:t>
            </w:r>
            <w:r w:rsidRPr="00794EB9">
              <w:rPr>
                <w:rFonts w:ascii="Arial" w:hAnsi="Arial" w:cs="Arial"/>
                <w:sz w:val="22"/>
                <w:szCs w:val="22"/>
                <w:lang w:eastAsia="es-MX"/>
              </w:rPr>
              <w:lastRenderedPageBreak/>
              <w:t>al agua para todos</w:t>
            </w:r>
          </w:p>
        </w:tc>
        <w:tc>
          <w:tcPr>
            <w:tcW w:w="686" w:type="pct"/>
            <w:tcBorders>
              <w:top w:val="nil"/>
              <w:left w:val="nil"/>
              <w:bottom w:val="single" w:sz="8" w:space="0" w:color="434343"/>
              <w:right w:val="single" w:sz="8" w:space="0" w:color="434343"/>
            </w:tcBorders>
            <w:shd w:val="clear" w:color="auto" w:fill="auto"/>
            <w:vAlign w:val="center"/>
            <w:hideMark/>
          </w:tcPr>
          <w:p w14:paraId="6369DB4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Explorar nuevas </w:t>
            </w:r>
            <w:r w:rsidRPr="00794EB9">
              <w:rPr>
                <w:rFonts w:ascii="Arial" w:hAnsi="Arial" w:cs="Arial"/>
                <w:sz w:val="22"/>
                <w:szCs w:val="22"/>
                <w:lang w:eastAsia="es-MX"/>
              </w:rPr>
              <w:lastRenderedPageBreak/>
              <w:t>fuentes alternas como la infiltración, captación de agua de lluvia e intercambio de agua tratada y agrícola, para asegurar el abastecimiento de agua potable y el aprovechamiento sostenible del recurso hídrico</w:t>
            </w:r>
          </w:p>
        </w:tc>
        <w:tc>
          <w:tcPr>
            <w:tcW w:w="610" w:type="pct"/>
            <w:tcBorders>
              <w:top w:val="nil"/>
              <w:left w:val="single" w:sz="8" w:space="0" w:color="434343"/>
              <w:bottom w:val="single" w:sz="8" w:space="0" w:color="434343"/>
              <w:right w:val="single" w:sz="8" w:space="0" w:color="434343"/>
            </w:tcBorders>
            <w:vAlign w:val="center"/>
          </w:tcPr>
          <w:p w14:paraId="6F0DB1F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6: </w:t>
            </w:r>
            <w:r w:rsidRPr="00794EB9">
              <w:rPr>
                <w:rFonts w:ascii="Arial" w:hAnsi="Arial" w:cs="Arial"/>
                <w:b/>
                <w:bCs/>
                <w:sz w:val="22"/>
                <w:szCs w:val="22"/>
                <w:lang w:eastAsia="es-MX"/>
              </w:rPr>
              <w:lastRenderedPageBreak/>
              <w:t>Garantizar la disponibilidad de agua y su gestión sostenible y el saneamiento para todos</w:t>
            </w:r>
          </w:p>
        </w:tc>
        <w:tc>
          <w:tcPr>
            <w:tcW w:w="837" w:type="pct"/>
            <w:tcBorders>
              <w:top w:val="nil"/>
              <w:left w:val="single" w:sz="8" w:space="0" w:color="434343"/>
              <w:bottom w:val="single" w:sz="8" w:space="0" w:color="434343"/>
              <w:right w:val="single" w:sz="8" w:space="0" w:color="434343"/>
            </w:tcBorders>
            <w:vAlign w:val="center"/>
          </w:tcPr>
          <w:p w14:paraId="7B71510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3.1.1 </w:t>
            </w:r>
            <w:r w:rsidRPr="00794EB9">
              <w:rPr>
                <w:rFonts w:ascii="Arial" w:hAnsi="Arial" w:cs="Arial"/>
                <w:b/>
                <w:bCs/>
                <w:sz w:val="22"/>
                <w:szCs w:val="22"/>
                <w:lang w:eastAsia="es-MX"/>
              </w:rPr>
              <w:lastRenderedPageBreak/>
              <w:t>Garantizar la disponibilidad y calidad del agua de acuerdo con sus diferentes destinos</w:t>
            </w:r>
          </w:p>
        </w:tc>
        <w:tc>
          <w:tcPr>
            <w:tcW w:w="762" w:type="pct"/>
            <w:tcBorders>
              <w:top w:val="nil"/>
              <w:left w:val="single" w:sz="8" w:space="0" w:color="434343"/>
              <w:bottom w:val="single" w:sz="8" w:space="0" w:color="434343"/>
              <w:right w:val="single" w:sz="8" w:space="0" w:color="434343"/>
            </w:tcBorders>
            <w:vAlign w:val="center"/>
          </w:tcPr>
          <w:p w14:paraId="453D925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3.1.1.2 </w:t>
            </w:r>
            <w:r w:rsidRPr="00794EB9">
              <w:rPr>
                <w:rFonts w:ascii="Arial" w:hAnsi="Arial" w:cs="Arial"/>
                <w:b/>
                <w:bCs/>
                <w:sz w:val="22"/>
                <w:szCs w:val="22"/>
                <w:lang w:eastAsia="es-MX"/>
              </w:rPr>
              <w:lastRenderedPageBreak/>
              <w:t>Administración eficiente del recurso hídrico, tanto en el ámbito urbano como en el rural</w:t>
            </w:r>
          </w:p>
        </w:tc>
        <w:tc>
          <w:tcPr>
            <w:tcW w:w="736" w:type="pct"/>
            <w:vMerge/>
            <w:tcBorders>
              <w:top w:val="nil"/>
              <w:left w:val="single" w:sz="8" w:space="0" w:color="434343"/>
              <w:bottom w:val="single" w:sz="8" w:space="0" w:color="434343"/>
              <w:right w:val="single" w:sz="8" w:space="0" w:color="434343"/>
            </w:tcBorders>
            <w:vAlign w:val="center"/>
            <w:hideMark/>
          </w:tcPr>
          <w:p w14:paraId="6624F57D" w14:textId="77777777" w:rsidR="00794EB9" w:rsidRPr="00794EB9" w:rsidRDefault="00794EB9" w:rsidP="00C307FB">
            <w:pPr>
              <w:rPr>
                <w:rFonts w:ascii="Arial" w:hAnsi="Arial" w:cs="Arial"/>
                <w:b/>
                <w:bCs/>
                <w:sz w:val="22"/>
                <w:szCs w:val="22"/>
                <w:lang w:eastAsia="es-MX"/>
              </w:rPr>
            </w:pPr>
          </w:p>
        </w:tc>
      </w:tr>
      <w:tr w:rsidR="00794EB9" w:rsidRPr="00794EB9" w14:paraId="74481E3C"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71AECC13"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9D7F960"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4D86B71C"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442B81D7" w14:textId="77777777" w:rsidR="00794EB9" w:rsidRPr="00794EB9" w:rsidRDefault="00794EB9" w:rsidP="00C307FB">
            <w:pPr>
              <w:spacing w:after="240"/>
              <w:rPr>
                <w:rFonts w:ascii="Arial" w:hAnsi="Arial" w:cs="Arial"/>
                <w:sz w:val="22"/>
                <w:szCs w:val="22"/>
                <w:lang w:eastAsia="es-MX"/>
              </w:rPr>
            </w:pPr>
            <w:r w:rsidRPr="00794EB9">
              <w:rPr>
                <w:rFonts w:ascii="Arial" w:hAnsi="Arial" w:cs="Arial"/>
                <w:sz w:val="22"/>
                <w:szCs w:val="22"/>
                <w:lang w:eastAsia="es-MX"/>
              </w:rPr>
              <w:t xml:space="preserve">Impulsar e implementar el Plan Maestro de Desarrollo Hidráulico Municipal a través de los ejes estratégicos de agua potable y alcantarillado, tratamiento, reúso </w:t>
            </w:r>
            <w:r w:rsidRPr="00794EB9">
              <w:rPr>
                <w:rFonts w:ascii="Arial" w:hAnsi="Arial" w:cs="Arial"/>
                <w:sz w:val="22"/>
                <w:szCs w:val="22"/>
                <w:lang w:eastAsia="es-MX"/>
              </w:rPr>
              <w:lastRenderedPageBreak/>
              <w:t>pluvial e hidrometeorológica</w:t>
            </w:r>
          </w:p>
        </w:tc>
        <w:tc>
          <w:tcPr>
            <w:tcW w:w="610" w:type="pct"/>
            <w:tcBorders>
              <w:top w:val="nil"/>
              <w:left w:val="single" w:sz="8" w:space="0" w:color="434343"/>
              <w:bottom w:val="single" w:sz="8" w:space="0" w:color="434343"/>
              <w:right w:val="single" w:sz="8" w:space="0" w:color="434343"/>
            </w:tcBorders>
            <w:vAlign w:val="center"/>
          </w:tcPr>
          <w:p w14:paraId="5420F8A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6: Garantizar la disponibilidad de agua y su gestión sostenible y el saneamiento para todos</w:t>
            </w:r>
          </w:p>
        </w:tc>
        <w:tc>
          <w:tcPr>
            <w:tcW w:w="837" w:type="pct"/>
            <w:tcBorders>
              <w:top w:val="nil"/>
              <w:left w:val="single" w:sz="8" w:space="0" w:color="434343"/>
              <w:bottom w:val="single" w:sz="8" w:space="0" w:color="434343"/>
              <w:right w:val="single" w:sz="8" w:space="0" w:color="434343"/>
            </w:tcBorders>
            <w:vAlign w:val="center"/>
          </w:tcPr>
          <w:p w14:paraId="0FF13AC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3.1.1 Garantizar la disponibilidad y calidad del agua de acuerdo con sus diferentes destinos</w:t>
            </w:r>
          </w:p>
        </w:tc>
        <w:tc>
          <w:tcPr>
            <w:tcW w:w="762" w:type="pct"/>
            <w:tcBorders>
              <w:top w:val="nil"/>
              <w:left w:val="single" w:sz="8" w:space="0" w:color="434343"/>
              <w:bottom w:val="single" w:sz="8" w:space="0" w:color="434343"/>
              <w:right w:val="single" w:sz="8" w:space="0" w:color="434343"/>
            </w:tcBorders>
            <w:vAlign w:val="center"/>
          </w:tcPr>
          <w:p w14:paraId="346898A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3.1.1.1 Crecimiento y consolidación de la infraestructura hidráulica, para la captación y la distribución eficiente del agua</w:t>
            </w:r>
          </w:p>
        </w:tc>
        <w:tc>
          <w:tcPr>
            <w:tcW w:w="736" w:type="pct"/>
            <w:vMerge/>
            <w:tcBorders>
              <w:top w:val="nil"/>
              <w:left w:val="single" w:sz="8" w:space="0" w:color="434343"/>
              <w:bottom w:val="single" w:sz="8" w:space="0" w:color="434343"/>
              <w:right w:val="single" w:sz="8" w:space="0" w:color="434343"/>
            </w:tcBorders>
            <w:vAlign w:val="center"/>
            <w:hideMark/>
          </w:tcPr>
          <w:p w14:paraId="2BB5B0B0" w14:textId="77777777" w:rsidR="00794EB9" w:rsidRPr="00794EB9" w:rsidRDefault="00794EB9" w:rsidP="00C307FB">
            <w:pPr>
              <w:rPr>
                <w:rFonts w:ascii="Arial" w:hAnsi="Arial" w:cs="Arial"/>
                <w:b/>
                <w:bCs/>
                <w:sz w:val="22"/>
                <w:szCs w:val="22"/>
                <w:lang w:eastAsia="es-MX"/>
              </w:rPr>
            </w:pPr>
          </w:p>
        </w:tc>
      </w:tr>
      <w:tr w:rsidR="00794EB9" w:rsidRPr="00794EB9" w14:paraId="2BBCE1A2"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DBCDCE2"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17291F6"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43564543" w14:textId="77777777" w:rsidR="00794EB9" w:rsidRPr="00794EB9" w:rsidRDefault="00794EB9" w:rsidP="00C307FB">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FABEC5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Explorar nuevas fuentes alternas como la infiltración, captación de agua de lluvia e intercambio de agua tratada y agrícola, para asegurar el abastecimiento de agua potable y el aprovechamiento sostenible del recurso hídrico</w:t>
            </w:r>
          </w:p>
        </w:tc>
        <w:tc>
          <w:tcPr>
            <w:tcW w:w="610" w:type="pct"/>
            <w:vMerge w:val="restart"/>
            <w:tcBorders>
              <w:top w:val="nil"/>
              <w:left w:val="single" w:sz="8" w:space="0" w:color="434343"/>
              <w:right w:val="single" w:sz="8" w:space="0" w:color="434343"/>
            </w:tcBorders>
            <w:vAlign w:val="center"/>
          </w:tcPr>
          <w:p w14:paraId="619686A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6: Garantizar la disponibilidad de agua y su gestión sostenible y el saneamiento para todos</w:t>
            </w:r>
          </w:p>
        </w:tc>
        <w:tc>
          <w:tcPr>
            <w:tcW w:w="837" w:type="pct"/>
            <w:vMerge w:val="restart"/>
            <w:tcBorders>
              <w:top w:val="nil"/>
              <w:left w:val="single" w:sz="8" w:space="0" w:color="434343"/>
              <w:right w:val="single" w:sz="8" w:space="0" w:color="434343"/>
            </w:tcBorders>
            <w:vAlign w:val="center"/>
          </w:tcPr>
          <w:p w14:paraId="66B834E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3.1.1 Garantizar la disponibilidad y calidad del agua de acuerdo con sus diferentes destinos</w:t>
            </w:r>
          </w:p>
        </w:tc>
        <w:tc>
          <w:tcPr>
            <w:tcW w:w="762" w:type="pct"/>
            <w:vMerge w:val="restart"/>
            <w:tcBorders>
              <w:top w:val="nil"/>
              <w:left w:val="single" w:sz="8" w:space="0" w:color="434343"/>
              <w:right w:val="single" w:sz="8" w:space="0" w:color="434343"/>
            </w:tcBorders>
            <w:vAlign w:val="center"/>
          </w:tcPr>
          <w:p w14:paraId="43D1FD9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3.1.1.2 Administración eficiente del recurso hídrico, tanto en el ámbito urbano como en el rural</w:t>
            </w:r>
          </w:p>
        </w:tc>
        <w:tc>
          <w:tcPr>
            <w:tcW w:w="736" w:type="pct"/>
            <w:vMerge/>
            <w:tcBorders>
              <w:top w:val="nil"/>
              <w:left w:val="single" w:sz="8" w:space="0" w:color="434343"/>
              <w:bottom w:val="single" w:sz="8" w:space="0" w:color="434343"/>
              <w:right w:val="single" w:sz="8" w:space="0" w:color="434343"/>
            </w:tcBorders>
            <w:vAlign w:val="center"/>
            <w:hideMark/>
          </w:tcPr>
          <w:p w14:paraId="69F9B5B5" w14:textId="77777777" w:rsidR="00794EB9" w:rsidRPr="00794EB9" w:rsidRDefault="00794EB9" w:rsidP="00C307FB">
            <w:pPr>
              <w:rPr>
                <w:rFonts w:ascii="Arial" w:hAnsi="Arial" w:cs="Arial"/>
                <w:b/>
                <w:bCs/>
                <w:sz w:val="22"/>
                <w:szCs w:val="22"/>
                <w:lang w:eastAsia="es-MX"/>
              </w:rPr>
            </w:pPr>
          </w:p>
        </w:tc>
      </w:tr>
      <w:tr w:rsidR="00794EB9" w:rsidRPr="00794EB9" w14:paraId="60EAD495"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828C784"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F7AC741"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443ADA36"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0D21C0A"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378A7DFB"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570FD18F"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14E750D0"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09140AB1" w14:textId="77777777" w:rsidR="00794EB9" w:rsidRPr="00794EB9" w:rsidRDefault="00794EB9" w:rsidP="00C307FB">
            <w:pPr>
              <w:rPr>
                <w:rFonts w:ascii="Arial" w:hAnsi="Arial" w:cs="Arial"/>
                <w:b/>
                <w:bCs/>
                <w:sz w:val="22"/>
                <w:szCs w:val="22"/>
                <w:lang w:eastAsia="es-MX"/>
              </w:rPr>
            </w:pPr>
          </w:p>
        </w:tc>
      </w:tr>
      <w:tr w:rsidR="00794EB9" w:rsidRPr="00794EB9" w14:paraId="1D4AF693"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BEA3F62"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48E519E"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2DDEB05"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68E09BD"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5218794A"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0FF1FFBA"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51EC2F01"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CD4082F" w14:textId="77777777" w:rsidR="00794EB9" w:rsidRPr="00794EB9" w:rsidRDefault="00794EB9" w:rsidP="00C307FB">
            <w:pPr>
              <w:rPr>
                <w:rFonts w:ascii="Arial" w:hAnsi="Arial" w:cs="Arial"/>
                <w:b/>
                <w:bCs/>
                <w:sz w:val="22"/>
                <w:szCs w:val="22"/>
                <w:lang w:eastAsia="es-MX"/>
              </w:rPr>
            </w:pPr>
          </w:p>
        </w:tc>
      </w:tr>
      <w:tr w:rsidR="00794EB9" w:rsidRPr="00794EB9" w14:paraId="2AD024BB"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tcPr>
          <w:p w14:paraId="5FE236D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Sustentabilidad ante el cambio climático</w:t>
            </w:r>
          </w:p>
        </w:tc>
        <w:tc>
          <w:tcPr>
            <w:tcW w:w="541" w:type="pct"/>
            <w:tcBorders>
              <w:top w:val="nil"/>
              <w:left w:val="single" w:sz="8" w:space="0" w:color="434343"/>
              <w:bottom w:val="single" w:sz="8" w:space="0" w:color="434343"/>
              <w:right w:val="single" w:sz="8" w:space="0" w:color="434343"/>
            </w:tcBorders>
            <w:shd w:val="clear" w:color="auto" w:fill="auto"/>
            <w:vAlign w:val="center"/>
          </w:tcPr>
          <w:p w14:paraId="045F0DA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Aprovechar de manera racional y sustentable los recursos naturales a favor de </w:t>
            </w:r>
            <w:r w:rsidRPr="00794EB9">
              <w:rPr>
                <w:rFonts w:ascii="Arial" w:hAnsi="Arial" w:cs="Arial"/>
                <w:sz w:val="22"/>
                <w:szCs w:val="22"/>
                <w:lang w:eastAsia="es-MX"/>
              </w:rPr>
              <w:lastRenderedPageBreak/>
              <w:t>la mitigación y</w:t>
            </w:r>
          </w:p>
          <w:p w14:paraId="4D9CA6C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adaptación ante el cambio climático</w:t>
            </w:r>
          </w:p>
        </w:tc>
        <w:tc>
          <w:tcPr>
            <w:tcW w:w="459" w:type="pct"/>
            <w:tcBorders>
              <w:top w:val="nil"/>
              <w:left w:val="nil"/>
              <w:bottom w:val="single" w:sz="8" w:space="0" w:color="434343"/>
              <w:right w:val="single" w:sz="8" w:space="0" w:color="434343"/>
            </w:tcBorders>
            <w:shd w:val="clear" w:color="auto" w:fill="auto"/>
            <w:vAlign w:val="center"/>
          </w:tcPr>
          <w:p w14:paraId="0DB7D11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Prevención de riesgos por inundaciones</w:t>
            </w:r>
          </w:p>
        </w:tc>
        <w:tc>
          <w:tcPr>
            <w:tcW w:w="686" w:type="pct"/>
            <w:tcBorders>
              <w:top w:val="nil"/>
              <w:left w:val="nil"/>
              <w:bottom w:val="single" w:sz="8" w:space="0" w:color="434343"/>
              <w:right w:val="single" w:sz="8" w:space="0" w:color="434343"/>
            </w:tcBorders>
            <w:shd w:val="clear" w:color="auto" w:fill="auto"/>
          </w:tcPr>
          <w:p w14:paraId="5FDDA8F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Implementar acciones de prevención de contingencias hidráulicas con la construcción y </w:t>
            </w:r>
            <w:r w:rsidRPr="00794EB9">
              <w:rPr>
                <w:rFonts w:ascii="Arial" w:hAnsi="Arial" w:cs="Arial"/>
                <w:sz w:val="22"/>
                <w:szCs w:val="22"/>
                <w:lang w:eastAsia="es-MX"/>
              </w:rPr>
              <w:lastRenderedPageBreak/>
              <w:t>mantenimiento de</w:t>
            </w:r>
          </w:p>
          <w:p w14:paraId="55A8C3E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infraestructura hidráulica y pluvial de control en zonas federales y de amortiguamiento de arroyos</w:t>
            </w:r>
          </w:p>
        </w:tc>
        <w:tc>
          <w:tcPr>
            <w:tcW w:w="610" w:type="pct"/>
            <w:tcBorders>
              <w:top w:val="nil"/>
              <w:left w:val="single" w:sz="8" w:space="0" w:color="434343"/>
              <w:bottom w:val="single" w:sz="8" w:space="0" w:color="434343"/>
              <w:right w:val="single" w:sz="8" w:space="0" w:color="434343"/>
            </w:tcBorders>
            <w:shd w:val="clear" w:color="auto" w:fill="auto"/>
            <w:vAlign w:val="center"/>
          </w:tcPr>
          <w:p w14:paraId="466F840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13: Adoptar medidas urgentes para combatir el cambio climático y sus efectos</w:t>
            </w:r>
          </w:p>
        </w:tc>
        <w:tc>
          <w:tcPr>
            <w:tcW w:w="837" w:type="pct"/>
            <w:tcBorders>
              <w:top w:val="nil"/>
              <w:left w:val="single" w:sz="8" w:space="0" w:color="434343"/>
              <w:bottom w:val="single" w:sz="8" w:space="0" w:color="434343"/>
              <w:right w:val="single" w:sz="8" w:space="0" w:color="434343"/>
            </w:tcBorders>
            <w:shd w:val="clear" w:color="auto" w:fill="auto"/>
            <w:vAlign w:val="center"/>
          </w:tcPr>
          <w:p w14:paraId="3F27D81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OBJETIVO 3.1.3 Desarrollar entre los diferentes sectores de la sociedad las capacidades para la mitigación y adaptación </w:t>
            </w:r>
            <w:r w:rsidRPr="00794EB9">
              <w:rPr>
                <w:rFonts w:ascii="Arial" w:hAnsi="Arial" w:cs="Arial"/>
                <w:b/>
                <w:bCs/>
                <w:sz w:val="22"/>
                <w:szCs w:val="22"/>
                <w:lang w:eastAsia="es-MX"/>
              </w:rPr>
              <w:lastRenderedPageBreak/>
              <w:t>al cambio climático</w:t>
            </w:r>
          </w:p>
        </w:tc>
        <w:tc>
          <w:tcPr>
            <w:tcW w:w="762" w:type="pct"/>
            <w:tcBorders>
              <w:top w:val="nil"/>
              <w:left w:val="single" w:sz="8" w:space="0" w:color="434343"/>
              <w:bottom w:val="single" w:sz="8" w:space="0" w:color="434343"/>
              <w:right w:val="single" w:sz="8" w:space="0" w:color="434343"/>
            </w:tcBorders>
            <w:shd w:val="clear" w:color="auto" w:fill="auto"/>
            <w:vAlign w:val="center"/>
          </w:tcPr>
          <w:p w14:paraId="769A510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3.1.3.3 Promoción de medidas, acciones y proyectos para la adaptación de los asentamientos </w:t>
            </w:r>
            <w:r w:rsidRPr="00794EB9">
              <w:rPr>
                <w:rFonts w:ascii="Arial" w:hAnsi="Arial" w:cs="Arial"/>
                <w:b/>
                <w:bCs/>
                <w:sz w:val="22"/>
                <w:szCs w:val="22"/>
                <w:lang w:eastAsia="es-MX"/>
              </w:rPr>
              <w:lastRenderedPageBreak/>
              <w:t>humanos a los efectos del cambio climático con enfoque de igualdad de género</w:t>
            </w:r>
          </w:p>
        </w:tc>
        <w:tc>
          <w:tcPr>
            <w:tcW w:w="736" w:type="pct"/>
            <w:vMerge/>
            <w:tcBorders>
              <w:top w:val="nil"/>
              <w:left w:val="single" w:sz="8" w:space="0" w:color="434343"/>
              <w:bottom w:val="single" w:sz="8" w:space="0" w:color="434343"/>
              <w:right w:val="single" w:sz="8" w:space="0" w:color="434343"/>
            </w:tcBorders>
            <w:vAlign w:val="center"/>
          </w:tcPr>
          <w:p w14:paraId="192490B5" w14:textId="77777777" w:rsidR="00794EB9" w:rsidRPr="00794EB9" w:rsidRDefault="00794EB9" w:rsidP="00C307FB">
            <w:pPr>
              <w:rPr>
                <w:rFonts w:ascii="Arial" w:hAnsi="Arial" w:cs="Arial"/>
                <w:b/>
                <w:bCs/>
                <w:sz w:val="22"/>
                <w:szCs w:val="22"/>
                <w:lang w:eastAsia="es-MX"/>
              </w:rPr>
            </w:pPr>
          </w:p>
        </w:tc>
      </w:tr>
      <w:tr w:rsidR="00794EB9" w:rsidRPr="00794EB9" w14:paraId="78E5F3E1" w14:textId="77777777" w:rsidTr="00C307FB">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E1DDD8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Equidad social</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AC80B0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459" w:type="pct"/>
            <w:tcBorders>
              <w:top w:val="nil"/>
              <w:left w:val="nil"/>
              <w:bottom w:val="single" w:sz="8" w:space="0" w:color="434343"/>
              <w:right w:val="single" w:sz="8" w:space="0" w:color="434343"/>
            </w:tcBorders>
            <w:shd w:val="clear" w:color="auto" w:fill="auto"/>
            <w:vAlign w:val="center"/>
            <w:hideMark/>
          </w:tcPr>
          <w:p w14:paraId="575B47C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Mejoramiento de las condiciones de vida de los habitantes de las comunidades rurales</w:t>
            </w:r>
          </w:p>
        </w:tc>
        <w:tc>
          <w:tcPr>
            <w:tcW w:w="686" w:type="pct"/>
            <w:tcBorders>
              <w:top w:val="nil"/>
              <w:left w:val="nil"/>
              <w:bottom w:val="single" w:sz="8" w:space="0" w:color="434343"/>
              <w:right w:val="single" w:sz="8" w:space="0" w:color="434343"/>
            </w:tcBorders>
            <w:shd w:val="clear" w:color="auto" w:fill="auto"/>
            <w:vAlign w:val="center"/>
            <w:hideMark/>
          </w:tcPr>
          <w:p w14:paraId="63DEA23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Construir y ampliar las redes de agua potable, drenaje sanitario y saneamiento en comunidades rurales</w:t>
            </w:r>
          </w:p>
        </w:tc>
        <w:tc>
          <w:tcPr>
            <w:tcW w:w="610" w:type="pct"/>
            <w:tcBorders>
              <w:top w:val="nil"/>
              <w:left w:val="single" w:sz="8" w:space="0" w:color="434343"/>
              <w:bottom w:val="single" w:sz="8" w:space="0" w:color="434343"/>
              <w:right w:val="single" w:sz="8" w:space="0" w:color="434343"/>
            </w:tcBorders>
            <w:vAlign w:val="center"/>
          </w:tcPr>
          <w:p w14:paraId="6F0320C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660C6C1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059BC8C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4472885B" w14:textId="77777777" w:rsidR="00794EB9" w:rsidRPr="00794EB9" w:rsidRDefault="00794EB9" w:rsidP="00C307FB">
            <w:pPr>
              <w:rPr>
                <w:rFonts w:ascii="Arial" w:hAnsi="Arial" w:cs="Arial"/>
                <w:b/>
                <w:bCs/>
                <w:sz w:val="22"/>
                <w:szCs w:val="22"/>
                <w:lang w:eastAsia="es-MX"/>
              </w:rPr>
            </w:pPr>
          </w:p>
        </w:tc>
      </w:tr>
      <w:tr w:rsidR="00794EB9" w:rsidRPr="00794EB9" w14:paraId="0880C1EA"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28CA035D"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8EFCDBD" w14:textId="77777777" w:rsidR="00794EB9" w:rsidRPr="00794EB9" w:rsidRDefault="00794EB9" w:rsidP="00C307FB">
            <w:pPr>
              <w:rPr>
                <w:rFonts w:ascii="Arial" w:hAnsi="Arial" w:cs="Arial"/>
                <w:sz w:val="22"/>
                <w:szCs w:val="22"/>
                <w:lang w:eastAsia="es-MX"/>
              </w:rPr>
            </w:pPr>
          </w:p>
        </w:tc>
        <w:tc>
          <w:tcPr>
            <w:tcW w:w="459" w:type="pct"/>
            <w:tcBorders>
              <w:top w:val="nil"/>
              <w:left w:val="nil"/>
              <w:bottom w:val="single" w:sz="8" w:space="0" w:color="434343"/>
              <w:right w:val="single" w:sz="8" w:space="0" w:color="434343"/>
            </w:tcBorders>
            <w:shd w:val="clear" w:color="auto" w:fill="auto"/>
            <w:vAlign w:val="center"/>
            <w:hideMark/>
          </w:tcPr>
          <w:p w14:paraId="52B4CC6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Atención a la población urbana en alguna situación de pobreza</w:t>
            </w:r>
          </w:p>
        </w:tc>
        <w:tc>
          <w:tcPr>
            <w:tcW w:w="686" w:type="pct"/>
            <w:tcBorders>
              <w:top w:val="nil"/>
              <w:left w:val="nil"/>
              <w:bottom w:val="single" w:sz="8" w:space="0" w:color="434343"/>
              <w:right w:val="single" w:sz="8" w:space="0" w:color="434343"/>
            </w:tcBorders>
            <w:shd w:val="clear" w:color="auto" w:fill="auto"/>
            <w:vAlign w:val="center"/>
            <w:hideMark/>
          </w:tcPr>
          <w:p w14:paraId="7D11CE0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Dotar de servicios básicos de agua potable, drenaje sanitario y electrificación para las familias en los polígonos de desarrollo</w:t>
            </w:r>
          </w:p>
        </w:tc>
        <w:tc>
          <w:tcPr>
            <w:tcW w:w="610" w:type="pct"/>
            <w:tcBorders>
              <w:top w:val="nil"/>
              <w:left w:val="single" w:sz="8" w:space="0" w:color="434343"/>
              <w:bottom w:val="single" w:sz="8" w:space="0" w:color="434343"/>
              <w:right w:val="single" w:sz="8" w:space="0" w:color="434343"/>
            </w:tcBorders>
            <w:vAlign w:val="center"/>
          </w:tcPr>
          <w:p w14:paraId="2F1AABA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2D37105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1.1.1 Abatir la pobreza en todas sus vertientes y desde sus causas</w:t>
            </w:r>
          </w:p>
        </w:tc>
        <w:tc>
          <w:tcPr>
            <w:tcW w:w="762" w:type="pct"/>
            <w:tcBorders>
              <w:top w:val="nil"/>
              <w:left w:val="single" w:sz="8" w:space="0" w:color="434343"/>
              <w:bottom w:val="single" w:sz="8" w:space="0" w:color="434343"/>
              <w:right w:val="single" w:sz="8" w:space="0" w:color="434343"/>
            </w:tcBorders>
            <w:vAlign w:val="center"/>
          </w:tcPr>
          <w:p w14:paraId="347A8CB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1.1.1.3 Cobertura universal de los servicios básicos</w:t>
            </w:r>
          </w:p>
        </w:tc>
        <w:tc>
          <w:tcPr>
            <w:tcW w:w="736" w:type="pct"/>
            <w:vMerge/>
            <w:tcBorders>
              <w:top w:val="nil"/>
              <w:left w:val="single" w:sz="8" w:space="0" w:color="434343"/>
              <w:bottom w:val="single" w:sz="8" w:space="0" w:color="434343"/>
              <w:right w:val="single" w:sz="8" w:space="0" w:color="434343"/>
            </w:tcBorders>
            <w:vAlign w:val="center"/>
            <w:hideMark/>
          </w:tcPr>
          <w:p w14:paraId="5C74D0F2" w14:textId="77777777" w:rsidR="00794EB9" w:rsidRPr="00794EB9" w:rsidRDefault="00794EB9" w:rsidP="00C307FB">
            <w:pPr>
              <w:rPr>
                <w:rFonts w:ascii="Arial" w:hAnsi="Arial" w:cs="Arial"/>
                <w:b/>
                <w:bCs/>
                <w:sz w:val="22"/>
                <w:szCs w:val="22"/>
                <w:lang w:eastAsia="es-MX"/>
              </w:rPr>
            </w:pPr>
          </w:p>
        </w:tc>
      </w:tr>
      <w:tr w:rsidR="00794EB9" w:rsidRPr="00794EB9" w14:paraId="2E70AFD2"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E9BD3F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541" w:type="pct"/>
            <w:tcBorders>
              <w:top w:val="nil"/>
              <w:left w:val="nil"/>
              <w:bottom w:val="single" w:sz="8" w:space="0" w:color="434343"/>
              <w:right w:val="single" w:sz="8" w:space="0" w:color="434343"/>
            </w:tcBorders>
            <w:shd w:val="clear" w:color="auto" w:fill="auto"/>
            <w:vAlign w:val="center"/>
            <w:hideMark/>
          </w:tcPr>
          <w:p w14:paraId="4B20BAF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459" w:type="pct"/>
            <w:tcBorders>
              <w:top w:val="nil"/>
              <w:left w:val="nil"/>
              <w:bottom w:val="single" w:sz="8" w:space="0" w:color="434343"/>
              <w:right w:val="single" w:sz="8" w:space="0" w:color="434343"/>
            </w:tcBorders>
            <w:shd w:val="clear" w:color="auto" w:fill="auto"/>
            <w:vAlign w:val="center"/>
            <w:hideMark/>
          </w:tcPr>
          <w:p w14:paraId="41B2AEE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Educación ciudadana con enfoque de derechos </w:t>
            </w:r>
          </w:p>
        </w:tc>
        <w:tc>
          <w:tcPr>
            <w:tcW w:w="686" w:type="pct"/>
            <w:tcBorders>
              <w:top w:val="nil"/>
              <w:left w:val="nil"/>
              <w:bottom w:val="single" w:sz="8" w:space="0" w:color="434343"/>
              <w:right w:val="single" w:sz="8" w:space="0" w:color="434343"/>
            </w:tcBorders>
            <w:shd w:val="clear" w:color="auto" w:fill="auto"/>
            <w:vAlign w:val="center"/>
            <w:hideMark/>
          </w:tcPr>
          <w:p w14:paraId="7EED1E8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un esquema integral de educación ambiental para la ciudadanía,  con énfasis en la participación de niñas, niños y adolescentes</w:t>
            </w:r>
          </w:p>
        </w:tc>
        <w:tc>
          <w:tcPr>
            <w:tcW w:w="610" w:type="pct"/>
            <w:tcBorders>
              <w:top w:val="nil"/>
              <w:left w:val="single" w:sz="8" w:space="0" w:color="434343"/>
              <w:bottom w:val="single" w:sz="8" w:space="0" w:color="434343"/>
              <w:right w:val="single" w:sz="8" w:space="0" w:color="434343"/>
            </w:tcBorders>
            <w:vAlign w:val="center"/>
          </w:tcPr>
          <w:p w14:paraId="69B8DA8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12: Garantizar modalidades de consumo y producción sostenibles</w:t>
            </w:r>
          </w:p>
        </w:tc>
        <w:tc>
          <w:tcPr>
            <w:tcW w:w="837" w:type="pct"/>
            <w:tcBorders>
              <w:top w:val="nil"/>
              <w:left w:val="single" w:sz="8" w:space="0" w:color="434343"/>
              <w:bottom w:val="single" w:sz="8" w:space="0" w:color="434343"/>
              <w:right w:val="single" w:sz="8" w:space="0" w:color="434343"/>
            </w:tcBorders>
            <w:vAlign w:val="center"/>
          </w:tcPr>
          <w:p w14:paraId="73A3B9B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3.1.2 Lograr una adecuada gestión del medio ambiente que favorezca el aprovechamiento racional y sustentable de los recursos naturales</w:t>
            </w:r>
          </w:p>
        </w:tc>
        <w:tc>
          <w:tcPr>
            <w:tcW w:w="762" w:type="pct"/>
            <w:tcBorders>
              <w:top w:val="nil"/>
              <w:left w:val="single" w:sz="8" w:space="0" w:color="434343"/>
              <w:bottom w:val="single" w:sz="8" w:space="0" w:color="434343"/>
              <w:right w:val="single" w:sz="8" w:space="0" w:color="434343"/>
            </w:tcBorders>
            <w:vAlign w:val="center"/>
          </w:tcPr>
          <w:p w14:paraId="6B18916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3.1.2.4 Difusión y protección del patrimonio natural del estado con enfoque incluyen</w:t>
            </w:r>
          </w:p>
        </w:tc>
        <w:tc>
          <w:tcPr>
            <w:tcW w:w="736" w:type="pct"/>
            <w:vMerge/>
            <w:tcBorders>
              <w:top w:val="nil"/>
              <w:left w:val="single" w:sz="8" w:space="0" w:color="434343"/>
              <w:bottom w:val="single" w:sz="8" w:space="0" w:color="434343"/>
              <w:right w:val="single" w:sz="8" w:space="0" w:color="434343"/>
            </w:tcBorders>
            <w:vAlign w:val="center"/>
            <w:hideMark/>
          </w:tcPr>
          <w:p w14:paraId="288FC476" w14:textId="77777777" w:rsidR="00794EB9" w:rsidRPr="00794EB9" w:rsidRDefault="00794EB9" w:rsidP="00C307FB">
            <w:pPr>
              <w:rPr>
                <w:rFonts w:ascii="Arial" w:hAnsi="Arial" w:cs="Arial"/>
                <w:b/>
                <w:bCs/>
                <w:sz w:val="22"/>
                <w:szCs w:val="22"/>
                <w:lang w:eastAsia="es-MX"/>
              </w:rPr>
            </w:pPr>
          </w:p>
        </w:tc>
      </w:tr>
      <w:tr w:rsidR="00794EB9" w:rsidRPr="00794EB9" w14:paraId="240F8F49" w14:textId="77777777" w:rsidTr="00C307FB">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415D3A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Gestión integral de residuos sólidos urbanos</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46632C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Consolidar el modelo para la gestión y manejo integral de los residuos </w:t>
            </w:r>
            <w:r w:rsidRPr="00794EB9">
              <w:rPr>
                <w:rFonts w:ascii="Arial" w:hAnsi="Arial" w:cs="Arial"/>
                <w:sz w:val="22"/>
                <w:szCs w:val="22"/>
                <w:lang w:eastAsia="es-MX"/>
              </w:rPr>
              <w:lastRenderedPageBreak/>
              <w:t>sólidos, desde su recolección hasta su disposición final</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FB7704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Reducción y reciclaje de residuos</w:t>
            </w:r>
          </w:p>
        </w:tc>
        <w:tc>
          <w:tcPr>
            <w:tcW w:w="686" w:type="pct"/>
            <w:tcBorders>
              <w:top w:val="nil"/>
              <w:left w:val="nil"/>
              <w:bottom w:val="single" w:sz="8" w:space="0" w:color="434343"/>
              <w:right w:val="single" w:sz="8" w:space="0" w:color="434343"/>
            </w:tcBorders>
            <w:shd w:val="clear" w:color="auto" w:fill="auto"/>
            <w:vAlign w:val="center"/>
            <w:hideMark/>
          </w:tcPr>
          <w:p w14:paraId="5B5A7E0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Crear un esquema integral de incentivos, que incluyan a la ciudadanía, para generar y fortalecer </w:t>
            </w:r>
            <w:r w:rsidRPr="00794EB9">
              <w:rPr>
                <w:rFonts w:ascii="Arial" w:hAnsi="Arial" w:cs="Arial"/>
                <w:sz w:val="22"/>
                <w:szCs w:val="22"/>
                <w:lang w:eastAsia="es-MX"/>
              </w:rPr>
              <w:lastRenderedPageBreak/>
              <w:t>programas para la recuperación y tratamiento de residuos sólidos valorizables</w:t>
            </w:r>
          </w:p>
        </w:tc>
        <w:tc>
          <w:tcPr>
            <w:tcW w:w="610" w:type="pct"/>
            <w:tcBorders>
              <w:top w:val="nil"/>
              <w:left w:val="single" w:sz="8" w:space="0" w:color="434343"/>
              <w:bottom w:val="single" w:sz="8" w:space="0" w:color="434343"/>
              <w:right w:val="single" w:sz="8" w:space="0" w:color="434343"/>
            </w:tcBorders>
            <w:vAlign w:val="center"/>
          </w:tcPr>
          <w:p w14:paraId="39A0A0A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8: Promover el crecimiento económico inclusivo y sostenib</w:t>
            </w:r>
            <w:r w:rsidRPr="00794EB9">
              <w:rPr>
                <w:rFonts w:ascii="Arial" w:hAnsi="Arial" w:cs="Arial"/>
                <w:b/>
                <w:bCs/>
                <w:sz w:val="22"/>
                <w:szCs w:val="22"/>
                <w:lang w:eastAsia="es-MX"/>
              </w:rPr>
              <w:lastRenderedPageBreak/>
              <w:t>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62406B5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3.1.2 Lograr una adecuada gestión del medio ambiente que favorezca el aprovechamiento </w:t>
            </w:r>
            <w:r w:rsidRPr="00794EB9">
              <w:rPr>
                <w:rFonts w:ascii="Arial" w:hAnsi="Arial" w:cs="Arial"/>
                <w:b/>
                <w:bCs/>
                <w:sz w:val="22"/>
                <w:szCs w:val="22"/>
                <w:lang w:eastAsia="es-MX"/>
              </w:rPr>
              <w:lastRenderedPageBreak/>
              <w:t>racional y sustentable de los recursos naturales</w:t>
            </w:r>
          </w:p>
        </w:tc>
        <w:tc>
          <w:tcPr>
            <w:tcW w:w="762" w:type="pct"/>
            <w:tcBorders>
              <w:top w:val="nil"/>
              <w:left w:val="single" w:sz="8" w:space="0" w:color="434343"/>
              <w:bottom w:val="single" w:sz="8" w:space="0" w:color="434343"/>
              <w:right w:val="single" w:sz="8" w:space="0" w:color="434343"/>
            </w:tcBorders>
            <w:vAlign w:val="center"/>
          </w:tcPr>
          <w:p w14:paraId="5C63547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Estrategia 3.1.2.5 Gestión integral de residuos con base en la valorización y la generación de energía</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9ACC50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 1.6 León siempre limpio</w:t>
            </w:r>
          </w:p>
        </w:tc>
      </w:tr>
      <w:tr w:rsidR="00794EB9" w:rsidRPr="00794EB9" w14:paraId="6C8DDE16"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03F8B306"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6F895F0"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399D1133"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59A9927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y fomentar la reducción, recolección, manejo, transporte y tratamiento de los residuos sólidos urbanos en viviendas, industria, comercio y servicios e implementar un sistema de recuperación de residuos valorizables</w:t>
            </w:r>
          </w:p>
        </w:tc>
        <w:tc>
          <w:tcPr>
            <w:tcW w:w="610" w:type="pct"/>
            <w:tcBorders>
              <w:top w:val="nil"/>
              <w:left w:val="single" w:sz="8" w:space="0" w:color="434343"/>
              <w:bottom w:val="single" w:sz="8" w:space="0" w:color="434343"/>
              <w:right w:val="single" w:sz="8" w:space="0" w:color="434343"/>
            </w:tcBorders>
            <w:vAlign w:val="center"/>
          </w:tcPr>
          <w:p w14:paraId="5965B1C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12: Garantizar modalidades de consumo y producción sostenible</w:t>
            </w:r>
          </w:p>
        </w:tc>
        <w:tc>
          <w:tcPr>
            <w:tcW w:w="837" w:type="pct"/>
            <w:tcBorders>
              <w:top w:val="nil"/>
              <w:left w:val="single" w:sz="8" w:space="0" w:color="434343"/>
              <w:bottom w:val="single" w:sz="8" w:space="0" w:color="434343"/>
              <w:right w:val="single" w:sz="8" w:space="0" w:color="434343"/>
            </w:tcBorders>
            <w:vAlign w:val="center"/>
          </w:tcPr>
          <w:p w14:paraId="2D612BF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3.1.2 Lograr una adecuada gestión del medio ambiente que favorezca el aprovechamiento racional y sustentable de los recursos naturales</w:t>
            </w:r>
          </w:p>
        </w:tc>
        <w:tc>
          <w:tcPr>
            <w:tcW w:w="762" w:type="pct"/>
            <w:tcBorders>
              <w:top w:val="nil"/>
              <w:left w:val="single" w:sz="8" w:space="0" w:color="434343"/>
              <w:bottom w:val="single" w:sz="8" w:space="0" w:color="434343"/>
              <w:right w:val="single" w:sz="8" w:space="0" w:color="434343"/>
            </w:tcBorders>
            <w:vAlign w:val="center"/>
          </w:tcPr>
          <w:p w14:paraId="03E1011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3.1.2.5 Gestión integral de residuos con base en la valorización y la generación de energía</w:t>
            </w:r>
          </w:p>
        </w:tc>
        <w:tc>
          <w:tcPr>
            <w:tcW w:w="736" w:type="pct"/>
            <w:vMerge/>
            <w:tcBorders>
              <w:top w:val="nil"/>
              <w:left w:val="single" w:sz="8" w:space="0" w:color="434343"/>
              <w:bottom w:val="single" w:sz="8" w:space="0" w:color="434343"/>
              <w:right w:val="single" w:sz="8" w:space="0" w:color="434343"/>
            </w:tcBorders>
            <w:vAlign w:val="center"/>
            <w:hideMark/>
          </w:tcPr>
          <w:p w14:paraId="69F4B9EE" w14:textId="77777777" w:rsidR="00794EB9" w:rsidRPr="00794EB9" w:rsidRDefault="00794EB9" w:rsidP="00C307FB">
            <w:pPr>
              <w:rPr>
                <w:rFonts w:ascii="Arial" w:hAnsi="Arial" w:cs="Arial"/>
                <w:b/>
                <w:bCs/>
                <w:sz w:val="22"/>
                <w:szCs w:val="22"/>
                <w:lang w:eastAsia="es-MX"/>
              </w:rPr>
            </w:pPr>
          </w:p>
        </w:tc>
      </w:tr>
      <w:tr w:rsidR="00794EB9" w:rsidRPr="00794EB9" w14:paraId="02A00208"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198DF126"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568FBB8"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578DB588"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727A0DA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Fortalecer y fomentar la reducción, recolección, manejo, transporte </w:t>
            </w:r>
            <w:r w:rsidRPr="00794EB9">
              <w:rPr>
                <w:rFonts w:ascii="Arial" w:hAnsi="Arial" w:cs="Arial"/>
                <w:sz w:val="22"/>
                <w:szCs w:val="22"/>
                <w:lang w:eastAsia="es-MX"/>
              </w:rPr>
              <w:lastRenderedPageBreak/>
              <w:t>y tratamiento de los residuos sólidos urbanos en viviendas, industria, comercio y servicios e implementar un sistema de recuperación de residuos valorizables</w:t>
            </w:r>
          </w:p>
        </w:tc>
        <w:tc>
          <w:tcPr>
            <w:tcW w:w="610" w:type="pct"/>
            <w:tcBorders>
              <w:top w:val="nil"/>
              <w:left w:val="single" w:sz="8" w:space="0" w:color="434343"/>
              <w:bottom w:val="single" w:sz="8" w:space="0" w:color="434343"/>
              <w:right w:val="single" w:sz="8" w:space="0" w:color="434343"/>
            </w:tcBorders>
            <w:vAlign w:val="center"/>
          </w:tcPr>
          <w:p w14:paraId="4F69B08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12: Garantizar modalidades de consum</w:t>
            </w:r>
            <w:r w:rsidRPr="00794EB9">
              <w:rPr>
                <w:rFonts w:ascii="Arial" w:hAnsi="Arial" w:cs="Arial"/>
                <w:b/>
                <w:bCs/>
                <w:sz w:val="22"/>
                <w:szCs w:val="22"/>
                <w:lang w:eastAsia="es-MX"/>
              </w:rPr>
              <w:lastRenderedPageBreak/>
              <w:t>o y producción sostenible</w:t>
            </w:r>
          </w:p>
        </w:tc>
        <w:tc>
          <w:tcPr>
            <w:tcW w:w="837" w:type="pct"/>
            <w:tcBorders>
              <w:top w:val="nil"/>
              <w:left w:val="single" w:sz="8" w:space="0" w:color="434343"/>
              <w:bottom w:val="single" w:sz="8" w:space="0" w:color="434343"/>
              <w:right w:val="single" w:sz="8" w:space="0" w:color="434343"/>
            </w:tcBorders>
            <w:vAlign w:val="center"/>
          </w:tcPr>
          <w:p w14:paraId="24A7142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3.1.2 Lograr una adecuada gestión del medio ambiente </w:t>
            </w:r>
            <w:r w:rsidRPr="00794EB9">
              <w:rPr>
                <w:rFonts w:ascii="Arial" w:hAnsi="Arial" w:cs="Arial"/>
                <w:b/>
                <w:bCs/>
                <w:sz w:val="22"/>
                <w:szCs w:val="22"/>
                <w:lang w:eastAsia="es-MX"/>
              </w:rPr>
              <w:lastRenderedPageBreak/>
              <w:t>que favorezca el aprovechamiento racional y sustentable de los recursos naturales</w:t>
            </w:r>
          </w:p>
        </w:tc>
        <w:tc>
          <w:tcPr>
            <w:tcW w:w="762" w:type="pct"/>
            <w:tcBorders>
              <w:top w:val="nil"/>
              <w:left w:val="single" w:sz="8" w:space="0" w:color="434343"/>
              <w:bottom w:val="single" w:sz="8" w:space="0" w:color="434343"/>
              <w:right w:val="single" w:sz="8" w:space="0" w:color="434343"/>
            </w:tcBorders>
            <w:vAlign w:val="center"/>
          </w:tcPr>
          <w:p w14:paraId="38BBCF9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3.1.2.5 Gestión integral de residuos con base en la </w:t>
            </w:r>
            <w:r w:rsidRPr="00794EB9">
              <w:rPr>
                <w:rFonts w:ascii="Arial" w:hAnsi="Arial" w:cs="Arial"/>
                <w:b/>
                <w:bCs/>
                <w:sz w:val="22"/>
                <w:szCs w:val="22"/>
                <w:lang w:eastAsia="es-MX"/>
              </w:rPr>
              <w:lastRenderedPageBreak/>
              <w:t>valorización y la generación de energía</w:t>
            </w:r>
          </w:p>
        </w:tc>
        <w:tc>
          <w:tcPr>
            <w:tcW w:w="736" w:type="pct"/>
            <w:vMerge/>
            <w:tcBorders>
              <w:top w:val="nil"/>
              <w:left w:val="single" w:sz="8" w:space="0" w:color="434343"/>
              <w:bottom w:val="single" w:sz="8" w:space="0" w:color="434343"/>
              <w:right w:val="single" w:sz="8" w:space="0" w:color="434343"/>
            </w:tcBorders>
            <w:vAlign w:val="center"/>
            <w:hideMark/>
          </w:tcPr>
          <w:p w14:paraId="18189886" w14:textId="77777777" w:rsidR="00794EB9" w:rsidRPr="00794EB9" w:rsidRDefault="00794EB9" w:rsidP="00C307FB">
            <w:pPr>
              <w:rPr>
                <w:rFonts w:ascii="Arial" w:hAnsi="Arial" w:cs="Arial"/>
                <w:b/>
                <w:bCs/>
                <w:sz w:val="22"/>
                <w:szCs w:val="22"/>
                <w:lang w:eastAsia="es-MX"/>
              </w:rPr>
            </w:pPr>
          </w:p>
        </w:tc>
      </w:tr>
      <w:tr w:rsidR="00794EB9" w:rsidRPr="00794EB9" w14:paraId="18678F83"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4F7AACF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304A8B8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36D8687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272C07E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nil"/>
            </w:tcBorders>
            <w:shd w:val="clear" w:color="auto" w:fill="D9D9D9" w:themeFill="background1" w:themeFillShade="D9"/>
            <w:vAlign w:val="center"/>
          </w:tcPr>
          <w:p w14:paraId="5F36FF21" w14:textId="77777777" w:rsidR="00794EB9" w:rsidRPr="00794EB9" w:rsidRDefault="00794EB9" w:rsidP="00C307FB">
            <w:pPr>
              <w:rPr>
                <w:rFonts w:ascii="Arial" w:hAnsi="Arial" w:cs="Arial"/>
                <w:b/>
                <w:bCs/>
                <w:sz w:val="22"/>
                <w:szCs w:val="22"/>
                <w:lang w:eastAsia="es-MX"/>
              </w:rPr>
            </w:pPr>
          </w:p>
        </w:tc>
        <w:tc>
          <w:tcPr>
            <w:tcW w:w="837" w:type="pct"/>
            <w:tcBorders>
              <w:top w:val="nil"/>
              <w:left w:val="nil"/>
              <w:bottom w:val="single" w:sz="8" w:space="0" w:color="434343"/>
              <w:right w:val="nil"/>
            </w:tcBorders>
            <w:shd w:val="clear" w:color="auto" w:fill="D9D9D9" w:themeFill="background1" w:themeFillShade="D9"/>
            <w:vAlign w:val="center"/>
          </w:tcPr>
          <w:p w14:paraId="5BE67E43" w14:textId="77777777" w:rsidR="00794EB9" w:rsidRPr="00794EB9" w:rsidRDefault="00794EB9" w:rsidP="00C307FB">
            <w:pPr>
              <w:rPr>
                <w:rFonts w:ascii="Arial" w:hAnsi="Arial" w:cs="Arial"/>
                <w:b/>
                <w:bCs/>
                <w:sz w:val="22"/>
                <w:szCs w:val="22"/>
                <w:lang w:eastAsia="es-MX"/>
              </w:rPr>
            </w:pPr>
          </w:p>
        </w:tc>
        <w:tc>
          <w:tcPr>
            <w:tcW w:w="762" w:type="pct"/>
            <w:tcBorders>
              <w:top w:val="nil"/>
              <w:left w:val="nil"/>
              <w:bottom w:val="single" w:sz="8" w:space="0" w:color="434343"/>
              <w:right w:val="nil"/>
            </w:tcBorders>
            <w:shd w:val="clear" w:color="auto" w:fill="D9D9D9" w:themeFill="background1" w:themeFillShade="D9"/>
            <w:vAlign w:val="center"/>
          </w:tcPr>
          <w:p w14:paraId="3486B20C" w14:textId="77777777" w:rsidR="00794EB9" w:rsidRPr="00794EB9" w:rsidRDefault="00794EB9" w:rsidP="00C307FB">
            <w:pPr>
              <w:rPr>
                <w:rFonts w:ascii="Arial" w:hAnsi="Arial" w:cs="Arial"/>
                <w:b/>
                <w:bCs/>
                <w:sz w:val="22"/>
                <w:szCs w:val="22"/>
                <w:lang w:eastAsia="es-MX"/>
              </w:rPr>
            </w:pPr>
          </w:p>
        </w:tc>
        <w:tc>
          <w:tcPr>
            <w:tcW w:w="73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2E694AC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VS2. León sin hambre</w:t>
            </w:r>
          </w:p>
        </w:tc>
      </w:tr>
      <w:tr w:rsidR="00794EB9" w:rsidRPr="00794EB9" w14:paraId="539B12D5" w14:textId="77777777" w:rsidTr="00C307FB">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7F963C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Equidad social</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576160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459" w:type="pct"/>
            <w:tcBorders>
              <w:top w:val="nil"/>
              <w:left w:val="nil"/>
              <w:bottom w:val="single" w:sz="8" w:space="0" w:color="434343"/>
              <w:right w:val="single" w:sz="8" w:space="0" w:color="434343"/>
            </w:tcBorders>
            <w:shd w:val="clear" w:color="auto" w:fill="auto"/>
            <w:vAlign w:val="center"/>
            <w:hideMark/>
          </w:tcPr>
          <w:p w14:paraId="6E36BAC4" w14:textId="77777777" w:rsidR="00794EB9" w:rsidRPr="00794EB9" w:rsidRDefault="00794EB9" w:rsidP="00C307FB">
            <w:pPr>
              <w:spacing w:after="240"/>
              <w:rPr>
                <w:rFonts w:ascii="Arial" w:hAnsi="Arial" w:cs="Arial"/>
                <w:sz w:val="22"/>
                <w:szCs w:val="22"/>
                <w:lang w:eastAsia="es-MX"/>
              </w:rPr>
            </w:pPr>
            <w:r w:rsidRPr="00794EB9">
              <w:rPr>
                <w:rFonts w:ascii="Arial" w:hAnsi="Arial" w:cs="Arial"/>
                <w:sz w:val="22"/>
                <w:szCs w:val="22"/>
                <w:lang w:eastAsia="es-MX"/>
              </w:rPr>
              <w:t>Atención a la población urbana en alguna situación de pobreza</w:t>
            </w:r>
          </w:p>
        </w:tc>
        <w:tc>
          <w:tcPr>
            <w:tcW w:w="686" w:type="pct"/>
            <w:tcBorders>
              <w:top w:val="nil"/>
              <w:left w:val="nil"/>
              <w:bottom w:val="single" w:sz="8" w:space="0" w:color="434343"/>
              <w:right w:val="single" w:sz="8" w:space="0" w:color="434343"/>
            </w:tcBorders>
            <w:shd w:val="clear" w:color="auto" w:fill="auto"/>
            <w:vAlign w:val="center"/>
            <w:hideMark/>
          </w:tcPr>
          <w:p w14:paraId="44A7D6F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Ampliar, construir y mantener los servicios públicos de proximidad y los equipamientos urbanos, principalmente de salud y educación, en coordinación con gobierno del estado </w:t>
            </w:r>
            <w:r w:rsidRPr="00794EB9">
              <w:rPr>
                <w:rFonts w:ascii="Arial" w:hAnsi="Arial" w:cs="Arial"/>
                <w:sz w:val="22"/>
                <w:szCs w:val="22"/>
                <w:lang w:eastAsia="es-MX"/>
              </w:rPr>
              <w:lastRenderedPageBreak/>
              <w:t>y en función de las necesidades de los habitantes</w:t>
            </w:r>
          </w:p>
        </w:tc>
        <w:tc>
          <w:tcPr>
            <w:tcW w:w="610" w:type="pct"/>
            <w:tcBorders>
              <w:top w:val="nil"/>
              <w:left w:val="nil"/>
              <w:bottom w:val="single" w:sz="8" w:space="0" w:color="434343"/>
              <w:right w:val="nil"/>
            </w:tcBorders>
            <w:vAlign w:val="center"/>
          </w:tcPr>
          <w:p w14:paraId="75EE424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11: Lograr que las ciudades sean más inclusivas, seguras, resilientes y sostenibles</w:t>
            </w:r>
          </w:p>
        </w:tc>
        <w:tc>
          <w:tcPr>
            <w:tcW w:w="837" w:type="pct"/>
            <w:tcBorders>
              <w:top w:val="nil"/>
              <w:left w:val="nil"/>
              <w:bottom w:val="single" w:sz="8" w:space="0" w:color="434343"/>
              <w:right w:val="nil"/>
            </w:tcBorders>
            <w:vAlign w:val="center"/>
          </w:tcPr>
          <w:p w14:paraId="50709BD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nil"/>
              <w:bottom w:val="single" w:sz="8" w:space="0" w:color="434343"/>
              <w:right w:val="nil"/>
            </w:tcBorders>
            <w:vAlign w:val="center"/>
          </w:tcPr>
          <w:p w14:paraId="0B186EF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w:t>
            </w:r>
            <w:r w:rsidRPr="00794EB9">
              <w:rPr>
                <w:rFonts w:ascii="Arial" w:hAnsi="Arial" w:cs="Arial"/>
                <w:b/>
                <w:bCs/>
                <w:sz w:val="22"/>
                <w:szCs w:val="22"/>
                <w:lang w:eastAsia="es-MX"/>
              </w:rPr>
              <w:lastRenderedPageBreak/>
              <w:t>do las necesidades, condiciones e intereses específicos de mujeres y hombres</w:t>
            </w:r>
          </w:p>
        </w:tc>
        <w:tc>
          <w:tcPr>
            <w:tcW w:w="736" w:type="pct"/>
            <w:tcBorders>
              <w:top w:val="nil"/>
              <w:left w:val="nil"/>
              <w:bottom w:val="single" w:sz="8" w:space="0" w:color="434343"/>
              <w:right w:val="single" w:sz="8" w:space="0" w:color="434343"/>
            </w:tcBorders>
            <w:shd w:val="clear" w:color="auto" w:fill="auto"/>
            <w:vAlign w:val="center"/>
            <w:hideMark/>
          </w:tcPr>
          <w:p w14:paraId="4366A37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VS2.1 Comedores comunitarios</w:t>
            </w:r>
          </w:p>
        </w:tc>
      </w:tr>
      <w:tr w:rsidR="00794EB9" w:rsidRPr="00794EB9" w14:paraId="0E9937EC"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7F2E4B18"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E03D021" w14:textId="77777777" w:rsidR="00794EB9" w:rsidRPr="00794EB9" w:rsidRDefault="00794EB9" w:rsidP="00C307FB">
            <w:pPr>
              <w:rPr>
                <w:rFonts w:ascii="Arial" w:hAnsi="Arial" w:cs="Arial"/>
                <w:sz w:val="22"/>
                <w:szCs w:val="22"/>
                <w:lang w:eastAsia="es-MX"/>
              </w:rPr>
            </w:pP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35457E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Mejoramiento de las condiciones de vida de los habitantes de las comunidades rurales </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5BE2C6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Ampliar la cobertura de servicios públicos municipales y coadyuvar con gobierno del estado en el desarrollo de equipamiento social con énfasis en salud, educación básica y media superior </w:t>
            </w:r>
          </w:p>
        </w:tc>
        <w:tc>
          <w:tcPr>
            <w:tcW w:w="610" w:type="pct"/>
            <w:vMerge w:val="restart"/>
            <w:tcBorders>
              <w:top w:val="nil"/>
              <w:left w:val="single" w:sz="8" w:space="0" w:color="434343"/>
              <w:right w:val="single" w:sz="8" w:space="0" w:color="434343"/>
            </w:tcBorders>
            <w:vAlign w:val="center"/>
          </w:tcPr>
          <w:p w14:paraId="5BBAA80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vMerge w:val="restart"/>
            <w:tcBorders>
              <w:top w:val="nil"/>
              <w:left w:val="single" w:sz="8" w:space="0" w:color="434343"/>
              <w:right w:val="single" w:sz="8" w:space="0" w:color="434343"/>
            </w:tcBorders>
            <w:vAlign w:val="center"/>
          </w:tcPr>
          <w:p w14:paraId="22CC5C3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vMerge w:val="restart"/>
            <w:tcBorders>
              <w:top w:val="nil"/>
              <w:left w:val="single" w:sz="8" w:space="0" w:color="434343"/>
              <w:right w:val="single" w:sz="8" w:space="0" w:color="434343"/>
            </w:tcBorders>
            <w:vAlign w:val="center"/>
          </w:tcPr>
          <w:p w14:paraId="14F9D39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F37112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VS2.2 Alianzas por un León sin hambre</w:t>
            </w:r>
          </w:p>
        </w:tc>
      </w:tr>
      <w:tr w:rsidR="00794EB9" w:rsidRPr="00794EB9" w14:paraId="10370B63"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70301CC"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3968B744"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14B8279"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8D91C78"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4C26107E"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6B53A277"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028C9044"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5873CDE" w14:textId="77777777" w:rsidR="00794EB9" w:rsidRPr="00794EB9" w:rsidRDefault="00794EB9" w:rsidP="00C307FB">
            <w:pPr>
              <w:rPr>
                <w:rFonts w:ascii="Arial" w:hAnsi="Arial" w:cs="Arial"/>
                <w:b/>
                <w:bCs/>
                <w:sz w:val="22"/>
                <w:szCs w:val="22"/>
                <w:lang w:eastAsia="es-MX"/>
              </w:rPr>
            </w:pPr>
          </w:p>
        </w:tc>
      </w:tr>
      <w:tr w:rsidR="00794EB9" w:rsidRPr="00794EB9" w14:paraId="1DE1AE3E"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2ABC8D50"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E860052"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5C6FD7E"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DF78AFE"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6C9BD8EF"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31DE3E8A"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3611F565" w14:textId="77777777" w:rsidR="00794EB9" w:rsidRPr="00794EB9" w:rsidRDefault="00794EB9" w:rsidP="00C307FB">
            <w:pPr>
              <w:rPr>
                <w:rFonts w:ascii="Arial" w:hAnsi="Arial" w:cs="Arial"/>
                <w:b/>
                <w:bCs/>
                <w:sz w:val="22"/>
                <w:szCs w:val="22"/>
                <w:lang w:eastAsia="es-MX"/>
              </w:rPr>
            </w:pPr>
          </w:p>
        </w:tc>
        <w:tc>
          <w:tcPr>
            <w:tcW w:w="736" w:type="pct"/>
            <w:tcBorders>
              <w:top w:val="nil"/>
              <w:left w:val="single" w:sz="8" w:space="0" w:color="434343"/>
              <w:bottom w:val="single" w:sz="8" w:space="0" w:color="434343"/>
              <w:right w:val="single" w:sz="8" w:space="0" w:color="434343"/>
            </w:tcBorders>
            <w:shd w:val="clear" w:color="auto" w:fill="auto"/>
            <w:vAlign w:val="center"/>
            <w:hideMark/>
          </w:tcPr>
          <w:p w14:paraId="6A00058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VS2.3 Proyecto integral de asistencia social</w:t>
            </w:r>
          </w:p>
        </w:tc>
      </w:tr>
      <w:tr w:rsidR="00794EB9" w:rsidRPr="00794EB9" w14:paraId="7298334C"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75E646F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1E3CF4F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238E074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1ABA62C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nil"/>
            </w:tcBorders>
            <w:shd w:val="clear" w:color="auto" w:fill="D9D9D9" w:themeFill="background1" w:themeFillShade="D9"/>
            <w:vAlign w:val="center"/>
          </w:tcPr>
          <w:p w14:paraId="7B6C04F1" w14:textId="77777777" w:rsidR="00794EB9" w:rsidRPr="00794EB9" w:rsidRDefault="00794EB9" w:rsidP="00C307FB">
            <w:pPr>
              <w:rPr>
                <w:rFonts w:ascii="Arial" w:hAnsi="Arial" w:cs="Arial"/>
                <w:b/>
                <w:bCs/>
                <w:sz w:val="22"/>
                <w:szCs w:val="22"/>
                <w:lang w:eastAsia="es-MX"/>
              </w:rPr>
            </w:pPr>
          </w:p>
        </w:tc>
        <w:tc>
          <w:tcPr>
            <w:tcW w:w="837" w:type="pct"/>
            <w:tcBorders>
              <w:top w:val="nil"/>
              <w:left w:val="nil"/>
              <w:bottom w:val="single" w:sz="8" w:space="0" w:color="434343"/>
              <w:right w:val="nil"/>
            </w:tcBorders>
            <w:shd w:val="clear" w:color="auto" w:fill="D9D9D9" w:themeFill="background1" w:themeFillShade="D9"/>
            <w:vAlign w:val="center"/>
          </w:tcPr>
          <w:p w14:paraId="7A068889" w14:textId="77777777" w:rsidR="00794EB9" w:rsidRPr="00794EB9" w:rsidRDefault="00794EB9" w:rsidP="00C307FB">
            <w:pPr>
              <w:rPr>
                <w:rFonts w:ascii="Arial" w:hAnsi="Arial" w:cs="Arial"/>
                <w:b/>
                <w:bCs/>
                <w:sz w:val="22"/>
                <w:szCs w:val="22"/>
                <w:lang w:eastAsia="es-MX"/>
              </w:rPr>
            </w:pPr>
          </w:p>
        </w:tc>
        <w:tc>
          <w:tcPr>
            <w:tcW w:w="762" w:type="pct"/>
            <w:tcBorders>
              <w:top w:val="nil"/>
              <w:left w:val="nil"/>
              <w:bottom w:val="single" w:sz="8" w:space="0" w:color="434343"/>
              <w:right w:val="nil"/>
            </w:tcBorders>
            <w:shd w:val="clear" w:color="auto" w:fill="D9D9D9" w:themeFill="background1" w:themeFillShade="D9"/>
            <w:vAlign w:val="center"/>
          </w:tcPr>
          <w:p w14:paraId="67B0DAB1" w14:textId="77777777" w:rsidR="00794EB9" w:rsidRPr="00794EB9" w:rsidRDefault="00794EB9" w:rsidP="00C307FB">
            <w:pPr>
              <w:rPr>
                <w:rFonts w:ascii="Arial" w:hAnsi="Arial" w:cs="Arial"/>
                <w:b/>
                <w:bCs/>
                <w:sz w:val="22"/>
                <w:szCs w:val="22"/>
                <w:lang w:eastAsia="es-MX"/>
              </w:rPr>
            </w:pPr>
          </w:p>
        </w:tc>
        <w:tc>
          <w:tcPr>
            <w:tcW w:w="73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06C299F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VS3. León Saludable</w:t>
            </w:r>
          </w:p>
        </w:tc>
      </w:tr>
      <w:tr w:rsidR="00794EB9" w:rsidRPr="00794EB9" w14:paraId="0C753D2B" w14:textId="77777777" w:rsidTr="00C307FB">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3F4E3C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Estilos </w:t>
            </w:r>
            <w:r w:rsidRPr="00794EB9">
              <w:rPr>
                <w:rFonts w:ascii="Arial" w:hAnsi="Arial" w:cs="Arial"/>
                <w:sz w:val="22"/>
                <w:szCs w:val="22"/>
                <w:lang w:eastAsia="es-MX"/>
              </w:rPr>
              <w:lastRenderedPageBreak/>
              <w:t>de vida saludable</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4D2CB7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Consolidar una </w:t>
            </w:r>
            <w:r w:rsidRPr="00794EB9">
              <w:rPr>
                <w:rFonts w:ascii="Arial" w:hAnsi="Arial" w:cs="Arial"/>
                <w:sz w:val="22"/>
                <w:szCs w:val="22"/>
                <w:lang w:eastAsia="es-MX"/>
              </w:rPr>
              <w:lastRenderedPageBreak/>
              <w:t>cultura de prevención, auto cuidado y hábitos saludables para la reducción de enfermedades crónico-degenerativas y psicosociales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5D4785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Cultura de </w:t>
            </w:r>
            <w:r w:rsidRPr="00794EB9">
              <w:rPr>
                <w:rFonts w:ascii="Arial" w:hAnsi="Arial" w:cs="Arial"/>
                <w:sz w:val="22"/>
                <w:szCs w:val="22"/>
                <w:lang w:eastAsia="es-MX"/>
              </w:rPr>
              <w:lastRenderedPageBreak/>
              <w:t>prevención, autocuidado y atención de la salud</w:t>
            </w:r>
          </w:p>
        </w:tc>
        <w:tc>
          <w:tcPr>
            <w:tcW w:w="686" w:type="pct"/>
            <w:tcBorders>
              <w:top w:val="nil"/>
              <w:left w:val="nil"/>
              <w:bottom w:val="single" w:sz="8" w:space="0" w:color="434343"/>
              <w:right w:val="single" w:sz="8" w:space="0" w:color="434343"/>
            </w:tcBorders>
            <w:shd w:val="clear" w:color="auto" w:fill="auto"/>
            <w:vAlign w:val="center"/>
            <w:hideMark/>
          </w:tcPr>
          <w:p w14:paraId="5319487E" w14:textId="77777777" w:rsidR="00794EB9" w:rsidRPr="00794EB9" w:rsidRDefault="00794EB9" w:rsidP="00C307FB">
            <w:pPr>
              <w:spacing w:after="240"/>
              <w:rPr>
                <w:rFonts w:ascii="Arial" w:hAnsi="Arial" w:cs="Arial"/>
                <w:sz w:val="22"/>
                <w:szCs w:val="22"/>
                <w:lang w:eastAsia="es-MX"/>
              </w:rPr>
            </w:pPr>
            <w:r w:rsidRPr="00794EB9">
              <w:rPr>
                <w:rFonts w:ascii="Arial" w:hAnsi="Arial" w:cs="Arial"/>
                <w:sz w:val="22"/>
                <w:szCs w:val="22"/>
                <w:lang w:eastAsia="es-MX"/>
              </w:rPr>
              <w:lastRenderedPageBreak/>
              <w:t xml:space="preserve">Implementar </w:t>
            </w:r>
            <w:r w:rsidRPr="00794EB9">
              <w:rPr>
                <w:rFonts w:ascii="Arial" w:hAnsi="Arial" w:cs="Arial"/>
                <w:sz w:val="22"/>
                <w:szCs w:val="22"/>
                <w:lang w:eastAsia="es-MX"/>
              </w:rPr>
              <w:lastRenderedPageBreak/>
              <w:t xml:space="preserve">esquemas de prevención y atención médica orientados al cuidado de las personas adultas mayores </w:t>
            </w:r>
          </w:p>
        </w:tc>
        <w:tc>
          <w:tcPr>
            <w:tcW w:w="610" w:type="pct"/>
            <w:tcBorders>
              <w:top w:val="nil"/>
              <w:left w:val="single" w:sz="8" w:space="0" w:color="434343"/>
              <w:bottom w:val="single" w:sz="8" w:space="0" w:color="434343"/>
              <w:right w:val="single" w:sz="8" w:space="0" w:color="434343"/>
            </w:tcBorders>
            <w:vAlign w:val="center"/>
          </w:tcPr>
          <w:p w14:paraId="0BFEEE0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10: </w:t>
            </w:r>
            <w:r w:rsidRPr="00794EB9">
              <w:rPr>
                <w:rFonts w:ascii="Arial" w:hAnsi="Arial" w:cs="Arial"/>
                <w:b/>
                <w:bCs/>
                <w:sz w:val="22"/>
                <w:szCs w:val="22"/>
                <w:lang w:eastAsia="es-MX"/>
              </w:rPr>
              <w:lastRenderedPageBreak/>
              <w:t>Reducir la desigualdad en y entre los países</w:t>
            </w:r>
          </w:p>
        </w:tc>
        <w:tc>
          <w:tcPr>
            <w:tcW w:w="837" w:type="pct"/>
            <w:tcBorders>
              <w:top w:val="nil"/>
              <w:left w:val="single" w:sz="8" w:space="0" w:color="434343"/>
              <w:bottom w:val="single" w:sz="8" w:space="0" w:color="434343"/>
              <w:right w:val="single" w:sz="8" w:space="0" w:color="434343"/>
            </w:tcBorders>
            <w:vAlign w:val="center"/>
          </w:tcPr>
          <w:p w14:paraId="4DFE5DB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1.3.1 </w:t>
            </w:r>
            <w:r w:rsidRPr="00794EB9">
              <w:rPr>
                <w:rFonts w:ascii="Arial" w:hAnsi="Arial" w:cs="Arial"/>
                <w:b/>
                <w:bCs/>
                <w:sz w:val="22"/>
                <w:szCs w:val="22"/>
                <w:lang w:eastAsia="es-MX"/>
              </w:rPr>
              <w:lastRenderedPageBreak/>
              <w:t>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325EAAF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1.3.1.3 </w:t>
            </w:r>
            <w:r w:rsidRPr="00794EB9">
              <w:rPr>
                <w:rFonts w:ascii="Arial" w:hAnsi="Arial" w:cs="Arial"/>
                <w:b/>
                <w:bCs/>
                <w:sz w:val="22"/>
                <w:szCs w:val="22"/>
                <w:lang w:eastAsia="es-MX"/>
              </w:rPr>
              <w:lastRenderedPageBreak/>
              <w:t>Incremento en las acciones de inclusión que permitan a las personas adultas mayores participar activamente en el desarrollo de Guanajuato con un enfoque de género</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4D0E1D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VS3.1 Médico en tu casa</w:t>
            </w:r>
          </w:p>
        </w:tc>
      </w:tr>
      <w:tr w:rsidR="00794EB9" w:rsidRPr="00794EB9" w14:paraId="59F4DBC8"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08B84D80"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181E7CA"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FA60461"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6F02C87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Desarrollar programas de atención médica para la población con alguna discapacidad</w:t>
            </w:r>
          </w:p>
        </w:tc>
        <w:tc>
          <w:tcPr>
            <w:tcW w:w="610" w:type="pct"/>
            <w:tcBorders>
              <w:top w:val="nil"/>
              <w:left w:val="single" w:sz="8" w:space="0" w:color="434343"/>
              <w:bottom w:val="single" w:sz="8" w:space="0" w:color="434343"/>
              <w:right w:val="single" w:sz="8" w:space="0" w:color="434343"/>
            </w:tcBorders>
            <w:vAlign w:val="center"/>
          </w:tcPr>
          <w:p w14:paraId="58D1652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 Garantizar una vida sana y promover el bienestar para todos en todas las edades</w:t>
            </w:r>
          </w:p>
        </w:tc>
        <w:tc>
          <w:tcPr>
            <w:tcW w:w="837" w:type="pct"/>
            <w:tcBorders>
              <w:top w:val="nil"/>
              <w:left w:val="single" w:sz="8" w:space="0" w:color="434343"/>
              <w:bottom w:val="single" w:sz="8" w:space="0" w:color="434343"/>
              <w:right w:val="single" w:sz="8" w:space="0" w:color="434343"/>
            </w:tcBorders>
            <w:vAlign w:val="center"/>
          </w:tcPr>
          <w:p w14:paraId="742286F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1.1.2 Otorgar servicios de salud oportunos, con altos estándares de calidad y seguridad para las y los pacientes</w:t>
            </w:r>
          </w:p>
        </w:tc>
        <w:tc>
          <w:tcPr>
            <w:tcW w:w="762" w:type="pct"/>
            <w:tcBorders>
              <w:top w:val="nil"/>
              <w:left w:val="single" w:sz="8" w:space="0" w:color="434343"/>
              <w:bottom w:val="single" w:sz="8" w:space="0" w:color="434343"/>
              <w:right w:val="single" w:sz="8" w:space="0" w:color="434343"/>
            </w:tcBorders>
            <w:vAlign w:val="center"/>
          </w:tcPr>
          <w:p w14:paraId="6BA0D75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1.1.2.4 Garantía de la cercanía de los servicios de salud a la población</w:t>
            </w:r>
          </w:p>
        </w:tc>
        <w:tc>
          <w:tcPr>
            <w:tcW w:w="736" w:type="pct"/>
            <w:vMerge/>
            <w:tcBorders>
              <w:top w:val="nil"/>
              <w:left w:val="single" w:sz="8" w:space="0" w:color="434343"/>
              <w:bottom w:val="single" w:sz="8" w:space="0" w:color="434343"/>
              <w:right w:val="single" w:sz="8" w:space="0" w:color="434343"/>
            </w:tcBorders>
            <w:vAlign w:val="center"/>
            <w:hideMark/>
          </w:tcPr>
          <w:p w14:paraId="14714F1E" w14:textId="77777777" w:rsidR="00794EB9" w:rsidRPr="00794EB9" w:rsidRDefault="00794EB9" w:rsidP="00C307FB">
            <w:pPr>
              <w:rPr>
                <w:rFonts w:ascii="Arial" w:hAnsi="Arial" w:cs="Arial"/>
                <w:b/>
                <w:bCs/>
                <w:sz w:val="22"/>
                <w:szCs w:val="22"/>
                <w:lang w:eastAsia="es-MX"/>
              </w:rPr>
            </w:pPr>
          </w:p>
        </w:tc>
      </w:tr>
      <w:tr w:rsidR="00794EB9" w:rsidRPr="00794EB9" w14:paraId="581D17B2"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21A0761A"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3DF933F"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53209C85"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252182D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Generar esquemas complementarios de atención a la salud desde el municipio, que </w:t>
            </w:r>
            <w:r w:rsidRPr="00794EB9">
              <w:rPr>
                <w:rFonts w:ascii="Arial" w:hAnsi="Arial" w:cs="Arial"/>
                <w:sz w:val="22"/>
                <w:szCs w:val="22"/>
                <w:lang w:eastAsia="es-MX"/>
              </w:rPr>
              <w:lastRenderedPageBreak/>
              <w:t>brinden consultas de primer contacto y disminuyan la demanda en centros especializados de salud</w:t>
            </w:r>
          </w:p>
        </w:tc>
        <w:tc>
          <w:tcPr>
            <w:tcW w:w="610" w:type="pct"/>
            <w:tcBorders>
              <w:top w:val="nil"/>
              <w:left w:val="single" w:sz="8" w:space="0" w:color="434343"/>
              <w:bottom w:val="single" w:sz="8" w:space="0" w:color="434343"/>
              <w:right w:val="single" w:sz="8" w:space="0" w:color="434343"/>
            </w:tcBorders>
            <w:vAlign w:val="center"/>
          </w:tcPr>
          <w:p w14:paraId="11A55AD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3: Garantizar una vida sana y promover el bienesta</w:t>
            </w:r>
            <w:r w:rsidRPr="00794EB9">
              <w:rPr>
                <w:rFonts w:ascii="Arial" w:hAnsi="Arial" w:cs="Arial"/>
                <w:b/>
                <w:bCs/>
                <w:sz w:val="22"/>
                <w:szCs w:val="22"/>
                <w:lang w:eastAsia="es-MX"/>
              </w:rPr>
              <w:lastRenderedPageBreak/>
              <w:t>r para todos en todas las edades</w:t>
            </w:r>
          </w:p>
        </w:tc>
        <w:tc>
          <w:tcPr>
            <w:tcW w:w="837" w:type="pct"/>
            <w:tcBorders>
              <w:top w:val="nil"/>
              <w:left w:val="single" w:sz="8" w:space="0" w:color="434343"/>
              <w:bottom w:val="single" w:sz="8" w:space="0" w:color="434343"/>
              <w:right w:val="single" w:sz="8" w:space="0" w:color="434343"/>
            </w:tcBorders>
            <w:vAlign w:val="center"/>
          </w:tcPr>
          <w:p w14:paraId="0F9B5AD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1.1.2 Otorgar servicios de salud oportunos, con altos estándares de calidad y </w:t>
            </w:r>
            <w:r w:rsidRPr="00794EB9">
              <w:rPr>
                <w:rFonts w:ascii="Arial" w:hAnsi="Arial" w:cs="Arial"/>
                <w:b/>
                <w:bCs/>
                <w:sz w:val="22"/>
                <w:szCs w:val="22"/>
                <w:lang w:eastAsia="es-MX"/>
              </w:rPr>
              <w:lastRenderedPageBreak/>
              <w:t>seguridad para las y los pacientes</w:t>
            </w:r>
          </w:p>
        </w:tc>
        <w:tc>
          <w:tcPr>
            <w:tcW w:w="762" w:type="pct"/>
            <w:tcBorders>
              <w:top w:val="nil"/>
              <w:left w:val="single" w:sz="8" w:space="0" w:color="434343"/>
              <w:bottom w:val="single" w:sz="8" w:space="0" w:color="434343"/>
              <w:right w:val="single" w:sz="8" w:space="0" w:color="434343"/>
            </w:tcBorders>
            <w:vAlign w:val="center"/>
          </w:tcPr>
          <w:p w14:paraId="55F9281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1.1.2.4 Garantía de la cercanía de los servicios de salud a </w:t>
            </w:r>
            <w:r w:rsidRPr="00794EB9">
              <w:rPr>
                <w:rFonts w:ascii="Arial" w:hAnsi="Arial" w:cs="Arial"/>
                <w:b/>
                <w:bCs/>
                <w:sz w:val="22"/>
                <w:szCs w:val="22"/>
                <w:lang w:eastAsia="es-MX"/>
              </w:rPr>
              <w:lastRenderedPageBreak/>
              <w:t>la población</w:t>
            </w:r>
          </w:p>
        </w:tc>
        <w:tc>
          <w:tcPr>
            <w:tcW w:w="736" w:type="pct"/>
            <w:vMerge/>
            <w:tcBorders>
              <w:top w:val="nil"/>
              <w:left w:val="single" w:sz="8" w:space="0" w:color="434343"/>
              <w:bottom w:val="single" w:sz="8" w:space="0" w:color="434343"/>
              <w:right w:val="single" w:sz="8" w:space="0" w:color="434343"/>
            </w:tcBorders>
            <w:vAlign w:val="center"/>
            <w:hideMark/>
          </w:tcPr>
          <w:p w14:paraId="52851FAD" w14:textId="77777777" w:rsidR="00794EB9" w:rsidRPr="00794EB9" w:rsidRDefault="00794EB9" w:rsidP="00C307FB">
            <w:pPr>
              <w:rPr>
                <w:rFonts w:ascii="Arial" w:hAnsi="Arial" w:cs="Arial"/>
                <w:b/>
                <w:bCs/>
                <w:sz w:val="22"/>
                <w:szCs w:val="22"/>
                <w:lang w:eastAsia="es-MX"/>
              </w:rPr>
            </w:pPr>
          </w:p>
        </w:tc>
      </w:tr>
      <w:tr w:rsidR="00794EB9" w:rsidRPr="00794EB9" w14:paraId="022AEC85"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6F22FE6C"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C87719E"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631E81F4"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246C596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un modelo municipal de salud preventiva que promueva estilos de vida saludable y la activación física, con énfasis en zonas de mayor vulnerabilidad</w:t>
            </w:r>
          </w:p>
        </w:tc>
        <w:tc>
          <w:tcPr>
            <w:tcW w:w="610" w:type="pct"/>
            <w:tcBorders>
              <w:top w:val="nil"/>
              <w:left w:val="single" w:sz="8" w:space="0" w:color="434343"/>
              <w:bottom w:val="single" w:sz="8" w:space="0" w:color="434343"/>
              <w:right w:val="single" w:sz="8" w:space="0" w:color="434343"/>
            </w:tcBorders>
            <w:vAlign w:val="center"/>
          </w:tcPr>
          <w:p w14:paraId="6BAE0C7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 Garantizar una vida sana y promover el bienestar para todos en todas las edades</w:t>
            </w:r>
          </w:p>
        </w:tc>
        <w:tc>
          <w:tcPr>
            <w:tcW w:w="837" w:type="pct"/>
            <w:tcBorders>
              <w:top w:val="nil"/>
              <w:left w:val="single" w:sz="8" w:space="0" w:color="434343"/>
              <w:bottom w:val="single" w:sz="8" w:space="0" w:color="434343"/>
              <w:right w:val="single" w:sz="8" w:space="0" w:color="434343"/>
            </w:tcBorders>
            <w:vAlign w:val="center"/>
          </w:tcPr>
          <w:p w14:paraId="0F20575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1.1.2 Otorgar servicios de salud oportunos, con altos estándares de calidad y seguridad para las y los pacientes</w:t>
            </w:r>
          </w:p>
        </w:tc>
        <w:tc>
          <w:tcPr>
            <w:tcW w:w="762" w:type="pct"/>
            <w:tcBorders>
              <w:top w:val="nil"/>
              <w:left w:val="single" w:sz="8" w:space="0" w:color="434343"/>
              <w:bottom w:val="single" w:sz="8" w:space="0" w:color="434343"/>
              <w:right w:val="single" w:sz="8" w:space="0" w:color="434343"/>
            </w:tcBorders>
            <w:vAlign w:val="center"/>
          </w:tcPr>
          <w:p w14:paraId="66C2997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1.1.2.1 Consolidación de un sistema de salud universal con un enfoque participativo, preventivo, oportuno y de calidad</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286384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VS3.2 Prevención de enfermedades, Adicciones y Educación Nutricional</w:t>
            </w:r>
          </w:p>
        </w:tc>
      </w:tr>
      <w:tr w:rsidR="00794EB9" w:rsidRPr="00794EB9" w14:paraId="006725AD"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3C0582C"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4503701F" w14:textId="77777777" w:rsidR="00794EB9" w:rsidRPr="00794EB9" w:rsidRDefault="00794EB9" w:rsidP="00C307FB">
            <w:pPr>
              <w:rPr>
                <w:rFonts w:ascii="Arial" w:hAnsi="Arial" w:cs="Arial"/>
                <w:sz w:val="22"/>
                <w:szCs w:val="22"/>
                <w:lang w:eastAsia="es-MX"/>
              </w:rPr>
            </w:pP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FF1217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Atención a la salud mental y las adicciones</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09DA1A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Implementar programas de atención a la salud mental, emocional y de prevención del suicidio, con </w:t>
            </w:r>
            <w:r w:rsidRPr="00794EB9">
              <w:rPr>
                <w:rFonts w:ascii="Arial" w:hAnsi="Arial" w:cs="Arial"/>
                <w:sz w:val="22"/>
                <w:szCs w:val="22"/>
                <w:lang w:eastAsia="es-MX"/>
              </w:rPr>
              <w:lastRenderedPageBreak/>
              <w:t>énfasis en adolescentes, y con apoyo del entorno familiar y comunitario</w:t>
            </w:r>
          </w:p>
        </w:tc>
        <w:tc>
          <w:tcPr>
            <w:tcW w:w="610" w:type="pct"/>
            <w:vMerge w:val="restart"/>
            <w:tcBorders>
              <w:top w:val="nil"/>
              <w:left w:val="single" w:sz="8" w:space="0" w:color="434343"/>
              <w:right w:val="single" w:sz="8" w:space="0" w:color="434343"/>
            </w:tcBorders>
            <w:vAlign w:val="center"/>
          </w:tcPr>
          <w:p w14:paraId="4A4F723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3: Garantizar una vida sana y promover el bienestar para todos en todas </w:t>
            </w:r>
            <w:r w:rsidRPr="00794EB9">
              <w:rPr>
                <w:rFonts w:ascii="Arial" w:hAnsi="Arial" w:cs="Arial"/>
                <w:b/>
                <w:bCs/>
                <w:sz w:val="22"/>
                <w:szCs w:val="22"/>
                <w:lang w:eastAsia="es-MX"/>
              </w:rPr>
              <w:lastRenderedPageBreak/>
              <w:t>las edades</w:t>
            </w:r>
          </w:p>
        </w:tc>
        <w:tc>
          <w:tcPr>
            <w:tcW w:w="837" w:type="pct"/>
            <w:vMerge w:val="restart"/>
            <w:tcBorders>
              <w:top w:val="nil"/>
              <w:left w:val="single" w:sz="8" w:space="0" w:color="434343"/>
              <w:right w:val="single" w:sz="8" w:space="0" w:color="434343"/>
            </w:tcBorders>
            <w:vAlign w:val="center"/>
          </w:tcPr>
          <w:p w14:paraId="64DC723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1.3.1 Asegurar las condiciones para el desarrollo pleno e igualitario de los grupos prioritarios del estado</w:t>
            </w:r>
          </w:p>
        </w:tc>
        <w:tc>
          <w:tcPr>
            <w:tcW w:w="762" w:type="pct"/>
            <w:vMerge w:val="restart"/>
            <w:tcBorders>
              <w:top w:val="nil"/>
              <w:left w:val="single" w:sz="8" w:space="0" w:color="434343"/>
              <w:right w:val="single" w:sz="8" w:space="0" w:color="434343"/>
            </w:tcBorders>
            <w:vAlign w:val="center"/>
          </w:tcPr>
          <w:p w14:paraId="78161BC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Estrategia 1.3.1.2 Apoyo para que las personas jóvenes potencien sus habilidades y capacidades para el </w:t>
            </w:r>
            <w:r w:rsidRPr="00794EB9">
              <w:rPr>
                <w:rFonts w:ascii="Arial" w:hAnsi="Arial" w:cs="Arial"/>
                <w:b/>
                <w:bCs/>
                <w:sz w:val="22"/>
                <w:szCs w:val="22"/>
                <w:lang w:eastAsia="es-MX"/>
              </w:rPr>
              <w:lastRenderedPageBreak/>
              <w:t>logro de sus proyectos de vida en condiciones de igualdad</w:t>
            </w:r>
          </w:p>
        </w:tc>
        <w:tc>
          <w:tcPr>
            <w:tcW w:w="736" w:type="pct"/>
            <w:vMerge/>
            <w:tcBorders>
              <w:top w:val="nil"/>
              <w:left w:val="single" w:sz="8" w:space="0" w:color="434343"/>
              <w:bottom w:val="single" w:sz="8" w:space="0" w:color="434343"/>
              <w:right w:val="single" w:sz="8" w:space="0" w:color="434343"/>
            </w:tcBorders>
            <w:vAlign w:val="center"/>
            <w:hideMark/>
          </w:tcPr>
          <w:p w14:paraId="0334171B" w14:textId="77777777" w:rsidR="00794EB9" w:rsidRPr="00794EB9" w:rsidRDefault="00794EB9" w:rsidP="00C307FB">
            <w:pPr>
              <w:rPr>
                <w:rFonts w:ascii="Arial" w:hAnsi="Arial" w:cs="Arial"/>
                <w:b/>
                <w:bCs/>
                <w:sz w:val="22"/>
                <w:szCs w:val="22"/>
                <w:lang w:eastAsia="es-MX"/>
              </w:rPr>
            </w:pPr>
          </w:p>
        </w:tc>
      </w:tr>
      <w:tr w:rsidR="00794EB9" w:rsidRPr="00794EB9" w14:paraId="07CED0B2"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101D208A"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48760B91"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3A6A785"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B757E18"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45734465"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7213C32F"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7B33E2DF"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10938E82" w14:textId="77777777" w:rsidR="00794EB9" w:rsidRPr="00794EB9" w:rsidRDefault="00794EB9" w:rsidP="00C307FB">
            <w:pPr>
              <w:rPr>
                <w:rFonts w:ascii="Arial" w:hAnsi="Arial" w:cs="Arial"/>
                <w:b/>
                <w:bCs/>
                <w:sz w:val="22"/>
                <w:szCs w:val="22"/>
                <w:lang w:eastAsia="es-MX"/>
              </w:rPr>
            </w:pPr>
          </w:p>
        </w:tc>
      </w:tr>
      <w:tr w:rsidR="00794EB9" w:rsidRPr="00794EB9" w14:paraId="3AFB0CA2"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428EA5F"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0B410B5"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6F1D38F"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64DECB1"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167E10AE"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7D529689"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6465EFDE"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35AFF948" w14:textId="77777777" w:rsidR="00794EB9" w:rsidRPr="00794EB9" w:rsidRDefault="00794EB9" w:rsidP="00C307FB">
            <w:pPr>
              <w:rPr>
                <w:rFonts w:ascii="Arial" w:hAnsi="Arial" w:cs="Arial"/>
                <w:b/>
                <w:bCs/>
                <w:sz w:val="22"/>
                <w:szCs w:val="22"/>
                <w:lang w:eastAsia="es-MX"/>
              </w:rPr>
            </w:pPr>
          </w:p>
        </w:tc>
      </w:tr>
      <w:tr w:rsidR="00794EB9" w:rsidRPr="00794EB9" w14:paraId="0E1B26C0"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4C2075A6"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44E3022" w14:textId="77777777" w:rsidR="00794EB9" w:rsidRPr="00794EB9" w:rsidRDefault="00794EB9" w:rsidP="00C307FB">
            <w:pPr>
              <w:rPr>
                <w:rFonts w:ascii="Arial" w:hAnsi="Arial" w:cs="Arial"/>
                <w:sz w:val="22"/>
                <w:szCs w:val="22"/>
                <w:lang w:eastAsia="es-MX"/>
              </w:rPr>
            </w:pPr>
          </w:p>
        </w:tc>
        <w:tc>
          <w:tcPr>
            <w:tcW w:w="459" w:type="pct"/>
            <w:tcBorders>
              <w:top w:val="nil"/>
              <w:left w:val="nil"/>
              <w:bottom w:val="single" w:sz="8" w:space="0" w:color="434343"/>
              <w:right w:val="single" w:sz="8" w:space="0" w:color="434343"/>
            </w:tcBorders>
            <w:shd w:val="clear" w:color="auto" w:fill="auto"/>
            <w:vAlign w:val="center"/>
            <w:hideMark/>
          </w:tcPr>
          <w:p w14:paraId="16993F2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686" w:type="pct"/>
            <w:tcBorders>
              <w:top w:val="nil"/>
              <w:left w:val="nil"/>
              <w:bottom w:val="single" w:sz="8" w:space="0" w:color="434343"/>
              <w:right w:val="single" w:sz="8" w:space="0" w:color="434343"/>
            </w:tcBorders>
            <w:shd w:val="clear" w:color="auto" w:fill="auto"/>
            <w:vAlign w:val="center"/>
            <w:hideMark/>
          </w:tcPr>
          <w:p w14:paraId="1017800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un modelo municipal de salud preventiva que promueva estilos de vida saludable y la activación física, con énfasis en zonas de mayor vulnerabilidad</w:t>
            </w:r>
          </w:p>
        </w:tc>
        <w:tc>
          <w:tcPr>
            <w:tcW w:w="610" w:type="pct"/>
            <w:tcBorders>
              <w:top w:val="nil"/>
              <w:left w:val="single" w:sz="8" w:space="0" w:color="434343"/>
              <w:bottom w:val="single" w:sz="8" w:space="0" w:color="434343"/>
              <w:right w:val="single" w:sz="8" w:space="0" w:color="434343"/>
            </w:tcBorders>
            <w:vAlign w:val="center"/>
          </w:tcPr>
          <w:p w14:paraId="70963D8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 Garantizar una vida sana y promover el bienestar para todos en todas las edades</w:t>
            </w:r>
          </w:p>
        </w:tc>
        <w:tc>
          <w:tcPr>
            <w:tcW w:w="837" w:type="pct"/>
            <w:tcBorders>
              <w:top w:val="nil"/>
              <w:left w:val="single" w:sz="8" w:space="0" w:color="434343"/>
              <w:bottom w:val="single" w:sz="8" w:space="0" w:color="434343"/>
              <w:right w:val="single" w:sz="8" w:space="0" w:color="434343"/>
            </w:tcBorders>
            <w:vAlign w:val="center"/>
          </w:tcPr>
          <w:p w14:paraId="4EC2CFA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1.1.2 Otorgar servicios de salud oportunos, con altos estándares de calidad y seguridad para las y los pacientes</w:t>
            </w:r>
          </w:p>
        </w:tc>
        <w:tc>
          <w:tcPr>
            <w:tcW w:w="762" w:type="pct"/>
            <w:tcBorders>
              <w:top w:val="nil"/>
              <w:left w:val="single" w:sz="8" w:space="0" w:color="434343"/>
              <w:bottom w:val="single" w:sz="8" w:space="0" w:color="434343"/>
              <w:right w:val="single" w:sz="8" w:space="0" w:color="434343"/>
            </w:tcBorders>
            <w:vAlign w:val="center"/>
          </w:tcPr>
          <w:p w14:paraId="22A5770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1.1.2.1 Consolidación de un sistema de salud universal con un enfoque participativo, preventivo, oportuno y de calidad</w:t>
            </w:r>
          </w:p>
        </w:tc>
        <w:tc>
          <w:tcPr>
            <w:tcW w:w="736" w:type="pct"/>
            <w:vMerge/>
            <w:tcBorders>
              <w:top w:val="nil"/>
              <w:left w:val="single" w:sz="8" w:space="0" w:color="434343"/>
              <w:bottom w:val="single" w:sz="8" w:space="0" w:color="434343"/>
              <w:right w:val="single" w:sz="8" w:space="0" w:color="434343"/>
            </w:tcBorders>
            <w:vAlign w:val="center"/>
            <w:hideMark/>
          </w:tcPr>
          <w:p w14:paraId="40D38827" w14:textId="77777777" w:rsidR="00794EB9" w:rsidRPr="00794EB9" w:rsidRDefault="00794EB9" w:rsidP="00C307FB">
            <w:pPr>
              <w:rPr>
                <w:rFonts w:ascii="Arial" w:hAnsi="Arial" w:cs="Arial"/>
                <w:b/>
                <w:bCs/>
                <w:sz w:val="22"/>
                <w:szCs w:val="22"/>
                <w:lang w:eastAsia="es-MX"/>
              </w:rPr>
            </w:pPr>
          </w:p>
        </w:tc>
      </w:tr>
      <w:tr w:rsidR="00794EB9" w:rsidRPr="00794EB9" w14:paraId="02F2EF80"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42AA3A6A"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78FC3DC" w14:textId="77777777" w:rsidR="00794EB9" w:rsidRPr="00794EB9" w:rsidRDefault="00794EB9" w:rsidP="00C307FB">
            <w:pPr>
              <w:rPr>
                <w:rFonts w:ascii="Arial" w:hAnsi="Arial" w:cs="Arial"/>
                <w:sz w:val="22"/>
                <w:szCs w:val="22"/>
                <w:lang w:eastAsia="es-MX"/>
              </w:rPr>
            </w:pPr>
          </w:p>
        </w:tc>
        <w:tc>
          <w:tcPr>
            <w:tcW w:w="459" w:type="pct"/>
            <w:tcBorders>
              <w:top w:val="nil"/>
              <w:left w:val="nil"/>
              <w:bottom w:val="single" w:sz="8" w:space="0" w:color="434343"/>
              <w:right w:val="single" w:sz="8" w:space="0" w:color="434343"/>
            </w:tcBorders>
            <w:shd w:val="clear" w:color="auto" w:fill="auto"/>
            <w:vAlign w:val="center"/>
            <w:hideMark/>
          </w:tcPr>
          <w:p w14:paraId="0159901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Atención a la salud mental y las adicciones</w:t>
            </w:r>
          </w:p>
        </w:tc>
        <w:tc>
          <w:tcPr>
            <w:tcW w:w="686" w:type="pct"/>
            <w:tcBorders>
              <w:top w:val="nil"/>
              <w:left w:val="nil"/>
              <w:bottom w:val="single" w:sz="8" w:space="0" w:color="434343"/>
              <w:right w:val="single" w:sz="8" w:space="0" w:color="434343"/>
            </w:tcBorders>
            <w:shd w:val="clear" w:color="auto" w:fill="auto"/>
            <w:vAlign w:val="center"/>
            <w:hideMark/>
          </w:tcPr>
          <w:p w14:paraId="63FA5D0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programas de prevención y atención a las adicciones, con énfasis en niñas, niños y adolescentes, con la colaboraci</w:t>
            </w:r>
            <w:r w:rsidRPr="00794EB9">
              <w:rPr>
                <w:rFonts w:ascii="Arial" w:hAnsi="Arial" w:cs="Arial"/>
                <w:sz w:val="22"/>
                <w:szCs w:val="22"/>
                <w:lang w:eastAsia="es-MX"/>
              </w:rPr>
              <w:lastRenderedPageBreak/>
              <w:t>ón de sus entornos familiares y comunitarios</w:t>
            </w:r>
          </w:p>
        </w:tc>
        <w:tc>
          <w:tcPr>
            <w:tcW w:w="610" w:type="pct"/>
            <w:tcBorders>
              <w:top w:val="nil"/>
              <w:left w:val="single" w:sz="8" w:space="0" w:color="434343"/>
              <w:bottom w:val="single" w:sz="8" w:space="0" w:color="434343"/>
              <w:right w:val="single" w:sz="8" w:space="0" w:color="434343"/>
            </w:tcBorders>
            <w:vAlign w:val="center"/>
          </w:tcPr>
          <w:p w14:paraId="16D0EEF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3: Garantizar una vida sana y promover el bienestar para todos en todas las edades</w:t>
            </w:r>
          </w:p>
        </w:tc>
        <w:tc>
          <w:tcPr>
            <w:tcW w:w="837" w:type="pct"/>
            <w:tcBorders>
              <w:top w:val="nil"/>
              <w:left w:val="single" w:sz="8" w:space="0" w:color="434343"/>
              <w:bottom w:val="single" w:sz="8" w:space="0" w:color="434343"/>
              <w:right w:val="single" w:sz="8" w:space="0" w:color="434343"/>
            </w:tcBorders>
            <w:vAlign w:val="center"/>
          </w:tcPr>
          <w:p w14:paraId="686BD82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0C508EB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1.3.1.1 Garantía de los derechos de las niñas, niños y adolescentes</w:t>
            </w:r>
          </w:p>
        </w:tc>
        <w:tc>
          <w:tcPr>
            <w:tcW w:w="736" w:type="pct"/>
            <w:vMerge/>
            <w:tcBorders>
              <w:top w:val="nil"/>
              <w:left w:val="single" w:sz="8" w:space="0" w:color="434343"/>
              <w:bottom w:val="single" w:sz="8" w:space="0" w:color="434343"/>
              <w:right w:val="single" w:sz="8" w:space="0" w:color="434343"/>
            </w:tcBorders>
            <w:vAlign w:val="center"/>
            <w:hideMark/>
          </w:tcPr>
          <w:p w14:paraId="097FB297" w14:textId="77777777" w:rsidR="00794EB9" w:rsidRPr="00794EB9" w:rsidRDefault="00794EB9" w:rsidP="00C307FB">
            <w:pPr>
              <w:rPr>
                <w:rFonts w:ascii="Arial" w:hAnsi="Arial" w:cs="Arial"/>
                <w:b/>
                <w:bCs/>
                <w:sz w:val="22"/>
                <w:szCs w:val="22"/>
                <w:lang w:eastAsia="es-MX"/>
              </w:rPr>
            </w:pPr>
          </w:p>
        </w:tc>
      </w:tr>
      <w:tr w:rsidR="00794EB9" w:rsidRPr="00794EB9" w14:paraId="5E104577"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3CDAAE28"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C581844" w14:textId="77777777" w:rsidR="00794EB9" w:rsidRPr="00794EB9" w:rsidRDefault="00794EB9" w:rsidP="00C307FB">
            <w:pPr>
              <w:rPr>
                <w:rFonts w:ascii="Arial" w:hAnsi="Arial" w:cs="Arial"/>
                <w:sz w:val="22"/>
                <w:szCs w:val="22"/>
                <w:lang w:eastAsia="es-MX"/>
              </w:rPr>
            </w:pPr>
          </w:p>
        </w:tc>
        <w:tc>
          <w:tcPr>
            <w:tcW w:w="459" w:type="pct"/>
            <w:tcBorders>
              <w:top w:val="nil"/>
              <w:left w:val="nil"/>
              <w:bottom w:val="single" w:sz="8" w:space="0" w:color="434343"/>
              <w:right w:val="single" w:sz="8" w:space="0" w:color="434343"/>
            </w:tcBorders>
            <w:shd w:val="clear" w:color="auto" w:fill="auto"/>
            <w:vAlign w:val="center"/>
            <w:hideMark/>
          </w:tcPr>
          <w:p w14:paraId="4AA7AA1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686" w:type="pct"/>
            <w:tcBorders>
              <w:top w:val="nil"/>
              <w:left w:val="nil"/>
              <w:bottom w:val="single" w:sz="8" w:space="0" w:color="434343"/>
              <w:right w:val="single" w:sz="8" w:space="0" w:color="434343"/>
            </w:tcBorders>
            <w:shd w:val="clear" w:color="auto" w:fill="auto"/>
            <w:vAlign w:val="center"/>
            <w:hideMark/>
          </w:tcPr>
          <w:p w14:paraId="1D360A5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esquemas complementarios de atención a la salud desde el municipio, que brinden consultas de primer contacto y disminuyan la demanda en centros especializados de salud</w:t>
            </w:r>
          </w:p>
        </w:tc>
        <w:tc>
          <w:tcPr>
            <w:tcW w:w="610" w:type="pct"/>
            <w:tcBorders>
              <w:top w:val="nil"/>
              <w:left w:val="nil"/>
              <w:bottom w:val="single" w:sz="8" w:space="0" w:color="434343"/>
              <w:right w:val="nil"/>
            </w:tcBorders>
            <w:vAlign w:val="center"/>
          </w:tcPr>
          <w:p w14:paraId="3D3712A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 Garantizar una vida sana y promover el bienestar para todos en todas las edades</w:t>
            </w:r>
          </w:p>
        </w:tc>
        <w:tc>
          <w:tcPr>
            <w:tcW w:w="837" w:type="pct"/>
            <w:tcBorders>
              <w:top w:val="nil"/>
              <w:left w:val="nil"/>
              <w:bottom w:val="single" w:sz="8" w:space="0" w:color="434343"/>
              <w:right w:val="nil"/>
            </w:tcBorders>
            <w:vAlign w:val="center"/>
          </w:tcPr>
          <w:p w14:paraId="04D37E3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1.1.2 Otorgar servicios de salud oportunos, con altos estándares de calidad y seguridad para las y los pacientes</w:t>
            </w:r>
          </w:p>
        </w:tc>
        <w:tc>
          <w:tcPr>
            <w:tcW w:w="762" w:type="pct"/>
            <w:tcBorders>
              <w:top w:val="nil"/>
              <w:left w:val="nil"/>
              <w:bottom w:val="single" w:sz="8" w:space="0" w:color="434343"/>
              <w:right w:val="nil"/>
            </w:tcBorders>
            <w:vAlign w:val="center"/>
          </w:tcPr>
          <w:p w14:paraId="409DCCE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1.1.2.4 Garantía de la cercanía de los servicios de salud a la población</w:t>
            </w:r>
          </w:p>
        </w:tc>
        <w:tc>
          <w:tcPr>
            <w:tcW w:w="736" w:type="pct"/>
            <w:tcBorders>
              <w:top w:val="nil"/>
              <w:left w:val="nil"/>
              <w:bottom w:val="single" w:sz="8" w:space="0" w:color="434343"/>
              <w:right w:val="single" w:sz="8" w:space="0" w:color="434343"/>
            </w:tcBorders>
            <w:shd w:val="clear" w:color="auto" w:fill="auto"/>
            <w:vAlign w:val="center"/>
            <w:hideMark/>
          </w:tcPr>
          <w:p w14:paraId="00C9F03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VS3.3 Apoyos para la salud familiar</w:t>
            </w:r>
          </w:p>
        </w:tc>
      </w:tr>
      <w:tr w:rsidR="00794EB9" w:rsidRPr="00794EB9" w14:paraId="78AD683B"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3145D2E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5EB7CF3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4C9543C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1555F81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nil"/>
            </w:tcBorders>
            <w:shd w:val="clear" w:color="auto" w:fill="D9D9D9" w:themeFill="background1" w:themeFillShade="D9"/>
            <w:vAlign w:val="center"/>
          </w:tcPr>
          <w:p w14:paraId="1E1C7409" w14:textId="77777777" w:rsidR="00794EB9" w:rsidRPr="00794EB9" w:rsidRDefault="00794EB9" w:rsidP="00C307FB">
            <w:pPr>
              <w:rPr>
                <w:rFonts w:ascii="Arial" w:hAnsi="Arial" w:cs="Arial"/>
                <w:b/>
                <w:bCs/>
                <w:sz w:val="22"/>
                <w:szCs w:val="22"/>
                <w:lang w:eastAsia="es-MX"/>
              </w:rPr>
            </w:pPr>
          </w:p>
        </w:tc>
        <w:tc>
          <w:tcPr>
            <w:tcW w:w="837" w:type="pct"/>
            <w:tcBorders>
              <w:top w:val="nil"/>
              <w:left w:val="nil"/>
              <w:bottom w:val="single" w:sz="8" w:space="0" w:color="434343"/>
              <w:right w:val="nil"/>
            </w:tcBorders>
            <w:shd w:val="clear" w:color="auto" w:fill="D9D9D9" w:themeFill="background1" w:themeFillShade="D9"/>
            <w:vAlign w:val="center"/>
          </w:tcPr>
          <w:p w14:paraId="449C4EA4" w14:textId="77777777" w:rsidR="00794EB9" w:rsidRPr="00794EB9" w:rsidRDefault="00794EB9" w:rsidP="00C307FB">
            <w:pPr>
              <w:rPr>
                <w:rFonts w:ascii="Arial" w:hAnsi="Arial" w:cs="Arial"/>
                <w:b/>
                <w:bCs/>
                <w:sz w:val="22"/>
                <w:szCs w:val="22"/>
                <w:lang w:eastAsia="es-MX"/>
              </w:rPr>
            </w:pPr>
          </w:p>
        </w:tc>
        <w:tc>
          <w:tcPr>
            <w:tcW w:w="762" w:type="pct"/>
            <w:tcBorders>
              <w:top w:val="nil"/>
              <w:left w:val="nil"/>
              <w:bottom w:val="single" w:sz="8" w:space="0" w:color="434343"/>
              <w:right w:val="nil"/>
            </w:tcBorders>
            <w:shd w:val="clear" w:color="auto" w:fill="D9D9D9" w:themeFill="background1" w:themeFillShade="D9"/>
            <w:vAlign w:val="center"/>
          </w:tcPr>
          <w:p w14:paraId="3B81CD75" w14:textId="77777777" w:rsidR="00794EB9" w:rsidRPr="00794EB9" w:rsidRDefault="00794EB9" w:rsidP="00C307FB">
            <w:pPr>
              <w:rPr>
                <w:rFonts w:ascii="Arial" w:hAnsi="Arial" w:cs="Arial"/>
                <w:b/>
                <w:bCs/>
                <w:sz w:val="22"/>
                <w:szCs w:val="22"/>
                <w:lang w:eastAsia="es-MX"/>
              </w:rPr>
            </w:pPr>
          </w:p>
        </w:tc>
        <w:tc>
          <w:tcPr>
            <w:tcW w:w="73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7DB3E03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VS4. León para todos</w:t>
            </w:r>
          </w:p>
        </w:tc>
      </w:tr>
      <w:tr w:rsidR="00794EB9" w:rsidRPr="00794EB9" w14:paraId="0E995FF2" w14:textId="77777777" w:rsidTr="00C307FB">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F849FF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 Igualdad e inclusión</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DF8817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personas, respeta</w:t>
            </w:r>
            <w:r w:rsidRPr="00794EB9">
              <w:rPr>
                <w:rFonts w:ascii="Arial" w:hAnsi="Arial" w:cs="Arial"/>
                <w:sz w:val="22"/>
                <w:szCs w:val="22"/>
                <w:lang w:eastAsia="es-MX"/>
              </w:rPr>
              <w:lastRenderedPageBreak/>
              <w:t>ndo la diversidad sociocultural y los Derechos Humanos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18AC24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Fortalecimiento de la igualdad de género</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34C5C7D" w14:textId="77777777" w:rsidR="00794EB9" w:rsidRPr="00794EB9" w:rsidRDefault="00794EB9" w:rsidP="00C307FB">
            <w:pPr>
              <w:spacing w:after="240"/>
              <w:rPr>
                <w:rFonts w:ascii="Arial" w:hAnsi="Arial" w:cs="Arial"/>
                <w:sz w:val="22"/>
                <w:szCs w:val="22"/>
                <w:lang w:eastAsia="es-MX"/>
              </w:rPr>
            </w:pPr>
            <w:r w:rsidRPr="00794EB9">
              <w:rPr>
                <w:rFonts w:ascii="Arial" w:hAnsi="Arial" w:cs="Arial"/>
                <w:sz w:val="22"/>
                <w:szCs w:val="22"/>
                <w:lang w:eastAsia="es-MX"/>
              </w:rPr>
              <w:t xml:space="preserve">Establecer mecanismos interinstitucionales de prevención y atención organizada de la violencia de género, en todas sus </w:t>
            </w:r>
            <w:r w:rsidRPr="00794EB9">
              <w:rPr>
                <w:rFonts w:ascii="Arial" w:hAnsi="Arial" w:cs="Arial"/>
                <w:sz w:val="22"/>
                <w:szCs w:val="22"/>
                <w:lang w:eastAsia="es-MX"/>
              </w:rPr>
              <w:lastRenderedPageBreak/>
              <w:t>modalidades y condiciones en los ámbitos público y privado</w:t>
            </w:r>
          </w:p>
        </w:tc>
        <w:tc>
          <w:tcPr>
            <w:tcW w:w="610" w:type="pct"/>
            <w:vMerge w:val="restart"/>
            <w:tcBorders>
              <w:top w:val="nil"/>
              <w:left w:val="single" w:sz="8" w:space="0" w:color="434343"/>
              <w:right w:val="single" w:sz="8" w:space="0" w:color="434343"/>
            </w:tcBorders>
            <w:vAlign w:val="center"/>
          </w:tcPr>
          <w:p w14:paraId="7384E57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5: Lograr la igualdad entre los géneros y empoderar a todas las mujeres y las niñas</w:t>
            </w:r>
          </w:p>
        </w:tc>
        <w:tc>
          <w:tcPr>
            <w:tcW w:w="837" w:type="pct"/>
            <w:vMerge w:val="restart"/>
            <w:tcBorders>
              <w:top w:val="nil"/>
              <w:left w:val="single" w:sz="8" w:space="0" w:color="434343"/>
              <w:right w:val="single" w:sz="8" w:space="0" w:color="434343"/>
            </w:tcBorders>
            <w:vAlign w:val="center"/>
          </w:tcPr>
          <w:p w14:paraId="4C6355E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1.1.4 Asegurar el derecho de las mujeres a una vida libre de violencia</w:t>
            </w:r>
          </w:p>
        </w:tc>
        <w:tc>
          <w:tcPr>
            <w:tcW w:w="762" w:type="pct"/>
            <w:vMerge w:val="restart"/>
            <w:tcBorders>
              <w:top w:val="nil"/>
              <w:left w:val="single" w:sz="8" w:space="0" w:color="434343"/>
              <w:right w:val="single" w:sz="8" w:space="0" w:color="434343"/>
            </w:tcBorders>
            <w:vAlign w:val="center"/>
          </w:tcPr>
          <w:p w14:paraId="19E352C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1.1.4.1 Sensibilización y capacitación a los diversos grupos sociales en los que existe mayor prevalencia de maltrato</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0EAE67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VS4.1 Red de espacios seguros para mujeres en situación de riesgo</w:t>
            </w:r>
          </w:p>
        </w:tc>
      </w:tr>
      <w:tr w:rsidR="00794EB9" w:rsidRPr="00794EB9" w14:paraId="65078402"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D02772B"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2A2858F"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3FEAB017"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97246D6"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20144979"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4553769B"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2DF9F55F"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94707EA" w14:textId="77777777" w:rsidR="00794EB9" w:rsidRPr="00794EB9" w:rsidRDefault="00794EB9" w:rsidP="00C307FB">
            <w:pPr>
              <w:rPr>
                <w:rFonts w:ascii="Arial" w:hAnsi="Arial" w:cs="Arial"/>
                <w:b/>
                <w:bCs/>
                <w:sz w:val="22"/>
                <w:szCs w:val="22"/>
                <w:lang w:eastAsia="es-MX"/>
              </w:rPr>
            </w:pPr>
          </w:p>
        </w:tc>
      </w:tr>
      <w:tr w:rsidR="00794EB9" w:rsidRPr="00794EB9" w14:paraId="590D98CD"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6C601F0F"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3E947697"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6096474F"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03A9458"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6259A3FF"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23F5580A"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163F36CD" w14:textId="77777777" w:rsidR="00794EB9" w:rsidRPr="00794EB9" w:rsidRDefault="00794EB9" w:rsidP="00C307FB">
            <w:pPr>
              <w:rPr>
                <w:rFonts w:ascii="Arial" w:hAnsi="Arial" w:cs="Arial"/>
                <w:b/>
                <w:bCs/>
                <w:sz w:val="22"/>
                <w:szCs w:val="22"/>
                <w:lang w:eastAsia="es-MX"/>
              </w:rPr>
            </w:pP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2260EA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VS4.2 Modelo de casas de transición para </w:t>
            </w:r>
            <w:r w:rsidRPr="00794EB9">
              <w:rPr>
                <w:rFonts w:ascii="Arial" w:hAnsi="Arial" w:cs="Arial"/>
                <w:b/>
                <w:bCs/>
                <w:sz w:val="22"/>
                <w:szCs w:val="22"/>
                <w:lang w:eastAsia="es-MX"/>
              </w:rPr>
              <w:lastRenderedPageBreak/>
              <w:t>mujeres víctimas de la violencia</w:t>
            </w:r>
          </w:p>
        </w:tc>
      </w:tr>
      <w:tr w:rsidR="00794EB9" w:rsidRPr="00794EB9" w14:paraId="27B18FEB"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79ABD2C6"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4FC2021F"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60D83368"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6138F5F2"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61402499"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74C8D9B2"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585472E1"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3AC80D43" w14:textId="77777777" w:rsidR="00794EB9" w:rsidRPr="00794EB9" w:rsidRDefault="00794EB9" w:rsidP="00C307FB">
            <w:pPr>
              <w:rPr>
                <w:rFonts w:ascii="Arial" w:hAnsi="Arial" w:cs="Arial"/>
                <w:b/>
                <w:bCs/>
                <w:sz w:val="22"/>
                <w:szCs w:val="22"/>
                <w:lang w:eastAsia="es-MX"/>
              </w:rPr>
            </w:pPr>
          </w:p>
        </w:tc>
      </w:tr>
      <w:tr w:rsidR="00794EB9" w:rsidRPr="00794EB9" w14:paraId="20B29074"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61EAF646"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DF6B559" w14:textId="77777777" w:rsidR="00794EB9" w:rsidRPr="00794EB9" w:rsidRDefault="00794EB9" w:rsidP="00C307FB">
            <w:pPr>
              <w:rPr>
                <w:rFonts w:ascii="Arial" w:hAnsi="Arial" w:cs="Arial"/>
                <w:sz w:val="22"/>
                <w:szCs w:val="22"/>
                <w:lang w:eastAsia="es-MX"/>
              </w:rPr>
            </w:pP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C97C99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Inclusión y protección de grupos sociales en situación de vulnerabilidad</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61E3AF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el enfoque de protección integral de niñas, niños y adolescentes, orientado al interés superior de la niñez con la coordinación institucional necesaria para el restablecimiento de sus derechos</w:t>
            </w:r>
          </w:p>
        </w:tc>
        <w:tc>
          <w:tcPr>
            <w:tcW w:w="610" w:type="pct"/>
            <w:vMerge w:val="restart"/>
            <w:tcBorders>
              <w:top w:val="nil"/>
              <w:left w:val="single" w:sz="8" w:space="0" w:color="434343"/>
              <w:right w:val="single" w:sz="8" w:space="0" w:color="434343"/>
            </w:tcBorders>
            <w:vAlign w:val="center"/>
          </w:tcPr>
          <w:p w14:paraId="00C7FE2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10: Reducir la desigualdad en y entre los países</w:t>
            </w:r>
          </w:p>
        </w:tc>
        <w:tc>
          <w:tcPr>
            <w:tcW w:w="837" w:type="pct"/>
            <w:vMerge w:val="restart"/>
            <w:tcBorders>
              <w:top w:val="nil"/>
              <w:left w:val="single" w:sz="8" w:space="0" w:color="434343"/>
              <w:right w:val="single" w:sz="8" w:space="0" w:color="434343"/>
            </w:tcBorders>
            <w:vAlign w:val="center"/>
          </w:tcPr>
          <w:p w14:paraId="136DE67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vMerge w:val="restart"/>
            <w:tcBorders>
              <w:top w:val="nil"/>
              <w:left w:val="single" w:sz="8" w:space="0" w:color="434343"/>
              <w:right w:val="single" w:sz="8" w:space="0" w:color="434343"/>
            </w:tcBorders>
            <w:vAlign w:val="center"/>
          </w:tcPr>
          <w:p w14:paraId="7A2F94A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1.3.1.1 Garantía de los derechos de las niñas, niños y adolescentes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E67018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VS4.3 Proyecto integral para el Desarrollo Humano y la Inclusión Social</w:t>
            </w:r>
          </w:p>
        </w:tc>
      </w:tr>
      <w:tr w:rsidR="00794EB9" w:rsidRPr="00794EB9" w14:paraId="5A76C226"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7D5C8801"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1DA94B5"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987D7D2"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B6F54A1"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490E66F3"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48905689"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6454B2F0"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206193FB" w14:textId="77777777" w:rsidR="00794EB9" w:rsidRPr="00794EB9" w:rsidRDefault="00794EB9" w:rsidP="00C307FB">
            <w:pPr>
              <w:rPr>
                <w:rFonts w:ascii="Arial" w:hAnsi="Arial" w:cs="Arial"/>
                <w:b/>
                <w:bCs/>
                <w:sz w:val="22"/>
                <w:szCs w:val="22"/>
                <w:lang w:eastAsia="es-MX"/>
              </w:rPr>
            </w:pPr>
          </w:p>
        </w:tc>
      </w:tr>
      <w:tr w:rsidR="00794EB9" w:rsidRPr="00794EB9" w14:paraId="5D33F246" w14:textId="77777777" w:rsidTr="00C307FB">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9030DF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Co-creación: colaboración y participación ciud</w:t>
            </w:r>
            <w:r w:rsidRPr="00794EB9">
              <w:rPr>
                <w:rFonts w:ascii="Arial" w:hAnsi="Arial" w:cs="Arial"/>
                <w:sz w:val="22"/>
                <w:szCs w:val="22"/>
                <w:lang w:eastAsia="es-MX"/>
              </w:rPr>
              <w:lastRenderedPageBreak/>
              <w:t>adana</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53B6E4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Generar canales de innovación pública y social para el involucramiento efectivo </w:t>
            </w:r>
            <w:r w:rsidRPr="00794EB9">
              <w:rPr>
                <w:rFonts w:ascii="Arial" w:hAnsi="Arial" w:cs="Arial"/>
                <w:sz w:val="22"/>
                <w:szCs w:val="22"/>
                <w:lang w:eastAsia="es-MX"/>
              </w:rPr>
              <w:lastRenderedPageBreak/>
              <w:t>de la ciudadanía y de las juventudes, en el proceso de cambio y en la toma de decisiones de interés colectivo</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401B64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Juventudes agentes del cambio</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0BB065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Implementar programas de diseño y formación de proyectos de vida para niñas, </w:t>
            </w:r>
            <w:r w:rsidRPr="00794EB9">
              <w:rPr>
                <w:rFonts w:ascii="Arial" w:hAnsi="Arial" w:cs="Arial"/>
                <w:sz w:val="22"/>
                <w:szCs w:val="22"/>
                <w:lang w:eastAsia="es-MX"/>
              </w:rPr>
              <w:lastRenderedPageBreak/>
              <w:t>niños y adolescentes, de acuerdo con su entorno sociocultural y su contexto urbano o rural</w:t>
            </w:r>
          </w:p>
        </w:tc>
        <w:tc>
          <w:tcPr>
            <w:tcW w:w="610" w:type="pct"/>
            <w:vMerge w:val="restart"/>
            <w:tcBorders>
              <w:top w:val="nil"/>
              <w:left w:val="single" w:sz="8" w:space="0" w:color="434343"/>
              <w:right w:val="single" w:sz="8" w:space="0" w:color="434343"/>
            </w:tcBorders>
            <w:vAlign w:val="center"/>
          </w:tcPr>
          <w:p w14:paraId="21EEAF7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8: Promover el crecimiento económico inclusivo y sostenib</w:t>
            </w:r>
            <w:r w:rsidRPr="00794EB9">
              <w:rPr>
                <w:rFonts w:ascii="Arial" w:hAnsi="Arial" w:cs="Arial"/>
                <w:b/>
                <w:bCs/>
                <w:sz w:val="22"/>
                <w:szCs w:val="22"/>
                <w:lang w:eastAsia="es-MX"/>
              </w:rPr>
              <w:lastRenderedPageBreak/>
              <w:t>le, el empleo y el trabajo decente para todos</w:t>
            </w:r>
          </w:p>
        </w:tc>
        <w:tc>
          <w:tcPr>
            <w:tcW w:w="837" w:type="pct"/>
            <w:vMerge w:val="restart"/>
            <w:tcBorders>
              <w:top w:val="nil"/>
              <w:left w:val="single" w:sz="8" w:space="0" w:color="434343"/>
              <w:right w:val="single" w:sz="8" w:space="0" w:color="434343"/>
            </w:tcBorders>
            <w:vAlign w:val="center"/>
          </w:tcPr>
          <w:p w14:paraId="5CCD3D3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1.3.1 Asegurar las condiciones para el desarrollo pleno e igualitario de los grupos </w:t>
            </w:r>
            <w:r w:rsidRPr="00794EB9">
              <w:rPr>
                <w:rFonts w:ascii="Arial" w:hAnsi="Arial" w:cs="Arial"/>
                <w:b/>
                <w:bCs/>
                <w:sz w:val="22"/>
                <w:szCs w:val="22"/>
                <w:lang w:eastAsia="es-MX"/>
              </w:rPr>
              <w:lastRenderedPageBreak/>
              <w:t>prioritarios del estado</w:t>
            </w:r>
          </w:p>
        </w:tc>
        <w:tc>
          <w:tcPr>
            <w:tcW w:w="762" w:type="pct"/>
            <w:vMerge w:val="restart"/>
            <w:tcBorders>
              <w:top w:val="nil"/>
              <w:left w:val="single" w:sz="8" w:space="0" w:color="434343"/>
              <w:right w:val="single" w:sz="8" w:space="0" w:color="434343"/>
            </w:tcBorders>
            <w:vAlign w:val="center"/>
          </w:tcPr>
          <w:p w14:paraId="48B36BE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1.3.1.2 Apoyo para que las personas jóvenes potencien sus habilidades y </w:t>
            </w:r>
            <w:r w:rsidRPr="00794EB9">
              <w:rPr>
                <w:rFonts w:ascii="Arial" w:hAnsi="Arial" w:cs="Arial"/>
                <w:b/>
                <w:bCs/>
                <w:sz w:val="22"/>
                <w:szCs w:val="22"/>
                <w:lang w:eastAsia="es-MX"/>
              </w:rPr>
              <w:lastRenderedPageBreak/>
              <w:t>capacidades para el logro de sus proyectos de vida en condiciones de igualdad</w:t>
            </w:r>
          </w:p>
        </w:tc>
        <w:tc>
          <w:tcPr>
            <w:tcW w:w="736" w:type="pct"/>
            <w:vMerge/>
            <w:tcBorders>
              <w:top w:val="nil"/>
              <w:left w:val="single" w:sz="8" w:space="0" w:color="434343"/>
              <w:bottom w:val="single" w:sz="8" w:space="0" w:color="434343"/>
              <w:right w:val="single" w:sz="8" w:space="0" w:color="434343"/>
            </w:tcBorders>
            <w:vAlign w:val="center"/>
            <w:hideMark/>
          </w:tcPr>
          <w:p w14:paraId="263F15CC" w14:textId="77777777" w:rsidR="00794EB9" w:rsidRPr="00794EB9" w:rsidRDefault="00794EB9" w:rsidP="00C307FB">
            <w:pPr>
              <w:rPr>
                <w:rFonts w:ascii="Arial" w:hAnsi="Arial" w:cs="Arial"/>
                <w:b/>
                <w:bCs/>
                <w:sz w:val="22"/>
                <w:szCs w:val="22"/>
                <w:lang w:eastAsia="es-MX"/>
              </w:rPr>
            </w:pPr>
          </w:p>
        </w:tc>
      </w:tr>
      <w:tr w:rsidR="00794EB9" w:rsidRPr="00794EB9" w14:paraId="1A419616"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CE245FE"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FA3DD96"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4C78CC29"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13D26B9"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32035B47"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45D184FD"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11E7C1B8"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02FF613A" w14:textId="77777777" w:rsidR="00794EB9" w:rsidRPr="00794EB9" w:rsidRDefault="00794EB9" w:rsidP="00C307FB">
            <w:pPr>
              <w:rPr>
                <w:rFonts w:ascii="Arial" w:hAnsi="Arial" w:cs="Arial"/>
                <w:b/>
                <w:bCs/>
                <w:sz w:val="22"/>
                <w:szCs w:val="22"/>
                <w:lang w:eastAsia="es-MX"/>
              </w:rPr>
            </w:pPr>
          </w:p>
        </w:tc>
      </w:tr>
      <w:tr w:rsidR="00794EB9" w:rsidRPr="00794EB9" w14:paraId="538E406E"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61277D52"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42FF8D87" w14:textId="77777777" w:rsidR="00794EB9" w:rsidRPr="00794EB9" w:rsidRDefault="00794EB9" w:rsidP="00C307FB">
            <w:pPr>
              <w:rPr>
                <w:rFonts w:ascii="Arial" w:hAnsi="Arial" w:cs="Arial"/>
                <w:sz w:val="22"/>
                <w:szCs w:val="22"/>
                <w:lang w:eastAsia="es-MX"/>
              </w:rPr>
            </w:pPr>
          </w:p>
        </w:tc>
        <w:tc>
          <w:tcPr>
            <w:tcW w:w="459" w:type="pct"/>
            <w:tcBorders>
              <w:top w:val="nil"/>
              <w:left w:val="nil"/>
              <w:bottom w:val="single" w:sz="8" w:space="0" w:color="434343"/>
              <w:right w:val="single" w:sz="8" w:space="0" w:color="434343"/>
            </w:tcBorders>
            <w:shd w:val="clear" w:color="auto" w:fill="auto"/>
            <w:vAlign w:val="center"/>
            <w:hideMark/>
          </w:tcPr>
          <w:p w14:paraId="60E54C9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Colaboración abierta para la resolución de problemas locales</w:t>
            </w:r>
          </w:p>
        </w:tc>
        <w:tc>
          <w:tcPr>
            <w:tcW w:w="686" w:type="pct"/>
            <w:tcBorders>
              <w:top w:val="nil"/>
              <w:left w:val="nil"/>
              <w:bottom w:val="single" w:sz="8" w:space="0" w:color="434343"/>
              <w:right w:val="single" w:sz="8" w:space="0" w:color="434343"/>
            </w:tcBorders>
            <w:shd w:val="clear" w:color="auto" w:fill="auto"/>
            <w:vAlign w:val="center"/>
            <w:hideMark/>
          </w:tcPr>
          <w:p w14:paraId="57B8CAF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procesos de participación pública y social en los que las diversas identidades de León, formen parte del diseño y ejecución de políticas públicas</w:t>
            </w:r>
          </w:p>
        </w:tc>
        <w:tc>
          <w:tcPr>
            <w:tcW w:w="610" w:type="pct"/>
            <w:tcBorders>
              <w:top w:val="nil"/>
              <w:left w:val="single" w:sz="8" w:space="0" w:color="434343"/>
              <w:bottom w:val="single" w:sz="8" w:space="0" w:color="434343"/>
              <w:right w:val="single" w:sz="8" w:space="0" w:color="434343"/>
            </w:tcBorders>
            <w:vAlign w:val="center"/>
          </w:tcPr>
          <w:p w14:paraId="674F852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70B4FD9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4.1.3 Fortalecer las capacidades institucionales de las administraciones públicas municipales, para que su actuación se conduzca con apego a los procesos de planeación, transparencia y evaluación de resultados que requiere la sociedad</w:t>
            </w:r>
          </w:p>
        </w:tc>
        <w:tc>
          <w:tcPr>
            <w:tcW w:w="762" w:type="pct"/>
            <w:tcBorders>
              <w:top w:val="nil"/>
              <w:left w:val="single" w:sz="8" w:space="0" w:color="434343"/>
              <w:bottom w:val="single" w:sz="8" w:space="0" w:color="434343"/>
              <w:right w:val="single" w:sz="8" w:space="0" w:color="434343"/>
            </w:tcBorders>
            <w:vAlign w:val="center"/>
          </w:tcPr>
          <w:p w14:paraId="6A7084E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4.1.3.3 Impulso a la participación ciudadana en la toma de decisiones gubernamentales, generando alianzas mediante organismos de planeación municipal con igualdad de participación de mujeres y de hombres</w:t>
            </w:r>
          </w:p>
        </w:tc>
        <w:tc>
          <w:tcPr>
            <w:tcW w:w="736" w:type="pct"/>
            <w:vMerge/>
            <w:tcBorders>
              <w:top w:val="nil"/>
              <w:left w:val="single" w:sz="8" w:space="0" w:color="434343"/>
              <w:bottom w:val="single" w:sz="8" w:space="0" w:color="434343"/>
              <w:right w:val="single" w:sz="8" w:space="0" w:color="434343"/>
            </w:tcBorders>
            <w:vAlign w:val="center"/>
            <w:hideMark/>
          </w:tcPr>
          <w:p w14:paraId="79A895F8" w14:textId="77777777" w:rsidR="00794EB9" w:rsidRPr="00794EB9" w:rsidRDefault="00794EB9" w:rsidP="00C307FB">
            <w:pPr>
              <w:rPr>
                <w:rFonts w:ascii="Arial" w:hAnsi="Arial" w:cs="Arial"/>
                <w:b/>
                <w:bCs/>
                <w:sz w:val="22"/>
                <w:szCs w:val="22"/>
                <w:lang w:eastAsia="es-MX"/>
              </w:rPr>
            </w:pPr>
          </w:p>
        </w:tc>
      </w:tr>
      <w:tr w:rsidR="00794EB9" w:rsidRPr="00794EB9" w14:paraId="3E81E9F6"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34AA73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Educación equitativa</w:t>
            </w:r>
            <w:r w:rsidRPr="00794EB9">
              <w:rPr>
                <w:rFonts w:ascii="Arial" w:hAnsi="Arial" w:cs="Arial"/>
                <w:sz w:val="22"/>
                <w:szCs w:val="22"/>
                <w:lang w:eastAsia="es-MX"/>
              </w:rPr>
              <w:lastRenderedPageBreak/>
              <w:t>, pertinente y de calidad</w:t>
            </w:r>
          </w:p>
        </w:tc>
        <w:tc>
          <w:tcPr>
            <w:tcW w:w="541" w:type="pct"/>
            <w:tcBorders>
              <w:top w:val="nil"/>
              <w:left w:val="nil"/>
              <w:bottom w:val="single" w:sz="8" w:space="0" w:color="434343"/>
              <w:right w:val="single" w:sz="8" w:space="0" w:color="434343"/>
            </w:tcBorders>
            <w:shd w:val="clear" w:color="auto" w:fill="auto"/>
            <w:vAlign w:val="center"/>
            <w:hideMark/>
          </w:tcPr>
          <w:p w14:paraId="31FC8D2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Promover el aprendizaje equitati</w:t>
            </w:r>
            <w:r w:rsidRPr="00794EB9">
              <w:rPr>
                <w:rFonts w:ascii="Arial" w:hAnsi="Arial" w:cs="Arial"/>
                <w:sz w:val="22"/>
                <w:szCs w:val="22"/>
                <w:lang w:eastAsia="es-MX"/>
              </w:rPr>
              <w:lastRenderedPageBreak/>
              <w:t>vo, pertinente y de calidad a lo largo de la vida</w:t>
            </w:r>
          </w:p>
        </w:tc>
        <w:tc>
          <w:tcPr>
            <w:tcW w:w="459" w:type="pct"/>
            <w:tcBorders>
              <w:top w:val="nil"/>
              <w:left w:val="nil"/>
              <w:bottom w:val="single" w:sz="8" w:space="0" w:color="434343"/>
              <w:right w:val="single" w:sz="8" w:space="0" w:color="434343"/>
            </w:tcBorders>
            <w:shd w:val="clear" w:color="auto" w:fill="auto"/>
            <w:vAlign w:val="center"/>
            <w:hideMark/>
          </w:tcPr>
          <w:p w14:paraId="40BF7A7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Educación oportuna y apren</w:t>
            </w:r>
            <w:r w:rsidRPr="00794EB9">
              <w:rPr>
                <w:rFonts w:ascii="Arial" w:hAnsi="Arial" w:cs="Arial"/>
                <w:sz w:val="22"/>
                <w:szCs w:val="22"/>
                <w:lang w:eastAsia="es-MX"/>
              </w:rPr>
              <w:lastRenderedPageBreak/>
              <w:t xml:space="preserve">dizaje constante </w:t>
            </w:r>
          </w:p>
        </w:tc>
        <w:tc>
          <w:tcPr>
            <w:tcW w:w="686" w:type="pct"/>
            <w:tcBorders>
              <w:top w:val="nil"/>
              <w:left w:val="nil"/>
              <w:bottom w:val="single" w:sz="8" w:space="0" w:color="434343"/>
              <w:right w:val="single" w:sz="8" w:space="0" w:color="434343"/>
            </w:tcBorders>
            <w:shd w:val="clear" w:color="auto" w:fill="auto"/>
            <w:vAlign w:val="center"/>
            <w:hideMark/>
          </w:tcPr>
          <w:p w14:paraId="0CC9FFA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Generar programas y apoyos a escuelas públicas </w:t>
            </w:r>
            <w:r w:rsidRPr="00794EB9">
              <w:rPr>
                <w:rFonts w:ascii="Arial" w:hAnsi="Arial" w:cs="Arial"/>
                <w:sz w:val="22"/>
                <w:szCs w:val="22"/>
                <w:lang w:eastAsia="es-MX"/>
              </w:rPr>
              <w:lastRenderedPageBreak/>
              <w:t>rurales y urbanas para contribuir al acceso igualitario a la educación</w:t>
            </w:r>
          </w:p>
        </w:tc>
        <w:tc>
          <w:tcPr>
            <w:tcW w:w="610" w:type="pct"/>
            <w:tcBorders>
              <w:top w:val="nil"/>
              <w:left w:val="single" w:sz="8" w:space="0" w:color="434343"/>
              <w:bottom w:val="single" w:sz="8" w:space="0" w:color="434343"/>
              <w:right w:val="single" w:sz="8" w:space="0" w:color="434343"/>
            </w:tcBorders>
            <w:vAlign w:val="center"/>
          </w:tcPr>
          <w:p w14:paraId="3C6143A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4: Garantizar una educaci</w:t>
            </w:r>
            <w:r w:rsidRPr="00794EB9">
              <w:rPr>
                <w:rFonts w:ascii="Arial" w:hAnsi="Arial" w:cs="Arial"/>
                <w:b/>
                <w:bCs/>
                <w:sz w:val="22"/>
                <w:szCs w:val="22"/>
                <w:lang w:eastAsia="es-MX"/>
              </w:rPr>
              <w:lastRenderedPageBreak/>
              <w:t>ón inclusiva, equitativa y de calidad y promover oportunidades de aprendizaje durante toda la vida para todos</w:t>
            </w:r>
          </w:p>
        </w:tc>
        <w:tc>
          <w:tcPr>
            <w:tcW w:w="837" w:type="pct"/>
            <w:tcBorders>
              <w:top w:val="nil"/>
              <w:left w:val="single" w:sz="8" w:space="0" w:color="434343"/>
              <w:bottom w:val="single" w:sz="8" w:space="0" w:color="434343"/>
              <w:right w:val="single" w:sz="8" w:space="0" w:color="434343"/>
            </w:tcBorders>
            <w:vAlign w:val="center"/>
          </w:tcPr>
          <w:p w14:paraId="7A6DD21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1.2.1 Lograr una cobertura universal en </w:t>
            </w:r>
            <w:r w:rsidRPr="00794EB9">
              <w:rPr>
                <w:rFonts w:ascii="Arial" w:hAnsi="Arial" w:cs="Arial"/>
                <w:b/>
                <w:bCs/>
                <w:sz w:val="22"/>
                <w:szCs w:val="22"/>
                <w:lang w:eastAsia="es-MX"/>
              </w:rPr>
              <w:lastRenderedPageBreak/>
              <w:t>la educación obligatoria, mediante un modelo educativo de calidad con diversidad, equidad e igualdad de género que cuente con personal docente capacitado</w:t>
            </w:r>
          </w:p>
          <w:p w14:paraId="62215D1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y profesionalizado</w:t>
            </w:r>
          </w:p>
        </w:tc>
        <w:tc>
          <w:tcPr>
            <w:tcW w:w="762" w:type="pct"/>
            <w:tcBorders>
              <w:top w:val="nil"/>
              <w:left w:val="single" w:sz="8" w:space="0" w:color="434343"/>
              <w:bottom w:val="single" w:sz="8" w:space="0" w:color="434343"/>
              <w:right w:val="single" w:sz="8" w:space="0" w:color="434343"/>
            </w:tcBorders>
            <w:vAlign w:val="center"/>
          </w:tcPr>
          <w:p w14:paraId="34FD707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1.2.1.1 Reducción del rezago educativo </w:t>
            </w:r>
            <w:r w:rsidRPr="00794EB9">
              <w:rPr>
                <w:rFonts w:ascii="Arial" w:hAnsi="Arial" w:cs="Arial"/>
                <w:b/>
                <w:bCs/>
                <w:sz w:val="22"/>
                <w:szCs w:val="22"/>
                <w:lang w:eastAsia="es-MX"/>
              </w:rPr>
              <w:lastRenderedPageBreak/>
              <w:t>en la educación obligatoria</w:t>
            </w:r>
          </w:p>
        </w:tc>
        <w:tc>
          <w:tcPr>
            <w:tcW w:w="736" w:type="pct"/>
            <w:vMerge/>
            <w:tcBorders>
              <w:top w:val="nil"/>
              <w:left w:val="single" w:sz="8" w:space="0" w:color="434343"/>
              <w:bottom w:val="single" w:sz="8" w:space="0" w:color="434343"/>
              <w:right w:val="single" w:sz="8" w:space="0" w:color="434343"/>
            </w:tcBorders>
            <w:vAlign w:val="center"/>
            <w:hideMark/>
          </w:tcPr>
          <w:p w14:paraId="79D01350" w14:textId="77777777" w:rsidR="00794EB9" w:rsidRPr="00794EB9" w:rsidRDefault="00794EB9" w:rsidP="00C307FB">
            <w:pPr>
              <w:rPr>
                <w:rFonts w:ascii="Arial" w:hAnsi="Arial" w:cs="Arial"/>
                <w:b/>
                <w:bCs/>
                <w:sz w:val="22"/>
                <w:szCs w:val="22"/>
                <w:lang w:eastAsia="es-MX"/>
              </w:rPr>
            </w:pPr>
          </w:p>
        </w:tc>
      </w:tr>
      <w:tr w:rsidR="00794EB9" w:rsidRPr="00794EB9" w14:paraId="39E91403"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8F94CA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Estilos de vida saludable</w:t>
            </w:r>
          </w:p>
        </w:tc>
        <w:tc>
          <w:tcPr>
            <w:tcW w:w="541" w:type="pct"/>
            <w:tcBorders>
              <w:top w:val="nil"/>
              <w:left w:val="nil"/>
              <w:bottom w:val="single" w:sz="8" w:space="0" w:color="434343"/>
              <w:right w:val="single" w:sz="8" w:space="0" w:color="434343"/>
            </w:tcBorders>
            <w:shd w:val="clear" w:color="auto" w:fill="auto"/>
            <w:vAlign w:val="center"/>
            <w:hideMark/>
          </w:tcPr>
          <w:p w14:paraId="2EFD49D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459" w:type="pct"/>
            <w:tcBorders>
              <w:top w:val="nil"/>
              <w:left w:val="nil"/>
              <w:bottom w:val="single" w:sz="8" w:space="0" w:color="434343"/>
              <w:right w:val="single" w:sz="8" w:space="0" w:color="434343"/>
            </w:tcBorders>
            <w:shd w:val="clear" w:color="auto" w:fill="auto"/>
            <w:vAlign w:val="center"/>
            <w:hideMark/>
          </w:tcPr>
          <w:p w14:paraId="46060A3B" w14:textId="77777777" w:rsidR="00794EB9" w:rsidRPr="00794EB9" w:rsidRDefault="00794EB9" w:rsidP="00C307FB">
            <w:pPr>
              <w:spacing w:after="240"/>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686" w:type="pct"/>
            <w:tcBorders>
              <w:top w:val="nil"/>
              <w:left w:val="nil"/>
              <w:bottom w:val="single" w:sz="8" w:space="0" w:color="434343"/>
              <w:right w:val="single" w:sz="8" w:space="0" w:color="434343"/>
            </w:tcBorders>
            <w:shd w:val="clear" w:color="auto" w:fill="auto"/>
            <w:vAlign w:val="center"/>
            <w:hideMark/>
          </w:tcPr>
          <w:p w14:paraId="70C3467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programas de cultura física y deporte en escuelas, centros de capacitación y sitios laborales</w:t>
            </w:r>
          </w:p>
        </w:tc>
        <w:tc>
          <w:tcPr>
            <w:tcW w:w="610" w:type="pct"/>
            <w:tcBorders>
              <w:top w:val="nil"/>
              <w:left w:val="single" w:sz="8" w:space="0" w:color="434343"/>
              <w:bottom w:val="single" w:sz="8" w:space="0" w:color="434343"/>
              <w:right w:val="single" w:sz="8" w:space="0" w:color="434343"/>
            </w:tcBorders>
            <w:vAlign w:val="center"/>
          </w:tcPr>
          <w:p w14:paraId="0E72EC3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4: Garantizar una educación inclusiva, equitativa y de calidad y promover oportunidades de aprendizaje durante toda la vida para todos</w:t>
            </w:r>
          </w:p>
        </w:tc>
        <w:tc>
          <w:tcPr>
            <w:tcW w:w="837" w:type="pct"/>
            <w:tcBorders>
              <w:top w:val="nil"/>
              <w:left w:val="single" w:sz="8" w:space="0" w:color="434343"/>
              <w:bottom w:val="single" w:sz="8" w:space="0" w:color="434343"/>
              <w:right w:val="single" w:sz="8" w:space="0" w:color="434343"/>
            </w:tcBorders>
            <w:vAlign w:val="center"/>
          </w:tcPr>
          <w:p w14:paraId="69DCE19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1.2.3 Potenciar a la cultura y al deporte como elementos del desarrollo integral de las personas y las comunidades</w:t>
            </w:r>
          </w:p>
        </w:tc>
        <w:tc>
          <w:tcPr>
            <w:tcW w:w="762" w:type="pct"/>
            <w:tcBorders>
              <w:top w:val="nil"/>
              <w:left w:val="single" w:sz="8" w:space="0" w:color="434343"/>
              <w:bottom w:val="single" w:sz="8" w:space="0" w:color="434343"/>
              <w:right w:val="single" w:sz="8" w:space="0" w:color="434343"/>
            </w:tcBorders>
            <w:vAlign w:val="center"/>
          </w:tcPr>
          <w:p w14:paraId="59C7D92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1.2.3.4 Promoción de la cultura física en todos los sectores de la población, para fomentar un estilo de vida saludable</w:t>
            </w:r>
          </w:p>
        </w:tc>
        <w:tc>
          <w:tcPr>
            <w:tcW w:w="736" w:type="pct"/>
            <w:vMerge/>
            <w:tcBorders>
              <w:top w:val="nil"/>
              <w:left w:val="single" w:sz="8" w:space="0" w:color="434343"/>
              <w:bottom w:val="single" w:sz="8" w:space="0" w:color="434343"/>
              <w:right w:val="single" w:sz="8" w:space="0" w:color="434343"/>
            </w:tcBorders>
            <w:vAlign w:val="center"/>
            <w:hideMark/>
          </w:tcPr>
          <w:p w14:paraId="62E302A3" w14:textId="77777777" w:rsidR="00794EB9" w:rsidRPr="00794EB9" w:rsidRDefault="00794EB9" w:rsidP="00C307FB">
            <w:pPr>
              <w:rPr>
                <w:rFonts w:ascii="Arial" w:hAnsi="Arial" w:cs="Arial"/>
                <w:b/>
                <w:bCs/>
                <w:sz w:val="22"/>
                <w:szCs w:val="22"/>
                <w:lang w:eastAsia="es-MX"/>
              </w:rPr>
            </w:pPr>
          </w:p>
        </w:tc>
      </w:tr>
      <w:tr w:rsidR="00794EB9" w:rsidRPr="00794EB9" w14:paraId="178D43E6"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3DB1870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Educación equitativa, pertinente y de calidad</w:t>
            </w:r>
          </w:p>
        </w:tc>
        <w:tc>
          <w:tcPr>
            <w:tcW w:w="541" w:type="pct"/>
            <w:tcBorders>
              <w:top w:val="nil"/>
              <w:left w:val="nil"/>
              <w:bottom w:val="single" w:sz="8" w:space="0" w:color="434343"/>
              <w:right w:val="single" w:sz="8" w:space="0" w:color="434343"/>
            </w:tcBorders>
            <w:shd w:val="clear" w:color="auto" w:fill="auto"/>
            <w:vAlign w:val="center"/>
            <w:hideMark/>
          </w:tcPr>
          <w:p w14:paraId="5E965D3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459" w:type="pct"/>
            <w:tcBorders>
              <w:top w:val="nil"/>
              <w:left w:val="nil"/>
              <w:bottom w:val="single" w:sz="8" w:space="0" w:color="434343"/>
              <w:right w:val="single" w:sz="8" w:space="0" w:color="434343"/>
            </w:tcBorders>
            <w:shd w:val="clear" w:color="auto" w:fill="auto"/>
            <w:vAlign w:val="center"/>
            <w:hideMark/>
          </w:tcPr>
          <w:p w14:paraId="4982742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Educación oportuna y aprendizaje constante</w:t>
            </w:r>
          </w:p>
        </w:tc>
        <w:tc>
          <w:tcPr>
            <w:tcW w:w="686" w:type="pct"/>
            <w:tcBorders>
              <w:top w:val="nil"/>
              <w:left w:val="nil"/>
              <w:bottom w:val="single" w:sz="8" w:space="0" w:color="434343"/>
              <w:right w:val="single" w:sz="8" w:space="0" w:color="434343"/>
            </w:tcBorders>
            <w:shd w:val="clear" w:color="auto" w:fill="auto"/>
            <w:vAlign w:val="center"/>
            <w:hideMark/>
          </w:tcPr>
          <w:p w14:paraId="2CAFA57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los mecanismos de coordinación y colaboración con entidades públicas y privadas para disminuir el analfabetismo y el rezago educativo, además de incrementar el grado promedio de escolaridad</w:t>
            </w:r>
          </w:p>
        </w:tc>
        <w:tc>
          <w:tcPr>
            <w:tcW w:w="610" w:type="pct"/>
            <w:tcBorders>
              <w:top w:val="nil"/>
              <w:left w:val="single" w:sz="8" w:space="0" w:color="434343"/>
              <w:bottom w:val="single" w:sz="8" w:space="0" w:color="434343"/>
              <w:right w:val="single" w:sz="8" w:space="0" w:color="434343"/>
            </w:tcBorders>
            <w:vAlign w:val="center"/>
          </w:tcPr>
          <w:p w14:paraId="696C564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4: Garantizar una educación inclusiva, equitativa y de calidad y promover oportunidades de aprendizaje durante toda la vida para todos</w:t>
            </w:r>
          </w:p>
        </w:tc>
        <w:tc>
          <w:tcPr>
            <w:tcW w:w="837" w:type="pct"/>
            <w:tcBorders>
              <w:top w:val="nil"/>
              <w:left w:val="single" w:sz="8" w:space="0" w:color="434343"/>
              <w:bottom w:val="single" w:sz="8" w:space="0" w:color="434343"/>
              <w:right w:val="single" w:sz="8" w:space="0" w:color="434343"/>
            </w:tcBorders>
            <w:vAlign w:val="center"/>
          </w:tcPr>
          <w:p w14:paraId="7C3769B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1.2.1 Lograr una cobertura universal en la educación obligatoria, mediante un modelo educativo de calidad con diversidad, equidad e igualdad de género que cuente con personal docente capacitado</w:t>
            </w:r>
          </w:p>
          <w:p w14:paraId="74DE7B1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y profesionalizado</w:t>
            </w:r>
          </w:p>
        </w:tc>
        <w:tc>
          <w:tcPr>
            <w:tcW w:w="762" w:type="pct"/>
            <w:tcBorders>
              <w:top w:val="nil"/>
              <w:left w:val="single" w:sz="8" w:space="0" w:color="434343"/>
              <w:bottom w:val="single" w:sz="8" w:space="0" w:color="434343"/>
              <w:right w:val="single" w:sz="8" w:space="0" w:color="434343"/>
            </w:tcBorders>
            <w:vAlign w:val="center"/>
          </w:tcPr>
          <w:p w14:paraId="1625592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1.2.1.1 Reducción del rezago educativo en la educación obligatoria</w:t>
            </w:r>
          </w:p>
        </w:tc>
        <w:tc>
          <w:tcPr>
            <w:tcW w:w="736" w:type="pct"/>
            <w:vMerge/>
            <w:tcBorders>
              <w:top w:val="nil"/>
              <w:left w:val="single" w:sz="8" w:space="0" w:color="434343"/>
              <w:bottom w:val="single" w:sz="8" w:space="0" w:color="434343"/>
              <w:right w:val="single" w:sz="8" w:space="0" w:color="434343"/>
            </w:tcBorders>
            <w:vAlign w:val="center"/>
            <w:hideMark/>
          </w:tcPr>
          <w:p w14:paraId="31DA1CBD" w14:textId="77777777" w:rsidR="00794EB9" w:rsidRPr="00794EB9" w:rsidRDefault="00794EB9" w:rsidP="00C307FB">
            <w:pPr>
              <w:rPr>
                <w:rFonts w:ascii="Arial" w:hAnsi="Arial" w:cs="Arial"/>
                <w:b/>
                <w:bCs/>
                <w:sz w:val="22"/>
                <w:szCs w:val="22"/>
                <w:lang w:eastAsia="es-MX"/>
              </w:rPr>
            </w:pPr>
          </w:p>
        </w:tc>
      </w:tr>
      <w:tr w:rsidR="00794EB9" w:rsidRPr="00794EB9" w14:paraId="4311E470"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1727BB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Igualdad e inclusión</w:t>
            </w:r>
          </w:p>
        </w:tc>
        <w:tc>
          <w:tcPr>
            <w:tcW w:w="541" w:type="pct"/>
            <w:tcBorders>
              <w:top w:val="nil"/>
              <w:left w:val="nil"/>
              <w:bottom w:val="single" w:sz="8" w:space="0" w:color="434343"/>
              <w:right w:val="single" w:sz="8" w:space="0" w:color="434343"/>
            </w:tcBorders>
            <w:shd w:val="clear" w:color="auto" w:fill="auto"/>
            <w:vAlign w:val="center"/>
            <w:hideMark/>
          </w:tcPr>
          <w:p w14:paraId="4001C97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personas, respetando la diversid</w:t>
            </w:r>
            <w:r w:rsidRPr="00794EB9">
              <w:rPr>
                <w:rFonts w:ascii="Arial" w:hAnsi="Arial" w:cs="Arial"/>
                <w:sz w:val="22"/>
                <w:szCs w:val="22"/>
                <w:lang w:eastAsia="es-MX"/>
              </w:rPr>
              <w:lastRenderedPageBreak/>
              <w:t>ad sociocultural y los Derechos Humanos</w:t>
            </w:r>
          </w:p>
        </w:tc>
        <w:tc>
          <w:tcPr>
            <w:tcW w:w="459" w:type="pct"/>
            <w:tcBorders>
              <w:top w:val="nil"/>
              <w:left w:val="nil"/>
              <w:bottom w:val="single" w:sz="8" w:space="0" w:color="434343"/>
              <w:right w:val="single" w:sz="8" w:space="0" w:color="434343"/>
            </w:tcBorders>
            <w:shd w:val="clear" w:color="auto" w:fill="auto"/>
            <w:vAlign w:val="center"/>
            <w:hideMark/>
          </w:tcPr>
          <w:p w14:paraId="1F99CE5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 Inclusión y protección de grupos sociales en situación de vulnerabilidad</w:t>
            </w:r>
          </w:p>
        </w:tc>
        <w:tc>
          <w:tcPr>
            <w:tcW w:w="686" w:type="pct"/>
            <w:tcBorders>
              <w:top w:val="nil"/>
              <w:left w:val="nil"/>
              <w:bottom w:val="single" w:sz="8" w:space="0" w:color="434343"/>
              <w:right w:val="single" w:sz="8" w:space="0" w:color="434343"/>
            </w:tcBorders>
            <w:shd w:val="clear" w:color="auto" w:fill="auto"/>
            <w:vAlign w:val="center"/>
            <w:hideMark/>
          </w:tcPr>
          <w:p w14:paraId="6A8DB4B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Promover un sistema municipal de protección de las personas adultas mayores e implementar redes de apoyo familiar o comunitario para su inclusión y cuidado, </w:t>
            </w:r>
            <w:r w:rsidRPr="00794EB9">
              <w:rPr>
                <w:rFonts w:ascii="Arial" w:hAnsi="Arial" w:cs="Arial"/>
                <w:sz w:val="22"/>
                <w:szCs w:val="22"/>
                <w:lang w:eastAsia="es-MX"/>
              </w:rPr>
              <w:lastRenderedPageBreak/>
              <w:t>fortaleciendo el envejecimiento saludable</w:t>
            </w:r>
          </w:p>
        </w:tc>
        <w:tc>
          <w:tcPr>
            <w:tcW w:w="610" w:type="pct"/>
            <w:tcBorders>
              <w:top w:val="nil"/>
              <w:left w:val="single" w:sz="8" w:space="0" w:color="434343"/>
              <w:bottom w:val="single" w:sz="8" w:space="0" w:color="434343"/>
              <w:right w:val="single" w:sz="8" w:space="0" w:color="434343"/>
            </w:tcBorders>
            <w:vAlign w:val="center"/>
          </w:tcPr>
          <w:p w14:paraId="595B043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10: Reducir la desigualdad en y entre los países</w:t>
            </w:r>
          </w:p>
        </w:tc>
        <w:tc>
          <w:tcPr>
            <w:tcW w:w="837" w:type="pct"/>
            <w:tcBorders>
              <w:top w:val="nil"/>
              <w:left w:val="single" w:sz="8" w:space="0" w:color="434343"/>
              <w:bottom w:val="single" w:sz="8" w:space="0" w:color="434343"/>
              <w:right w:val="single" w:sz="8" w:space="0" w:color="434343"/>
            </w:tcBorders>
            <w:vAlign w:val="center"/>
          </w:tcPr>
          <w:p w14:paraId="13BE424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05012E0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Estrategia 1.3.1.3 Incremento en las acciones de inclusión que permitan a las personas adultas mayores participar activamente en el desarrollo </w:t>
            </w:r>
            <w:r w:rsidRPr="00794EB9">
              <w:rPr>
                <w:rFonts w:ascii="Arial" w:hAnsi="Arial" w:cs="Arial"/>
                <w:b/>
                <w:bCs/>
                <w:sz w:val="22"/>
                <w:szCs w:val="22"/>
                <w:lang w:eastAsia="es-MX"/>
              </w:rPr>
              <w:lastRenderedPageBreak/>
              <w:t>de Guanajuato con un enfoque de género</w:t>
            </w:r>
          </w:p>
        </w:tc>
        <w:tc>
          <w:tcPr>
            <w:tcW w:w="736" w:type="pct"/>
            <w:vMerge/>
            <w:tcBorders>
              <w:top w:val="nil"/>
              <w:left w:val="single" w:sz="8" w:space="0" w:color="434343"/>
              <w:bottom w:val="single" w:sz="8" w:space="0" w:color="434343"/>
              <w:right w:val="single" w:sz="8" w:space="0" w:color="434343"/>
            </w:tcBorders>
            <w:vAlign w:val="center"/>
            <w:hideMark/>
          </w:tcPr>
          <w:p w14:paraId="19509286" w14:textId="77777777" w:rsidR="00794EB9" w:rsidRPr="00794EB9" w:rsidRDefault="00794EB9" w:rsidP="00C307FB">
            <w:pPr>
              <w:rPr>
                <w:rFonts w:ascii="Arial" w:hAnsi="Arial" w:cs="Arial"/>
                <w:b/>
                <w:bCs/>
                <w:sz w:val="22"/>
                <w:szCs w:val="22"/>
                <w:lang w:eastAsia="es-MX"/>
              </w:rPr>
            </w:pPr>
          </w:p>
        </w:tc>
      </w:tr>
      <w:tr w:rsidR="00794EB9" w:rsidRPr="00794EB9" w14:paraId="4469369D"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0757AA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Estilos de vida saludable</w:t>
            </w:r>
          </w:p>
        </w:tc>
        <w:tc>
          <w:tcPr>
            <w:tcW w:w="541" w:type="pct"/>
            <w:tcBorders>
              <w:top w:val="nil"/>
              <w:left w:val="nil"/>
              <w:bottom w:val="single" w:sz="8" w:space="0" w:color="434343"/>
              <w:right w:val="single" w:sz="8" w:space="0" w:color="434343"/>
            </w:tcBorders>
            <w:shd w:val="clear" w:color="auto" w:fill="auto"/>
            <w:vAlign w:val="center"/>
            <w:hideMark/>
          </w:tcPr>
          <w:p w14:paraId="55EF039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459" w:type="pct"/>
            <w:tcBorders>
              <w:top w:val="nil"/>
              <w:left w:val="nil"/>
              <w:bottom w:val="single" w:sz="8" w:space="0" w:color="434343"/>
              <w:right w:val="single" w:sz="8" w:space="0" w:color="434343"/>
            </w:tcBorders>
            <w:shd w:val="clear" w:color="auto" w:fill="auto"/>
            <w:vAlign w:val="center"/>
            <w:hideMark/>
          </w:tcPr>
          <w:p w14:paraId="4D6A07D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686" w:type="pct"/>
            <w:tcBorders>
              <w:top w:val="nil"/>
              <w:left w:val="nil"/>
              <w:bottom w:val="single" w:sz="8" w:space="0" w:color="434343"/>
              <w:right w:val="single" w:sz="8" w:space="0" w:color="434343"/>
            </w:tcBorders>
            <w:shd w:val="clear" w:color="auto" w:fill="auto"/>
            <w:vAlign w:val="center"/>
            <w:hideMark/>
          </w:tcPr>
          <w:p w14:paraId="77BC3F6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esquemas complementarios de atención a la salud desde el municipio, que brinden consultas de primer contacto y disminuyan la demanda en centros especializados de salud</w:t>
            </w:r>
          </w:p>
        </w:tc>
        <w:tc>
          <w:tcPr>
            <w:tcW w:w="610" w:type="pct"/>
            <w:tcBorders>
              <w:top w:val="nil"/>
              <w:left w:val="single" w:sz="8" w:space="0" w:color="434343"/>
              <w:bottom w:val="single" w:sz="8" w:space="0" w:color="434343"/>
              <w:right w:val="single" w:sz="8" w:space="0" w:color="434343"/>
            </w:tcBorders>
            <w:vAlign w:val="center"/>
          </w:tcPr>
          <w:p w14:paraId="0BD8A93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 Garantizar una vida sana y promover el bienestar para todos en todas las edades</w:t>
            </w:r>
          </w:p>
        </w:tc>
        <w:tc>
          <w:tcPr>
            <w:tcW w:w="837" w:type="pct"/>
            <w:tcBorders>
              <w:top w:val="nil"/>
              <w:left w:val="single" w:sz="8" w:space="0" w:color="434343"/>
              <w:bottom w:val="single" w:sz="8" w:space="0" w:color="434343"/>
              <w:right w:val="single" w:sz="8" w:space="0" w:color="434343"/>
            </w:tcBorders>
            <w:vAlign w:val="center"/>
          </w:tcPr>
          <w:p w14:paraId="11E033F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1.1.2 Otorgar servicios de salud oportunos, con altos estándares de calidad y seguridad para las y los pacientes</w:t>
            </w:r>
          </w:p>
        </w:tc>
        <w:tc>
          <w:tcPr>
            <w:tcW w:w="762" w:type="pct"/>
            <w:tcBorders>
              <w:top w:val="nil"/>
              <w:left w:val="single" w:sz="8" w:space="0" w:color="434343"/>
              <w:bottom w:val="single" w:sz="8" w:space="0" w:color="434343"/>
              <w:right w:val="single" w:sz="8" w:space="0" w:color="434343"/>
            </w:tcBorders>
            <w:vAlign w:val="center"/>
          </w:tcPr>
          <w:p w14:paraId="613753A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1.1.2.4 Garantía de la cercanía de los servicios de salud a la población</w:t>
            </w:r>
          </w:p>
        </w:tc>
        <w:tc>
          <w:tcPr>
            <w:tcW w:w="736" w:type="pct"/>
            <w:vMerge/>
            <w:tcBorders>
              <w:top w:val="nil"/>
              <w:left w:val="single" w:sz="8" w:space="0" w:color="434343"/>
              <w:bottom w:val="single" w:sz="8" w:space="0" w:color="434343"/>
              <w:right w:val="single" w:sz="8" w:space="0" w:color="434343"/>
            </w:tcBorders>
            <w:vAlign w:val="center"/>
            <w:hideMark/>
          </w:tcPr>
          <w:p w14:paraId="22918A09" w14:textId="77777777" w:rsidR="00794EB9" w:rsidRPr="00794EB9" w:rsidRDefault="00794EB9" w:rsidP="00C307FB">
            <w:pPr>
              <w:rPr>
                <w:rFonts w:ascii="Arial" w:hAnsi="Arial" w:cs="Arial"/>
                <w:b/>
                <w:bCs/>
                <w:sz w:val="22"/>
                <w:szCs w:val="22"/>
                <w:lang w:eastAsia="es-MX"/>
              </w:rPr>
            </w:pPr>
          </w:p>
        </w:tc>
      </w:tr>
      <w:tr w:rsidR="00794EB9" w:rsidRPr="00794EB9" w14:paraId="56D76DDB"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360F97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Igualdad e inclusión</w:t>
            </w:r>
          </w:p>
        </w:tc>
        <w:tc>
          <w:tcPr>
            <w:tcW w:w="541" w:type="pct"/>
            <w:tcBorders>
              <w:top w:val="nil"/>
              <w:left w:val="nil"/>
              <w:bottom w:val="single" w:sz="8" w:space="0" w:color="434343"/>
              <w:right w:val="single" w:sz="8" w:space="0" w:color="434343"/>
            </w:tcBorders>
            <w:shd w:val="clear" w:color="auto" w:fill="auto"/>
            <w:vAlign w:val="center"/>
            <w:hideMark/>
          </w:tcPr>
          <w:p w14:paraId="0A4FB25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w:t>
            </w:r>
            <w:r w:rsidRPr="00794EB9">
              <w:rPr>
                <w:rFonts w:ascii="Arial" w:hAnsi="Arial" w:cs="Arial"/>
                <w:sz w:val="22"/>
                <w:szCs w:val="22"/>
                <w:lang w:eastAsia="es-MX"/>
              </w:rPr>
              <w:lastRenderedPageBreak/>
              <w:t>s, respetando la diversidad sociocultural y los Derechos Humanos</w:t>
            </w:r>
          </w:p>
        </w:tc>
        <w:tc>
          <w:tcPr>
            <w:tcW w:w="459" w:type="pct"/>
            <w:tcBorders>
              <w:top w:val="nil"/>
              <w:left w:val="nil"/>
              <w:bottom w:val="single" w:sz="8" w:space="0" w:color="434343"/>
              <w:right w:val="single" w:sz="8" w:space="0" w:color="434343"/>
            </w:tcBorders>
            <w:shd w:val="clear" w:color="auto" w:fill="auto"/>
            <w:vAlign w:val="center"/>
            <w:hideMark/>
          </w:tcPr>
          <w:p w14:paraId="2E7A429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Inclusión y protección de grupos sociales en situación de vulner</w:t>
            </w:r>
            <w:r w:rsidRPr="00794EB9">
              <w:rPr>
                <w:rFonts w:ascii="Arial" w:hAnsi="Arial" w:cs="Arial"/>
                <w:sz w:val="22"/>
                <w:szCs w:val="22"/>
                <w:lang w:eastAsia="es-MX"/>
              </w:rPr>
              <w:lastRenderedPageBreak/>
              <w:t>abilidad</w:t>
            </w:r>
          </w:p>
        </w:tc>
        <w:tc>
          <w:tcPr>
            <w:tcW w:w="686" w:type="pct"/>
            <w:tcBorders>
              <w:top w:val="nil"/>
              <w:left w:val="nil"/>
              <w:bottom w:val="single" w:sz="8" w:space="0" w:color="434343"/>
              <w:right w:val="single" w:sz="8" w:space="0" w:color="434343"/>
            </w:tcBorders>
            <w:shd w:val="clear" w:color="auto" w:fill="auto"/>
            <w:vAlign w:val="center"/>
            <w:hideMark/>
          </w:tcPr>
          <w:p w14:paraId="235AA76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Promover el respeto de derechos de migrantes nacionales o internacionales que transitan por el municipio</w:t>
            </w:r>
          </w:p>
        </w:tc>
        <w:tc>
          <w:tcPr>
            <w:tcW w:w="610" w:type="pct"/>
            <w:tcBorders>
              <w:top w:val="nil"/>
              <w:left w:val="single" w:sz="8" w:space="0" w:color="434343"/>
              <w:bottom w:val="single" w:sz="8" w:space="0" w:color="434343"/>
              <w:right w:val="single" w:sz="8" w:space="0" w:color="434343"/>
            </w:tcBorders>
            <w:vAlign w:val="center"/>
          </w:tcPr>
          <w:p w14:paraId="67D3F10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10: Reducir la desigualdad en y entre los países</w:t>
            </w:r>
          </w:p>
        </w:tc>
        <w:tc>
          <w:tcPr>
            <w:tcW w:w="837" w:type="pct"/>
            <w:tcBorders>
              <w:top w:val="nil"/>
              <w:left w:val="single" w:sz="8" w:space="0" w:color="434343"/>
              <w:bottom w:val="single" w:sz="8" w:space="0" w:color="434343"/>
              <w:right w:val="single" w:sz="8" w:space="0" w:color="434343"/>
            </w:tcBorders>
            <w:vAlign w:val="center"/>
          </w:tcPr>
          <w:p w14:paraId="48D1991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2BEBE10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Estrategia 1.3.1.6 Fomento de la inclusión y la participación de las personas migrantes y sus familias en el </w:t>
            </w:r>
            <w:r w:rsidRPr="00794EB9">
              <w:rPr>
                <w:rFonts w:ascii="Arial" w:hAnsi="Arial" w:cs="Arial"/>
                <w:b/>
                <w:bCs/>
                <w:sz w:val="22"/>
                <w:szCs w:val="22"/>
                <w:lang w:eastAsia="es-MX"/>
              </w:rPr>
              <w:lastRenderedPageBreak/>
              <w:t>desarrollo político, social, económico y cultural de Guanajuato</w:t>
            </w:r>
          </w:p>
        </w:tc>
        <w:tc>
          <w:tcPr>
            <w:tcW w:w="736" w:type="pct"/>
            <w:vMerge/>
            <w:tcBorders>
              <w:top w:val="nil"/>
              <w:left w:val="single" w:sz="8" w:space="0" w:color="434343"/>
              <w:bottom w:val="single" w:sz="8" w:space="0" w:color="434343"/>
              <w:right w:val="single" w:sz="8" w:space="0" w:color="434343"/>
            </w:tcBorders>
            <w:vAlign w:val="center"/>
            <w:hideMark/>
          </w:tcPr>
          <w:p w14:paraId="13239352" w14:textId="77777777" w:rsidR="00794EB9" w:rsidRPr="00794EB9" w:rsidRDefault="00794EB9" w:rsidP="00C307FB">
            <w:pPr>
              <w:rPr>
                <w:rFonts w:ascii="Arial" w:hAnsi="Arial" w:cs="Arial"/>
                <w:b/>
                <w:bCs/>
                <w:sz w:val="22"/>
                <w:szCs w:val="22"/>
                <w:lang w:eastAsia="es-MX"/>
              </w:rPr>
            </w:pPr>
          </w:p>
        </w:tc>
      </w:tr>
      <w:tr w:rsidR="00794EB9" w:rsidRPr="00794EB9" w14:paraId="0CA4E6CF"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19E45D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541" w:type="pct"/>
            <w:tcBorders>
              <w:top w:val="nil"/>
              <w:left w:val="nil"/>
              <w:bottom w:val="single" w:sz="8" w:space="0" w:color="434343"/>
              <w:right w:val="single" w:sz="8" w:space="0" w:color="434343"/>
            </w:tcBorders>
            <w:shd w:val="clear" w:color="auto" w:fill="auto"/>
            <w:vAlign w:val="center"/>
            <w:hideMark/>
          </w:tcPr>
          <w:p w14:paraId="4FE96C4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459" w:type="pct"/>
            <w:tcBorders>
              <w:top w:val="nil"/>
              <w:left w:val="nil"/>
              <w:bottom w:val="single" w:sz="8" w:space="0" w:color="434343"/>
              <w:right w:val="single" w:sz="8" w:space="0" w:color="434343"/>
            </w:tcBorders>
            <w:shd w:val="clear" w:color="auto" w:fill="auto"/>
            <w:vAlign w:val="center"/>
            <w:hideMark/>
          </w:tcPr>
          <w:p w14:paraId="48EB6AE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Articulación y fortalecimiento de las organizaciones de la sociedad civil</w:t>
            </w:r>
          </w:p>
        </w:tc>
        <w:tc>
          <w:tcPr>
            <w:tcW w:w="686" w:type="pct"/>
            <w:tcBorders>
              <w:top w:val="nil"/>
              <w:left w:val="nil"/>
              <w:bottom w:val="single" w:sz="8" w:space="0" w:color="434343"/>
              <w:right w:val="single" w:sz="8" w:space="0" w:color="434343"/>
            </w:tcBorders>
            <w:shd w:val="clear" w:color="auto" w:fill="auto"/>
            <w:vAlign w:val="center"/>
            <w:hideMark/>
          </w:tcPr>
          <w:p w14:paraId="0A70357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los canales de vinculación, articulación y colaboración de las organizaciones de la sociedad civil locales, nacionales e internacionales para atender de manera colaborativa los retos prioritarios de León</w:t>
            </w:r>
          </w:p>
        </w:tc>
        <w:tc>
          <w:tcPr>
            <w:tcW w:w="610" w:type="pct"/>
            <w:tcBorders>
              <w:top w:val="nil"/>
              <w:left w:val="single" w:sz="8" w:space="0" w:color="434343"/>
              <w:bottom w:val="single" w:sz="8" w:space="0" w:color="434343"/>
              <w:right w:val="single" w:sz="8" w:space="0" w:color="434343"/>
            </w:tcBorders>
            <w:vAlign w:val="center"/>
          </w:tcPr>
          <w:p w14:paraId="0DBF2BF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7A0726A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4.1.2 Consolidar una gestión pública abierta, transparente y cercana a la ciudadanía, sin cabida para la corrupción</w:t>
            </w:r>
          </w:p>
        </w:tc>
        <w:tc>
          <w:tcPr>
            <w:tcW w:w="762" w:type="pct"/>
            <w:tcBorders>
              <w:top w:val="nil"/>
              <w:left w:val="single" w:sz="8" w:space="0" w:color="434343"/>
              <w:bottom w:val="single" w:sz="8" w:space="0" w:color="434343"/>
              <w:right w:val="single" w:sz="8" w:space="0" w:color="434343"/>
            </w:tcBorders>
            <w:vAlign w:val="center"/>
          </w:tcPr>
          <w:p w14:paraId="7F62D92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4.1.2.3 Fortalecimiento de la participación ciudadana mediante mecanismos ágiles y novedosos, que posibiliten su involucramiento en las decisiones relacionadas con la transparencia y la rendición de cuentas</w:t>
            </w:r>
          </w:p>
        </w:tc>
        <w:tc>
          <w:tcPr>
            <w:tcW w:w="736" w:type="pct"/>
            <w:vMerge/>
            <w:tcBorders>
              <w:top w:val="nil"/>
              <w:left w:val="single" w:sz="8" w:space="0" w:color="434343"/>
              <w:bottom w:val="single" w:sz="8" w:space="0" w:color="434343"/>
              <w:right w:val="single" w:sz="8" w:space="0" w:color="434343"/>
            </w:tcBorders>
            <w:vAlign w:val="center"/>
            <w:hideMark/>
          </w:tcPr>
          <w:p w14:paraId="0E311951" w14:textId="77777777" w:rsidR="00794EB9" w:rsidRPr="00794EB9" w:rsidRDefault="00794EB9" w:rsidP="00C307FB">
            <w:pPr>
              <w:rPr>
                <w:rFonts w:ascii="Arial" w:hAnsi="Arial" w:cs="Arial"/>
                <w:b/>
                <w:bCs/>
                <w:sz w:val="22"/>
                <w:szCs w:val="22"/>
                <w:lang w:eastAsia="es-MX"/>
              </w:rPr>
            </w:pPr>
          </w:p>
        </w:tc>
      </w:tr>
      <w:tr w:rsidR="00794EB9" w:rsidRPr="00794EB9" w14:paraId="2DC7C608"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D37576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Gobierno abier</w:t>
            </w:r>
            <w:r w:rsidRPr="00794EB9">
              <w:rPr>
                <w:rFonts w:ascii="Arial" w:hAnsi="Arial" w:cs="Arial"/>
                <w:sz w:val="22"/>
                <w:szCs w:val="22"/>
                <w:lang w:eastAsia="es-MX"/>
              </w:rPr>
              <w:lastRenderedPageBreak/>
              <w:t>to con liderazgo</w:t>
            </w:r>
          </w:p>
        </w:tc>
        <w:tc>
          <w:tcPr>
            <w:tcW w:w="541" w:type="pct"/>
            <w:tcBorders>
              <w:top w:val="nil"/>
              <w:left w:val="nil"/>
              <w:bottom w:val="single" w:sz="8" w:space="0" w:color="434343"/>
              <w:right w:val="single" w:sz="8" w:space="0" w:color="434343"/>
            </w:tcBorders>
            <w:shd w:val="clear" w:color="auto" w:fill="auto"/>
            <w:vAlign w:val="center"/>
            <w:hideMark/>
          </w:tcPr>
          <w:p w14:paraId="3F202FA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Fortalecer la confian</w:t>
            </w:r>
            <w:r w:rsidRPr="00794EB9">
              <w:rPr>
                <w:rFonts w:ascii="Arial" w:hAnsi="Arial" w:cs="Arial"/>
                <w:sz w:val="22"/>
                <w:szCs w:val="22"/>
                <w:lang w:eastAsia="es-MX"/>
              </w:rPr>
              <w:lastRenderedPageBreak/>
              <w:t>za de las y los leoneses hacia el gobierno, con mejores condiciones de comunicación, transparencia, rendición de cuentas y acceso a la información</w:t>
            </w:r>
          </w:p>
        </w:tc>
        <w:tc>
          <w:tcPr>
            <w:tcW w:w="459" w:type="pct"/>
            <w:tcBorders>
              <w:top w:val="nil"/>
              <w:left w:val="nil"/>
              <w:bottom w:val="single" w:sz="8" w:space="0" w:color="434343"/>
              <w:right w:val="single" w:sz="8" w:space="0" w:color="434343"/>
            </w:tcBorders>
            <w:shd w:val="clear" w:color="auto" w:fill="auto"/>
            <w:vAlign w:val="center"/>
            <w:hideMark/>
          </w:tcPr>
          <w:p w14:paraId="50D2015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Eficiencia y moder</w:t>
            </w:r>
            <w:r w:rsidRPr="00794EB9">
              <w:rPr>
                <w:rFonts w:ascii="Arial" w:hAnsi="Arial" w:cs="Arial"/>
                <w:sz w:val="22"/>
                <w:szCs w:val="22"/>
                <w:lang w:eastAsia="es-MX"/>
              </w:rPr>
              <w:lastRenderedPageBreak/>
              <w:t>nización administrativa</w:t>
            </w:r>
          </w:p>
        </w:tc>
        <w:tc>
          <w:tcPr>
            <w:tcW w:w="686" w:type="pct"/>
            <w:tcBorders>
              <w:top w:val="nil"/>
              <w:left w:val="nil"/>
              <w:bottom w:val="single" w:sz="8" w:space="0" w:color="434343"/>
              <w:right w:val="single" w:sz="8" w:space="0" w:color="434343"/>
            </w:tcBorders>
            <w:shd w:val="clear" w:color="auto" w:fill="auto"/>
            <w:vAlign w:val="center"/>
            <w:hideMark/>
          </w:tcPr>
          <w:p w14:paraId="2389A23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Fortalecer los esquemas </w:t>
            </w:r>
            <w:r w:rsidRPr="00794EB9">
              <w:rPr>
                <w:rFonts w:ascii="Arial" w:hAnsi="Arial" w:cs="Arial"/>
                <w:sz w:val="22"/>
                <w:szCs w:val="22"/>
                <w:lang w:eastAsia="es-MX"/>
              </w:rPr>
              <w:lastRenderedPageBreak/>
              <w:t>del servicio civil de carrera de las y los servidores públicos que favorezcan una cultura de calidad, igualdad y no discriminación en la atención de la ciudadanía</w:t>
            </w:r>
          </w:p>
        </w:tc>
        <w:tc>
          <w:tcPr>
            <w:tcW w:w="610" w:type="pct"/>
            <w:tcBorders>
              <w:top w:val="nil"/>
              <w:left w:val="single" w:sz="8" w:space="0" w:color="434343"/>
              <w:bottom w:val="single" w:sz="8" w:space="0" w:color="434343"/>
              <w:right w:val="single" w:sz="8" w:space="0" w:color="434343"/>
            </w:tcBorders>
            <w:vAlign w:val="center"/>
          </w:tcPr>
          <w:p w14:paraId="7220383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16: Promov</w:t>
            </w:r>
            <w:r w:rsidRPr="00794EB9">
              <w:rPr>
                <w:rFonts w:ascii="Arial" w:hAnsi="Arial" w:cs="Arial"/>
                <w:b/>
                <w:bCs/>
                <w:sz w:val="22"/>
                <w:szCs w:val="22"/>
                <w:lang w:eastAsia="es-MX"/>
              </w:rPr>
              <w:lastRenderedPageBreak/>
              <w:t>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5919B74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4.1.1 Incrementar </w:t>
            </w:r>
            <w:r w:rsidRPr="00794EB9">
              <w:rPr>
                <w:rFonts w:ascii="Arial" w:hAnsi="Arial" w:cs="Arial"/>
                <w:b/>
                <w:bCs/>
                <w:sz w:val="22"/>
                <w:szCs w:val="22"/>
                <w:lang w:eastAsia="es-MX"/>
              </w:rPr>
              <w:lastRenderedPageBreak/>
              <w:t>la eficiencia y la eficacia del sector público estatal, con el involucramiento corresponsable de la sociedad</w:t>
            </w:r>
          </w:p>
        </w:tc>
        <w:tc>
          <w:tcPr>
            <w:tcW w:w="762" w:type="pct"/>
            <w:tcBorders>
              <w:top w:val="nil"/>
              <w:left w:val="single" w:sz="8" w:space="0" w:color="434343"/>
              <w:bottom w:val="single" w:sz="8" w:space="0" w:color="434343"/>
              <w:right w:val="single" w:sz="8" w:space="0" w:color="434343"/>
            </w:tcBorders>
            <w:vAlign w:val="center"/>
          </w:tcPr>
          <w:p w14:paraId="4A99E1A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Estrategia 4.1.1.5 Fortalecimi</w:t>
            </w:r>
            <w:r w:rsidRPr="00794EB9">
              <w:rPr>
                <w:rFonts w:ascii="Arial" w:hAnsi="Arial" w:cs="Arial"/>
                <w:b/>
                <w:bCs/>
                <w:sz w:val="22"/>
                <w:szCs w:val="22"/>
                <w:lang w:eastAsia="es-MX"/>
              </w:rPr>
              <w:lastRenderedPageBreak/>
              <w:t>ento de las capacidades profesionales del personal en servicio público en todos sus niveles, generando un sentido de pertenencia sustentado en principios de legalidad, eficiencia, eficacia, honradez, inclusión e igualdad de género</w:t>
            </w:r>
          </w:p>
        </w:tc>
        <w:tc>
          <w:tcPr>
            <w:tcW w:w="736" w:type="pct"/>
            <w:vMerge/>
            <w:tcBorders>
              <w:top w:val="nil"/>
              <w:left w:val="single" w:sz="8" w:space="0" w:color="434343"/>
              <w:bottom w:val="single" w:sz="8" w:space="0" w:color="434343"/>
              <w:right w:val="single" w:sz="8" w:space="0" w:color="434343"/>
            </w:tcBorders>
            <w:vAlign w:val="center"/>
            <w:hideMark/>
          </w:tcPr>
          <w:p w14:paraId="0C72DE53" w14:textId="77777777" w:rsidR="00794EB9" w:rsidRPr="00794EB9" w:rsidRDefault="00794EB9" w:rsidP="00C307FB">
            <w:pPr>
              <w:rPr>
                <w:rFonts w:ascii="Arial" w:hAnsi="Arial" w:cs="Arial"/>
                <w:b/>
                <w:bCs/>
                <w:sz w:val="22"/>
                <w:szCs w:val="22"/>
                <w:lang w:eastAsia="es-MX"/>
              </w:rPr>
            </w:pPr>
          </w:p>
        </w:tc>
      </w:tr>
      <w:tr w:rsidR="00794EB9" w:rsidRPr="00794EB9" w14:paraId="317BC0B6"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404FD5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Equidad social</w:t>
            </w:r>
          </w:p>
        </w:tc>
        <w:tc>
          <w:tcPr>
            <w:tcW w:w="541" w:type="pct"/>
            <w:tcBorders>
              <w:top w:val="nil"/>
              <w:left w:val="nil"/>
              <w:bottom w:val="single" w:sz="8" w:space="0" w:color="434343"/>
              <w:right w:val="single" w:sz="8" w:space="0" w:color="434343"/>
            </w:tcBorders>
            <w:shd w:val="clear" w:color="auto" w:fill="auto"/>
            <w:vAlign w:val="center"/>
            <w:hideMark/>
          </w:tcPr>
          <w:p w14:paraId="2E78DE8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w:t>
            </w:r>
            <w:r w:rsidRPr="00794EB9">
              <w:rPr>
                <w:rFonts w:ascii="Arial" w:hAnsi="Arial" w:cs="Arial"/>
                <w:sz w:val="22"/>
                <w:szCs w:val="22"/>
                <w:lang w:eastAsia="es-MX"/>
              </w:rPr>
              <w:lastRenderedPageBreak/>
              <w:t>ón de las desigualdades</w:t>
            </w:r>
          </w:p>
        </w:tc>
        <w:tc>
          <w:tcPr>
            <w:tcW w:w="459" w:type="pct"/>
            <w:tcBorders>
              <w:top w:val="nil"/>
              <w:left w:val="nil"/>
              <w:bottom w:val="single" w:sz="8" w:space="0" w:color="434343"/>
              <w:right w:val="single" w:sz="8" w:space="0" w:color="434343"/>
            </w:tcBorders>
            <w:shd w:val="clear" w:color="auto" w:fill="auto"/>
            <w:vAlign w:val="center"/>
            <w:hideMark/>
          </w:tcPr>
          <w:p w14:paraId="6DFDEA0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Mejoramiento de las condiciones de vida de los habitantes de las comunidades rurales</w:t>
            </w:r>
          </w:p>
        </w:tc>
        <w:tc>
          <w:tcPr>
            <w:tcW w:w="686" w:type="pct"/>
            <w:tcBorders>
              <w:top w:val="nil"/>
              <w:left w:val="nil"/>
              <w:bottom w:val="single" w:sz="8" w:space="0" w:color="434343"/>
              <w:right w:val="single" w:sz="8" w:space="0" w:color="434343"/>
            </w:tcBorders>
            <w:shd w:val="clear" w:color="auto" w:fill="auto"/>
            <w:vAlign w:val="center"/>
            <w:hideMark/>
          </w:tcPr>
          <w:p w14:paraId="4107506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Construir y dar mantenimiento a los caminos rurales con cruces seguros en puentes y arroyos de la zona rural en beneficio de las actividades sociales </w:t>
            </w:r>
            <w:r w:rsidRPr="00794EB9">
              <w:rPr>
                <w:rFonts w:ascii="Arial" w:hAnsi="Arial" w:cs="Arial"/>
                <w:sz w:val="22"/>
                <w:szCs w:val="22"/>
                <w:lang w:eastAsia="es-MX"/>
              </w:rPr>
              <w:lastRenderedPageBreak/>
              <w:t>y productivas</w:t>
            </w:r>
          </w:p>
        </w:tc>
        <w:tc>
          <w:tcPr>
            <w:tcW w:w="610" w:type="pct"/>
            <w:tcBorders>
              <w:top w:val="nil"/>
              <w:left w:val="single" w:sz="8" w:space="0" w:color="434343"/>
              <w:bottom w:val="single" w:sz="8" w:space="0" w:color="434343"/>
              <w:right w:val="single" w:sz="8" w:space="0" w:color="434343"/>
            </w:tcBorders>
            <w:vAlign w:val="center"/>
          </w:tcPr>
          <w:p w14:paraId="50A54F9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9: Construir infraestructuras resilientes, promover la industrialización sostenible y fomentar la </w:t>
            </w:r>
            <w:r w:rsidRPr="00794EB9">
              <w:rPr>
                <w:rFonts w:ascii="Arial" w:hAnsi="Arial" w:cs="Arial"/>
                <w:b/>
                <w:bCs/>
                <w:sz w:val="22"/>
                <w:szCs w:val="22"/>
                <w:lang w:eastAsia="es-MX"/>
              </w:rPr>
              <w:lastRenderedPageBreak/>
              <w:t>innovación</w:t>
            </w:r>
          </w:p>
        </w:tc>
        <w:tc>
          <w:tcPr>
            <w:tcW w:w="837" w:type="pct"/>
            <w:tcBorders>
              <w:top w:val="nil"/>
              <w:left w:val="single" w:sz="8" w:space="0" w:color="434343"/>
              <w:bottom w:val="single" w:sz="8" w:space="0" w:color="434343"/>
              <w:right w:val="single" w:sz="8" w:space="0" w:color="434343"/>
            </w:tcBorders>
            <w:vAlign w:val="center"/>
          </w:tcPr>
          <w:p w14:paraId="70EC616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3762643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Estrategia 3.2.1.2 Gestión de los asentamientos humanos y centros de población y ordenamiento del territorio bajo los principios de inclusión, </w:t>
            </w:r>
            <w:r w:rsidRPr="00794EB9">
              <w:rPr>
                <w:rFonts w:ascii="Arial" w:hAnsi="Arial" w:cs="Arial"/>
                <w:b/>
                <w:bCs/>
                <w:sz w:val="22"/>
                <w:szCs w:val="22"/>
                <w:lang w:eastAsia="es-MX"/>
              </w:rPr>
              <w:lastRenderedPageBreak/>
              <w:t>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54AAA4A9" w14:textId="77777777" w:rsidR="00794EB9" w:rsidRPr="00794EB9" w:rsidRDefault="00794EB9" w:rsidP="00C307FB">
            <w:pPr>
              <w:rPr>
                <w:rFonts w:ascii="Arial" w:hAnsi="Arial" w:cs="Arial"/>
                <w:b/>
                <w:bCs/>
                <w:sz w:val="22"/>
                <w:szCs w:val="22"/>
                <w:lang w:eastAsia="es-MX"/>
              </w:rPr>
            </w:pPr>
          </w:p>
        </w:tc>
      </w:tr>
      <w:tr w:rsidR="00794EB9" w:rsidRPr="00794EB9" w14:paraId="7146C68F"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739CCD5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Igualdad e inclusión</w:t>
            </w:r>
          </w:p>
        </w:tc>
        <w:tc>
          <w:tcPr>
            <w:tcW w:w="541" w:type="pct"/>
            <w:tcBorders>
              <w:top w:val="nil"/>
              <w:left w:val="nil"/>
              <w:bottom w:val="single" w:sz="8" w:space="0" w:color="434343"/>
              <w:right w:val="single" w:sz="8" w:space="0" w:color="434343"/>
            </w:tcBorders>
            <w:shd w:val="clear" w:color="auto" w:fill="auto"/>
            <w:vAlign w:val="center"/>
            <w:hideMark/>
          </w:tcPr>
          <w:p w14:paraId="617FABB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personas, respetando la diversidad sociocultural y los Derechos Humanos</w:t>
            </w:r>
          </w:p>
        </w:tc>
        <w:tc>
          <w:tcPr>
            <w:tcW w:w="459" w:type="pct"/>
            <w:tcBorders>
              <w:top w:val="nil"/>
              <w:left w:val="nil"/>
              <w:bottom w:val="single" w:sz="8" w:space="0" w:color="434343"/>
              <w:right w:val="single" w:sz="8" w:space="0" w:color="434343"/>
            </w:tcBorders>
            <w:shd w:val="clear" w:color="auto" w:fill="auto"/>
            <w:vAlign w:val="center"/>
            <w:hideMark/>
          </w:tcPr>
          <w:p w14:paraId="79ECB08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Inclusión y protección de grupos sociales en situación de vulnerabilidad</w:t>
            </w:r>
          </w:p>
        </w:tc>
        <w:tc>
          <w:tcPr>
            <w:tcW w:w="686" w:type="pct"/>
            <w:tcBorders>
              <w:top w:val="nil"/>
              <w:left w:val="nil"/>
              <w:bottom w:val="single" w:sz="8" w:space="0" w:color="434343"/>
              <w:right w:val="single" w:sz="8" w:space="0" w:color="434343"/>
            </w:tcBorders>
            <w:shd w:val="clear" w:color="auto" w:fill="auto"/>
            <w:vAlign w:val="center"/>
            <w:hideMark/>
          </w:tcPr>
          <w:p w14:paraId="083C10D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el respeto de derechos de migrantes nacionales o internacionales que transitan por el municipio</w:t>
            </w:r>
          </w:p>
        </w:tc>
        <w:tc>
          <w:tcPr>
            <w:tcW w:w="610" w:type="pct"/>
            <w:tcBorders>
              <w:top w:val="nil"/>
              <w:left w:val="single" w:sz="8" w:space="0" w:color="434343"/>
              <w:bottom w:val="single" w:sz="8" w:space="0" w:color="434343"/>
              <w:right w:val="single" w:sz="8" w:space="0" w:color="434343"/>
            </w:tcBorders>
            <w:vAlign w:val="center"/>
          </w:tcPr>
          <w:p w14:paraId="035EE92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10: Reducir la desigualdad en y entre los países</w:t>
            </w:r>
          </w:p>
        </w:tc>
        <w:tc>
          <w:tcPr>
            <w:tcW w:w="837" w:type="pct"/>
            <w:tcBorders>
              <w:top w:val="nil"/>
              <w:left w:val="single" w:sz="8" w:space="0" w:color="434343"/>
              <w:bottom w:val="single" w:sz="8" w:space="0" w:color="434343"/>
              <w:right w:val="single" w:sz="8" w:space="0" w:color="434343"/>
            </w:tcBorders>
            <w:vAlign w:val="center"/>
          </w:tcPr>
          <w:p w14:paraId="6B22C62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3019536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1.3.1.6 Fomento de la inclusión y la participación de las personas migrantes y sus familias en el desarrollo político, social, económico y cultural de Guanajuato</w:t>
            </w:r>
          </w:p>
        </w:tc>
        <w:tc>
          <w:tcPr>
            <w:tcW w:w="736" w:type="pct"/>
            <w:vMerge/>
            <w:tcBorders>
              <w:top w:val="nil"/>
              <w:left w:val="single" w:sz="8" w:space="0" w:color="434343"/>
              <w:bottom w:val="single" w:sz="8" w:space="0" w:color="434343"/>
              <w:right w:val="single" w:sz="8" w:space="0" w:color="434343"/>
            </w:tcBorders>
            <w:vAlign w:val="center"/>
            <w:hideMark/>
          </w:tcPr>
          <w:p w14:paraId="56A0C8DE" w14:textId="77777777" w:rsidR="00794EB9" w:rsidRPr="00794EB9" w:rsidRDefault="00794EB9" w:rsidP="00C307FB">
            <w:pPr>
              <w:rPr>
                <w:rFonts w:ascii="Arial" w:hAnsi="Arial" w:cs="Arial"/>
                <w:b/>
                <w:bCs/>
                <w:sz w:val="22"/>
                <w:szCs w:val="22"/>
                <w:lang w:eastAsia="es-MX"/>
              </w:rPr>
            </w:pPr>
          </w:p>
        </w:tc>
      </w:tr>
      <w:tr w:rsidR="00794EB9" w:rsidRPr="00794EB9" w14:paraId="6C051A37"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33C5AF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Educación equitativa</w:t>
            </w:r>
            <w:r w:rsidRPr="00794EB9">
              <w:rPr>
                <w:rFonts w:ascii="Arial" w:hAnsi="Arial" w:cs="Arial"/>
                <w:sz w:val="22"/>
                <w:szCs w:val="22"/>
                <w:lang w:eastAsia="es-MX"/>
              </w:rPr>
              <w:lastRenderedPageBreak/>
              <w:t>, pertinente y de calidad</w:t>
            </w:r>
          </w:p>
        </w:tc>
        <w:tc>
          <w:tcPr>
            <w:tcW w:w="541" w:type="pct"/>
            <w:tcBorders>
              <w:top w:val="nil"/>
              <w:left w:val="nil"/>
              <w:bottom w:val="single" w:sz="8" w:space="0" w:color="434343"/>
              <w:right w:val="single" w:sz="8" w:space="0" w:color="434343"/>
            </w:tcBorders>
            <w:shd w:val="clear" w:color="auto" w:fill="auto"/>
            <w:vAlign w:val="center"/>
            <w:hideMark/>
          </w:tcPr>
          <w:p w14:paraId="7D7A17F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Promover el aprendizaje equitati</w:t>
            </w:r>
            <w:r w:rsidRPr="00794EB9">
              <w:rPr>
                <w:rFonts w:ascii="Arial" w:hAnsi="Arial" w:cs="Arial"/>
                <w:sz w:val="22"/>
                <w:szCs w:val="22"/>
                <w:lang w:eastAsia="es-MX"/>
              </w:rPr>
              <w:lastRenderedPageBreak/>
              <w:t>vo, pertinente y de calidad a lo largo de la vida</w:t>
            </w:r>
          </w:p>
        </w:tc>
        <w:tc>
          <w:tcPr>
            <w:tcW w:w="459" w:type="pct"/>
            <w:tcBorders>
              <w:top w:val="nil"/>
              <w:left w:val="nil"/>
              <w:bottom w:val="single" w:sz="8" w:space="0" w:color="434343"/>
              <w:right w:val="single" w:sz="8" w:space="0" w:color="434343"/>
            </w:tcBorders>
            <w:shd w:val="clear" w:color="auto" w:fill="auto"/>
            <w:vAlign w:val="center"/>
            <w:hideMark/>
          </w:tcPr>
          <w:p w14:paraId="4FF6F41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Educación oportuna y apren</w:t>
            </w:r>
            <w:r w:rsidRPr="00794EB9">
              <w:rPr>
                <w:rFonts w:ascii="Arial" w:hAnsi="Arial" w:cs="Arial"/>
                <w:sz w:val="22"/>
                <w:szCs w:val="22"/>
                <w:lang w:eastAsia="es-MX"/>
              </w:rPr>
              <w:lastRenderedPageBreak/>
              <w:t>dizaje constante</w:t>
            </w:r>
          </w:p>
        </w:tc>
        <w:tc>
          <w:tcPr>
            <w:tcW w:w="686" w:type="pct"/>
            <w:tcBorders>
              <w:top w:val="nil"/>
              <w:left w:val="nil"/>
              <w:bottom w:val="single" w:sz="8" w:space="0" w:color="434343"/>
              <w:right w:val="single" w:sz="8" w:space="0" w:color="434343"/>
            </w:tcBorders>
            <w:shd w:val="clear" w:color="auto" w:fill="auto"/>
            <w:vAlign w:val="center"/>
            <w:hideMark/>
          </w:tcPr>
          <w:p w14:paraId="4FFFE72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Fortalecer los mecanismos de coordinaci</w:t>
            </w:r>
            <w:r w:rsidRPr="00794EB9">
              <w:rPr>
                <w:rFonts w:ascii="Arial" w:hAnsi="Arial" w:cs="Arial"/>
                <w:sz w:val="22"/>
                <w:szCs w:val="22"/>
                <w:lang w:eastAsia="es-MX"/>
              </w:rPr>
              <w:lastRenderedPageBreak/>
              <w:t>ón y colaboración con entidades públicas y privadas para disminuir el analfabetismo y el rezago educativo, además de incrementar el grado promedio de escolaridad</w:t>
            </w:r>
          </w:p>
        </w:tc>
        <w:tc>
          <w:tcPr>
            <w:tcW w:w="610" w:type="pct"/>
            <w:tcBorders>
              <w:top w:val="nil"/>
              <w:left w:val="single" w:sz="8" w:space="0" w:color="434343"/>
              <w:bottom w:val="single" w:sz="8" w:space="0" w:color="434343"/>
              <w:right w:val="single" w:sz="8" w:space="0" w:color="434343"/>
            </w:tcBorders>
            <w:vAlign w:val="center"/>
          </w:tcPr>
          <w:p w14:paraId="2753D59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4: Garantizar una educaci</w:t>
            </w:r>
            <w:r w:rsidRPr="00794EB9">
              <w:rPr>
                <w:rFonts w:ascii="Arial" w:hAnsi="Arial" w:cs="Arial"/>
                <w:b/>
                <w:bCs/>
                <w:sz w:val="22"/>
                <w:szCs w:val="22"/>
                <w:lang w:eastAsia="es-MX"/>
              </w:rPr>
              <w:lastRenderedPageBreak/>
              <w:t>ón inclusiva, equitativa y de calidad y promover oportunidades de aprendizaje durante toda la vida para todos</w:t>
            </w:r>
          </w:p>
        </w:tc>
        <w:tc>
          <w:tcPr>
            <w:tcW w:w="837" w:type="pct"/>
            <w:tcBorders>
              <w:top w:val="nil"/>
              <w:left w:val="single" w:sz="8" w:space="0" w:color="434343"/>
              <w:bottom w:val="single" w:sz="8" w:space="0" w:color="434343"/>
              <w:right w:val="single" w:sz="8" w:space="0" w:color="434343"/>
            </w:tcBorders>
            <w:vAlign w:val="center"/>
          </w:tcPr>
          <w:p w14:paraId="563565C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1.2.1 Lograr una cobertura universal en </w:t>
            </w:r>
            <w:r w:rsidRPr="00794EB9">
              <w:rPr>
                <w:rFonts w:ascii="Arial" w:hAnsi="Arial" w:cs="Arial"/>
                <w:b/>
                <w:bCs/>
                <w:sz w:val="22"/>
                <w:szCs w:val="22"/>
                <w:lang w:eastAsia="es-MX"/>
              </w:rPr>
              <w:lastRenderedPageBreak/>
              <w:t>la educación obligatoria, mediante un modelo educativo de calidad con diversidad, equidad e igualdad de género que cuente con personal docente capacitado</w:t>
            </w:r>
          </w:p>
          <w:p w14:paraId="598D98E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y profesionalizado</w:t>
            </w:r>
          </w:p>
        </w:tc>
        <w:tc>
          <w:tcPr>
            <w:tcW w:w="762" w:type="pct"/>
            <w:tcBorders>
              <w:top w:val="nil"/>
              <w:left w:val="single" w:sz="8" w:space="0" w:color="434343"/>
              <w:bottom w:val="single" w:sz="8" w:space="0" w:color="434343"/>
              <w:right w:val="single" w:sz="8" w:space="0" w:color="434343"/>
            </w:tcBorders>
            <w:vAlign w:val="center"/>
          </w:tcPr>
          <w:p w14:paraId="282F65B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1.2.1.1 Reducción del rezago educativo </w:t>
            </w:r>
            <w:r w:rsidRPr="00794EB9">
              <w:rPr>
                <w:rFonts w:ascii="Arial" w:hAnsi="Arial" w:cs="Arial"/>
                <w:b/>
                <w:bCs/>
                <w:sz w:val="22"/>
                <w:szCs w:val="22"/>
                <w:lang w:eastAsia="es-MX"/>
              </w:rPr>
              <w:lastRenderedPageBreak/>
              <w:t>en la educación obligatoria</w:t>
            </w:r>
          </w:p>
        </w:tc>
        <w:tc>
          <w:tcPr>
            <w:tcW w:w="736" w:type="pct"/>
            <w:vMerge/>
            <w:tcBorders>
              <w:top w:val="nil"/>
              <w:left w:val="single" w:sz="8" w:space="0" w:color="434343"/>
              <w:bottom w:val="single" w:sz="8" w:space="0" w:color="434343"/>
              <w:right w:val="single" w:sz="8" w:space="0" w:color="434343"/>
            </w:tcBorders>
            <w:vAlign w:val="center"/>
            <w:hideMark/>
          </w:tcPr>
          <w:p w14:paraId="3D5E76EC" w14:textId="77777777" w:rsidR="00794EB9" w:rsidRPr="00794EB9" w:rsidRDefault="00794EB9" w:rsidP="00C307FB">
            <w:pPr>
              <w:rPr>
                <w:rFonts w:ascii="Arial" w:hAnsi="Arial" w:cs="Arial"/>
                <w:b/>
                <w:bCs/>
                <w:sz w:val="22"/>
                <w:szCs w:val="22"/>
                <w:lang w:eastAsia="es-MX"/>
              </w:rPr>
            </w:pPr>
          </w:p>
        </w:tc>
      </w:tr>
      <w:tr w:rsidR="00794EB9" w:rsidRPr="00794EB9" w14:paraId="7735C1EE"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ACBB20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541" w:type="pct"/>
            <w:tcBorders>
              <w:top w:val="nil"/>
              <w:left w:val="nil"/>
              <w:bottom w:val="single" w:sz="8" w:space="0" w:color="434343"/>
              <w:right w:val="single" w:sz="8" w:space="0" w:color="434343"/>
            </w:tcBorders>
            <w:shd w:val="clear" w:color="auto" w:fill="auto"/>
            <w:vAlign w:val="center"/>
            <w:hideMark/>
          </w:tcPr>
          <w:p w14:paraId="137AA98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Generar canales de innovación pública y social para el involucramiento efectivo de la ciudadanía y de las juventudes, en el proceso de cambio y en la </w:t>
            </w:r>
            <w:r w:rsidRPr="00794EB9">
              <w:rPr>
                <w:rFonts w:ascii="Arial" w:hAnsi="Arial" w:cs="Arial"/>
                <w:sz w:val="22"/>
                <w:szCs w:val="22"/>
                <w:lang w:eastAsia="es-MX"/>
              </w:rPr>
              <w:lastRenderedPageBreak/>
              <w:t>toma de decisiones de interés colectivo</w:t>
            </w:r>
          </w:p>
        </w:tc>
        <w:tc>
          <w:tcPr>
            <w:tcW w:w="459" w:type="pct"/>
            <w:tcBorders>
              <w:top w:val="nil"/>
              <w:left w:val="nil"/>
              <w:bottom w:val="single" w:sz="8" w:space="0" w:color="434343"/>
              <w:right w:val="single" w:sz="8" w:space="0" w:color="434343"/>
            </w:tcBorders>
            <w:shd w:val="clear" w:color="auto" w:fill="auto"/>
            <w:vAlign w:val="center"/>
            <w:hideMark/>
          </w:tcPr>
          <w:p w14:paraId="63C5EC0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Juventudes agentes del cambio</w:t>
            </w:r>
          </w:p>
        </w:tc>
        <w:tc>
          <w:tcPr>
            <w:tcW w:w="686" w:type="pct"/>
            <w:tcBorders>
              <w:top w:val="nil"/>
              <w:left w:val="nil"/>
              <w:bottom w:val="single" w:sz="8" w:space="0" w:color="434343"/>
              <w:right w:val="single" w:sz="8" w:space="0" w:color="434343"/>
            </w:tcBorders>
            <w:shd w:val="clear" w:color="auto" w:fill="auto"/>
            <w:vAlign w:val="center"/>
            <w:hideMark/>
          </w:tcPr>
          <w:p w14:paraId="3AFD399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programas de diseño y formación de proyectos de vida para niñas, niños y adolescentes, de acuerdo</w:t>
            </w:r>
            <w:r w:rsidRPr="00794EB9">
              <w:rPr>
                <w:rFonts w:ascii="Arial" w:hAnsi="Arial" w:cs="Arial"/>
                <w:sz w:val="22"/>
                <w:szCs w:val="22"/>
                <w:lang w:eastAsia="es-MX"/>
              </w:rPr>
              <w:br/>
              <w:t>con su entorno sociocultural y su contexto urbano o rural</w:t>
            </w:r>
          </w:p>
        </w:tc>
        <w:tc>
          <w:tcPr>
            <w:tcW w:w="610" w:type="pct"/>
            <w:tcBorders>
              <w:top w:val="nil"/>
              <w:left w:val="single" w:sz="8" w:space="0" w:color="434343"/>
              <w:bottom w:val="single" w:sz="8" w:space="0" w:color="434343"/>
              <w:right w:val="single" w:sz="8" w:space="0" w:color="434343"/>
            </w:tcBorders>
            <w:vAlign w:val="center"/>
          </w:tcPr>
          <w:p w14:paraId="1F97164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023F1D2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4A4F30B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1.3.1.2 Apoyo para que las personas jóvenes potencien sus habilidades y capacidades para el logro de sus proyectos de vida en condiciones de igualdad</w:t>
            </w:r>
          </w:p>
        </w:tc>
        <w:tc>
          <w:tcPr>
            <w:tcW w:w="736" w:type="pct"/>
            <w:vMerge/>
            <w:tcBorders>
              <w:top w:val="nil"/>
              <w:left w:val="single" w:sz="8" w:space="0" w:color="434343"/>
              <w:bottom w:val="single" w:sz="8" w:space="0" w:color="434343"/>
              <w:right w:val="single" w:sz="8" w:space="0" w:color="434343"/>
            </w:tcBorders>
            <w:vAlign w:val="center"/>
            <w:hideMark/>
          </w:tcPr>
          <w:p w14:paraId="5B0C0557" w14:textId="77777777" w:rsidR="00794EB9" w:rsidRPr="00794EB9" w:rsidRDefault="00794EB9" w:rsidP="00C307FB">
            <w:pPr>
              <w:rPr>
                <w:rFonts w:ascii="Arial" w:hAnsi="Arial" w:cs="Arial"/>
                <w:b/>
                <w:bCs/>
                <w:sz w:val="22"/>
                <w:szCs w:val="22"/>
                <w:lang w:eastAsia="es-MX"/>
              </w:rPr>
            </w:pPr>
          </w:p>
        </w:tc>
      </w:tr>
      <w:tr w:rsidR="00794EB9" w:rsidRPr="00794EB9" w14:paraId="4E3DA6F8"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45DB3C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Estilos de vida saludable</w:t>
            </w:r>
          </w:p>
        </w:tc>
        <w:tc>
          <w:tcPr>
            <w:tcW w:w="541" w:type="pct"/>
            <w:tcBorders>
              <w:top w:val="nil"/>
              <w:left w:val="nil"/>
              <w:bottom w:val="single" w:sz="8" w:space="0" w:color="434343"/>
              <w:right w:val="single" w:sz="8" w:space="0" w:color="434343"/>
            </w:tcBorders>
            <w:shd w:val="clear" w:color="auto" w:fill="auto"/>
            <w:vAlign w:val="center"/>
            <w:hideMark/>
          </w:tcPr>
          <w:p w14:paraId="79C7D8D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459" w:type="pct"/>
            <w:tcBorders>
              <w:top w:val="nil"/>
              <w:left w:val="nil"/>
              <w:bottom w:val="single" w:sz="8" w:space="0" w:color="434343"/>
              <w:right w:val="single" w:sz="8" w:space="0" w:color="434343"/>
            </w:tcBorders>
            <w:shd w:val="clear" w:color="auto" w:fill="auto"/>
            <w:vAlign w:val="center"/>
            <w:hideMark/>
          </w:tcPr>
          <w:p w14:paraId="02D6F61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Prevención y apoyo de la maternidad y paternidad adolescente</w:t>
            </w:r>
          </w:p>
        </w:tc>
        <w:tc>
          <w:tcPr>
            <w:tcW w:w="686" w:type="pct"/>
            <w:tcBorders>
              <w:top w:val="nil"/>
              <w:left w:val="nil"/>
              <w:bottom w:val="single" w:sz="8" w:space="0" w:color="434343"/>
              <w:right w:val="single" w:sz="8" w:space="0" w:color="434343"/>
            </w:tcBorders>
            <w:shd w:val="clear" w:color="auto" w:fill="auto"/>
            <w:vAlign w:val="center"/>
            <w:hideMark/>
          </w:tcPr>
          <w:p w14:paraId="0BAAC01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Instrumentar una política pública de atención y programas de prevención temprana al embarazo adolescente que considere contextos personales, derechos sexuales y reproductivos, proyectos de vida y responsabilidad reproductiva para las y los adolescentes</w:t>
            </w:r>
          </w:p>
        </w:tc>
        <w:tc>
          <w:tcPr>
            <w:tcW w:w="610" w:type="pct"/>
            <w:tcBorders>
              <w:top w:val="nil"/>
              <w:left w:val="single" w:sz="8" w:space="0" w:color="434343"/>
              <w:bottom w:val="single" w:sz="8" w:space="0" w:color="434343"/>
              <w:right w:val="single" w:sz="8" w:space="0" w:color="434343"/>
            </w:tcBorders>
            <w:vAlign w:val="center"/>
          </w:tcPr>
          <w:p w14:paraId="309925D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 Garantizar una vida sana y promover el bienestar para todos en todas las edades</w:t>
            </w:r>
          </w:p>
        </w:tc>
        <w:tc>
          <w:tcPr>
            <w:tcW w:w="837" w:type="pct"/>
            <w:tcBorders>
              <w:top w:val="nil"/>
              <w:left w:val="single" w:sz="8" w:space="0" w:color="434343"/>
              <w:bottom w:val="single" w:sz="8" w:space="0" w:color="434343"/>
              <w:right w:val="single" w:sz="8" w:space="0" w:color="434343"/>
            </w:tcBorders>
            <w:vAlign w:val="center"/>
          </w:tcPr>
          <w:p w14:paraId="7E4DFCB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10E4017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1.3.1.2 Apoyo para que las personas jóvenes potencien sus habilidades y capacidades para el logro de sus proyectos de vida en condiciones de igualdad</w:t>
            </w:r>
          </w:p>
        </w:tc>
        <w:tc>
          <w:tcPr>
            <w:tcW w:w="736" w:type="pct"/>
            <w:vMerge/>
            <w:tcBorders>
              <w:top w:val="nil"/>
              <w:left w:val="single" w:sz="8" w:space="0" w:color="434343"/>
              <w:bottom w:val="single" w:sz="8" w:space="0" w:color="434343"/>
              <w:right w:val="single" w:sz="8" w:space="0" w:color="434343"/>
            </w:tcBorders>
            <w:vAlign w:val="center"/>
            <w:hideMark/>
          </w:tcPr>
          <w:p w14:paraId="1618BDFF" w14:textId="77777777" w:rsidR="00794EB9" w:rsidRPr="00794EB9" w:rsidRDefault="00794EB9" w:rsidP="00C307FB">
            <w:pPr>
              <w:rPr>
                <w:rFonts w:ascii="Arial" w:hAnsi="Arial" w:cs="Arial"/>
                <w:b/>
                <w:bCs/>
                <w:sz w:val="22"/>
                <w:szCs w:val="22"/>
                <w:lang w:eastAsia="es-MX"/>
              </w:rPr>
            </w:pPr>
          </w:p>
        </w:tc>
      </w:tr>
      <w:tr w:rsidR="00794EB9" w:rsidRPr="00794EB9" w14:paraId="2D0E0BD2"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2E3B4EF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345014A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7F35C8E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4D69052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nil"/>
            </w:tcBorders>
            <w:shd w:val="clear" w:color="auto" w:fill="D9D9D9" w:themeFill="background1" w:themeFillShade="D9"/>
            <w:vAlign w:val="center"/>
          </w:tcPr>
          <w:p w14:paraId="50F7B50F" w14:textId="77777777" w:rsidR="00794EB9" w:rsidRPr="00794EB9" w:rsidRDefault="00794EB9" w:rsidP="00C307FB">
            <w:pPr>
              <w:rPr>
                <w:rFonts w:ascii="Arial" w:hAnsi="Arial" w:cs="Arial"/>
                <w:b/>
                <w:bCs/>
                <w:sz w:val="22"/>
                <w:szCs w:val="22"/>
                <w:lang w:eastAsia="es-MX"/>
              </w:rPr>
            </w:pPr>
          </w:p>
        </w:tc>
        <w:tc>
          <w:tcPr>
            <w:tcW w:w="837" w:type="pct"/>
            <w:tcBorders>
              <w:top w:val="nil"/>
              <w:left w:val="nil"/>
              <w:bottom w:val="single" w:sz="8" w:space="0" w:color="434343"/>
              <w:right w:val="nil"/>
            </w:tcBorders>
            <w:shd w:val="clear" w:color="auto" w:fill="D9D9D9" w:themeFill="background1" w:themeFillShade="D9"/>
            <w:vAlign w:val="center"/>
          </w:tcPr>
          <w:p w14:paraId="49E9DF02" w14:textId="77777777" w:rsidR="00794EB9" w:rsidRPr="00794EB9" w:rsidRDefault="00794EB9" w:rsidP="00C307FB">
            <w:pPr>
              <w:rPr>
                <w:rFonts w:ascii="Arial" w:hAnsi="Arial" w:cs="Arial"/>
                <w:b/>
                <w:bCs/>
                <w:sz w:val="22"/>
                <w:szCs w:val="22"/>
                <w:lang w:eastAsia="es-MX"/>
              </w:rPr>
            </w:pPr>
          </w:p>
        </w:tc>
        <w:tc>
          <w:tcPr>
            <w:tcW w:w="762" w:type="pct"/>
            <w:tcBorders>
              <w:top w:val="nil"/>
              <w:left w:val="nil"/>
              <w:bottom w:val="single" w:sz="8" w:space="0" w:color="434343"/>
              <w:right w:val="nil"/>
            </w:tcBorders>
            <w:shd w:val="clear" w:color="auto" w:fill="D9D9D9" w:themeFill="background1" w:themeFillShade="D9"/>
            <w:vAlign w:val="center"/>
          </w:tcPr>
          <w:p w14:paraId="2C1D3269" w14:textId="77777777" w:rsidR="00794EB9" w:rsidRPr="00794EB9" w:rsidRDefault="00794EB9" w:rsidP="00C307FB">
            <w:pPr>
              <w:rPr>
                <w:rFonts w:ascii="Arial" w:hAnsi="Arial" w:cs="Arial"/>
                <w:b/>
                <w:bCs/>
                <w:sz w:val="22"/>
                <w:szCs w:val="22"/>
                <w:lang w:eastAsia="es-MX"/>
              </w:rPr>
            </w:pPr>
          </w:p>
        </w:tc>
        <w:tc>
          <w:tcPr>
            <w:tcW w:w="73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7723A21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VM1. Salir adelante</w:t>
            </w:r>
          </w:p>
        </w:tc>
      </w:tr>
      <w:tr w:rsidR="00794EB9" w:rsidRPr="00794EB9" w14:paraId="473FF85E" w14:textId="77777777" w:rsidTr="00C307FB">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EE84B7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Igualdad e </w:t>
            </w:r>
            <w:r w:rsidRPr="00794EB9">
              <w:rPr>
                <w:rFonts w:ascii="Arial" w:hAnsi="Arial" w:cs="Arial"/>
                <w:sz w:val="22"/>
                <w:szCs w:val="22"/>
                <w:lang w:eastAsia="es-MX"/>
              </w:rPr>
              <w:lastRenderedPageBreak/>
              <w:t>inclusión</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0A2BA7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Promover la igualda</w:t>
            </w:r>
            <w:r w:rsidRPr="00794EB9">
              <w:rPr>
                <w:rFonts w:ascii="Arial" w:hAnsi="Arial" w:cs="Arial"/>
                <w:sz w:val="22"/>
                <w:szCs w:val="22"/>
                <w:lang w:eastAsia="es-MX"/>
              </w:rPr>
              <w:lastRenderedPageBreak/>
              <w:t>d de género, la inclusión y la no discriminación de las personas, respetando la diversidad sociocultural y los Derechos Humanos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DD92D1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Fortalecimiento de </w:t>
            </w:r>
            <w:r w:rsidRPr="00794EB9">
              <w:rPr>
                <w:rFonts w:ascii="Arial" w:hAnsi="Arial" w:cs="Arial"/>
                <w:sz w:val="22"/>
                <w:szCs w:val="22"/>
                <w:lang w:eastAsia="es-MX"/>
              </w:rPr>
              <w:lastRenderedPageBreak/>
              <w:t>la igualdad de género</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FA3C9D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Promover y fortalecer </w:t>
            </w:r>
            <w:r w:rsidRPr="00794EB9">
              <w:rPr>
                <w:rFonts w:ascii="Arial" w:hAnsi="Arial" w:cs="Arial"/>
                <w:sz w:val="22"/>
                <w:szCs w:val="22"/>
                <w:lang w:eastAsia="es-MX"/>
              </w:rPr>
              <w:lastRenderedPageBreak/>
              <w:t>esquemas de cuidado y atención en estancias infantiles, para el apoyo de madres y padres trabajadores en el cuidado de las hijas e hijos desde su nacimiento y hasta los 12 años de edad</w:t>
            </w:r>
          </w:p>
        </w:tc>
        <w:tc>
          <w:tcPr>
            <w:tcW w:w="610" w:type="pct"/>
            <w:vMerge w:val="restart"/>
            <w:tcBorders>
              <w:top w:val="nil"/>
              <w:left w:val="single" w:sz="8" w:space="0" w:color="434343"/>
              <w:right w:val="single" w:sz="8" w:space="0" w:color="434343"/>
            </w:tcBorders>
            <w:vAlign w:val="center"/>
          </w:tcPr>
          <w:p w14:paraId="1982ED2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10: Reducir </w:t>
            </w:r>
            <w:r w:rsidRPr="00794EB9">
              <w:rPr>
                <w:rFonts w:ascii="Arial" w:hAnsi="Arial" w:cs="Arial"/>
                <w:b/>
                <w:bCs/>
                <w:sz w:val="22"/>
                <w:szCs w:val="22"/>
                <w:lang w:eastAsia="es-MX"/>
              </w:rPr>
              <w:lastRenderedPageBreak/>
              <w:t>la desigualdad en y entre los países</w:t>
            </w:r>
          </w:p>
        </w:tc>
        <w:tc>
          <w:tcPr>
            <w:tcW w:w="837" w:type="pct"/>
            <w:vMerge w:val="restart"/>
            <w:tcBorders>
              <w:top w:val="nil"/>
              <w:left w:val="single" w:sz="8" w:space="0" w:color="434343"/>
              <w:right w:val="single" w:sz="8" w:space="0" w:color="434343"/>
            </w:tcBorders>
            <w:vAlign w:val="center"/>
          </w:tcPr>
          <w:p w14:paraId="4ED01BC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1.3.1 Asegurar las </w:t>
            </w:r>
            <w:r w:rsidRPr="00794EB9">
              <w:rPr>
                <w:rFonts w:ascii="Arial" w:hAnsi="Arial" w:cs="Arial"/>
                <w:b/>
                <w:bCs/>
                <w:sz w:val="22"/>
                <w:szCs w:val="22"/>
                <w:lang w:eastAsia="es-MX"/>
              </w:rPr>
              <w:lastRenderedPageBreak/>
              <w:t>condiciones para el desarrollo pleno e igualitario de los grupos prioritarios del estado</w:t>
            </w:r>
          </w:p>
        </w:tc>
        <w:tc>
          <w:tcPr>
            <w:tcW w:w="762" w:type="pct"/>
            <w:vMerge w:val="restart"/>
            <w:tcBorders>
              <w:top w:val="nil"/>
              <w:left w:val="single" w:sz="8" w:space="0" w:color="434343"/>
              <w:right w:val="single" w:sz="8" w:space="0" w:color="434343"/>
            </w:tcBorders>
            <w:vAlign w:val="center"/>
          </w:tcPr>
          <w:p w14:paraId="20C56BE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1.3.1.1 Garantía </w:t>
            </w:r>
            <w:r w:rsidRPr="00794EB9">
              <w:rPr>
                <w:rFonts w:ascii="Arial" w:hAnsi="Arial" w:cs="Arial"/>
                <w:b/>
                <w:bCs/>
                <w:sz w:val="22"/>
                <w:szCs w:val="22"/>
                <w:lang w:eastAsia="es-MX"/>
              </w:rPr>
              <w:lastRenderedPageBreak/>
              <w:t>de los derechos de las niñas, niños y adolescentes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0C8ED2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VM1.1 Becas - Red de </w:t>
            </w:r>
            <w:r w:rsidRPr="00794EB9">
              <w:rPr>
                <w:rFonts w:ascii="Arial" w:hAnsi="Arial" w:cs="Arial"/>
                <w:b/>
                <w:bCs/>
                <w:sz w:val="22"/>
                <w:szCs w:val="22"/>
                <w:lang w:eastAsia="es-MX"/>
              </w:rPr>
              <w:lastRenderedPageBreak/>
              <w:t xml:space="preserve">Estancias Seguras </w:t>
            </w:r>
          </w:p>
        </w:tc>
      </w:tr>
      <w:tr w:rsidR="00794EB9" w:rsidRPr="00794EB9" w14:paraId="073CC4C8"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7C28153F"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8C40FB1"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49AD23F"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2805F4D"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nil"/>
              <w:right w:val="single" w:sz="8" w:space="0" w:color="434343"/>
            </w:tcBorders>
            <w:vAlign w:val="center"/>
          </w:tcPr>
          <w:p w14:paraId="51D4F173"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nil"/>
              <w:right w:val="single" w:sz="8" w:space="0" w:color="434343"/>
            </w:tcBorders>
            <w:vAlign w:val="center"/>
          </w:tcPr>
          <w:p w14:paraId="713FB8DE"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nil"/>
              <w:right w:val="single" w:sz="8" w:space="0" w:color="434343"/>
            </w:tcBorders>
            <w:vAlign w:val="center"/>
          </w:tcPr>
          <w:p w14:paraId="34A412A9"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156CBA89" w14:textId="77777777" w:rsidR="00794EB9" w:rsidRPr="00794EB9" w:rsidRDefault="00794EB9" w:rsidP="00C307FB">
            <w:pPr>
              <w:rPr>
                <w:rFonts w:ascii="Arial" w:hAnsi="Arial" w:cs="Arial"/>
                <w:b/>
                <w:bCs/>
                <w:sz w:val="22"/>
                <w:szCs w:val="22"/>
                <w:lang w:eastAsia="es-MX"/>
              </w:rPr>
            </w:pPr>
          </w:p>
        </w:tc>
      </w:tr>
      <w:tr w:rsidR="00794EB9" w:rsidRPr="00794EB9" w14:paraId="449BB2B7"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155EA2C"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80578B2"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4F40EEC"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1ED276F"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420EB3E7"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491871F2"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49D82043"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035A91E5" w14:textId="77777777" w:rsidR="00794EB9" w:rsidRPr="00794EB9" w:rsidRDefault="00794EB9" w:rsidP="00C307FB">
            <w:pPr>
              <w:rPr>
                <w:rFonts w:ascii="Arial" w:hAnsi="Arial" w:cs="Arial"/>
                <w:b/>
                <w:bCs/>
                <w:sz w:val="22"/>
                <w:szCs w:val="22"/>
                <w:lang w:eastAsia="es-MX"/>
              </w:rPr>
            </w:pPr>
          </w:p>
        </w:tc>
      </w:tr>
      <w:tr w:rsidR="00794EB9" w:rsidRPr="00794EB9" w14:paraId="11E0A333"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2423FCFC"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3AD159C"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222AEC7"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3797EF78"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5ACAAD14"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2C5EB3FB"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482B643F" w14:textId="77777777" w:rsidR="00794EB9" w:rsidRPr="00794EB9" w:rsidRDefault="00794EB9" w:rsidP="00C307FB">
            <w:pPr>
              <w:rPr>
                <w:rFonts w:ascii="Arial" w:hAnsi="Arial" w:cs="Arial"/>
                <w:b/>
                <w:bCs/>
                <w:sz w:val="22"/>
                <w:szCs w:val="22"/>
                <w:lang w:eastAsia="es-MX"/>
              </w:rPr>
            </w:pPr>
          </w:p>
        </w:tc>
        <w:tc>
          <w:tcPr>
            <w:tcW w:w="736" w:type="pct"/>
            <w:tcBorders>
              <w:top w:val="nil"/>
              <w:left w:val="single" w:sz="8" w:space="0" w:color="434343"/>
              <w:bottom w:val="single" w:sz="8" w:space="0" w:color="434343"/>
              <w:right w:val="single" w:sz="8" w:space="0" w:color="434343"/>
            </w:tcBorders>
            <w:shd w:val="clear" w:color="auto" w:fill="auto"/>
            <w:vAlign w:val="center"/>
            <w:hideMark/>
          </w:tcPr>
          <w:p w14:paraId="43B1AA5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VM1.2 Modelo Club DIF</w:t>
            </w:r>
          </w:p>
        </w:tc>
      </w:tr>
      <w:tr w:rsidR="00794EB9" w:rsidRPr="00794EB9" w14:paraId="65FA5897"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71E19BF7"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72934A9" w14:textId="77777777" w:rsidR="00794EB9" w:rsidRPr="00794EB9" w:rsidRDefault="00794EB9" w:rsidP="00C307FB">
            <w:pPr>
              <w:rPr>
                <w:rFonts w:ascii="Arial" w:hAnsi="Arial" w:cs="Arial"/>
                <w:sz w:val="22"/>
                <w:szCs w:val="22"/>
                <w:lang w:eastAsia="es-MX"/>
              </w:rPr>
            </w:pP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2D620D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Inclusión y protección de grupos sociales en situación de vulnerabilidad</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BB5E1A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el enfoque de protección integral de niñas, niños y adolescentes, orientado al interés superior de la niñez con la coordinación institucional necesaria para el restableci</w:t>
            </w:r>
            <w:r w:rsidRPr="00794EB9">
              <w:rPr>
                <w:rFonts w:ascii="Arial" w:hAnsi="Arial" w:cs="Arial"/>
                <w:sz w:val="22"/>
                <w:szCs w:val="22"/>
                <w:lang w:eastAsia="es-MX"/>
              </w:rPr>
              <w:lastRenderedPageBreak/>
              <w:t>miento de sus derechos</w:t>
            </w:r>
          </w:p>
        </w:tc>
        <w:tc>
          <w:tcPr>
            <w:tcW w:w="610" w:type="pct"/>
            <w:vMerge w:val="restart"/>
            <w:tcBorders>
              <w:top w:val="nil"/>
              <w:left w:val="single" w:sz="8" w:space="0" w:color="434343"/>
              <w:right w:val="single" w:sz="8" w:space="0" w:color="434343"/>
            </w:tcBorders>
            <w:vAlign w:val="center"/>
          </w:tcPr>
          <w:p w14:paraId="3B9E4A1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10: Reducir la desigualdad en y entre los países</w:t>
            </w:r>
          </w:p>
        </w:tc>
        <w:tc>
          <w:tcPr>
            <w:tcW w:w="837" w:type="pct"/>
            <w:vMerge w:val="restart"/>
            <w:tcBorders>
              <w:top w:val="nil"/>
              <w:left w:val="single" w:sz="8" w:space="0" w:color="434343"/>
              <w:right w:val="single" w:sz="8" w:space="0" w:color="434343"/>
            </w:tcBorders>
            <w:vAlign w:val="center"/>
          </w:tcPr>
          <w:p w14:paraId="428E1CE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vMerge w:val="restart"/>
            <w:tcBorders>
              <w:top w:val="nil"/>
              <w:left w:val="single" w:sz="8" w:space="0" w:color="434343"/>
              <w:right w:val="single" w:sz="8" w:space="0" w:color="434343"/>
            </w:tcBorders>
            <w:vAlign w:val="center"/>
          </w:tcPr>
          <w:p w14:paraId="60F829C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1.3.1.1 Garantía de los derechos de las niñas, niños y adolescentes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B6893C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VM1.3 Estancia para jóvenes en situación de riesgo</w:t>
            </w:r>
          </w:p>
        </w:tc>
      </w:tr>
      <w:tr w:rsidR="00794EB9" w:rsidRPr="00794EB9" w14:paraId="0E942B2A"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50257923"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48A51D37"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15E973C"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4DC7A84"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3954E9C1"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09986141"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35D7A506"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2CE2A9AD" w14:textId="77777777" w:rsidR="00794EB9" w:rsidRPr="00794EB9" w:rsidRDefault="00794EB9" w:rsidP="00C307FB">
            <w:pPr>
              <w:rPr>
                <w:rFonts w:ascii="Arial" w:hAnsi="Arial" w:cs="Arial"/>
                <w:b/>
                <w:bCs/>
                <w:sz w:val="22"/>
                <w:szCs w:val="22"/>
                <w:lang w:eastAsia="es-MX"/>
              </w:rPr>
            </w:pPr>
          </w:p>
        </w:tc>
      </w:tr>
      <w:tr w:rsidR="00794EB9" w:rsidRPr="00794EB9" w14:paraId="1FF5924A"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548B18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541" w:type="pct"/>
            <w:tcBorders>
              <w:top w:val="nil"/>
              <w:left w:val="nil"/>
              <w:bottom w:val="single" w:sz="8" w:space="0" w:color="434343"/>
              <w:right w:val="single" w:sz="8" w:space="0" w:color="434343"/>
            </w:tcBorders>
            <w:shd w:val="clear" w:color="auto" w:fill="auto"/>
            <w:vAlign w:val="center"/>
            <w:hideMark/>
          </w:tcPr>
          <w:p w14:paraId="30CEE4D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459" w:type="pct"/>
            <w:tcBorders>
              <w:top w:val="nil"/>
              <w:left w:val="nil"/>
              <w:bottom w:val="single" w:sz="8" w:space="0" w:color="434343"/>
              <w:right w:val="single" w:sz="8" w:space="0" w:color="434343"/>
            </w:tcBorders>
            <w:shd w:val="clear" w:color="auto" w:fill="auto"/>
            <w:vAlign w:val="center"/>
            <w:hideMark/>
          </w:tcPr>
          <w:p w14:paraId="0C2D649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Juventudes agentes del cambio</w:t>
            </w:r>
          </w:p>
        </w:tc>
        <w:tc>
          <w:tcPr>
            <w:tcW w:w="686" w:type="pct"/>
            <w:tcBorders>
              <w:top w:val="nil"/>
              <w:left w:val="nil"/>
              <w:bottom w:val="single" w:sz="8" w:space="0" w:color="434343"/>
              <w:right w:val="single" w:sz="8" w:space="0" w:color="434343"/>
            </w:tcBorders>
            <w:shd w:val="clear" w:color="auto" w:fill="auto"/>
            <w:vAlign w:val="center"/>
            <w:hideMark/>
          </w:tcPr>
          <w:p w14:paraId="4479E5C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Implementar programas de diseño y formación de proyectos de vida para niñas, niños y adolescentes, de acuerdo con su entorno sociocultural y su contexto urbano o rural</w:t>
            </w:r>
          </w:p>
        </w:tc>
        <w:tc>
          <w:tcPr>
            <w:tcW w:w="610" w:type="pct"/>
            <w:tcBorders>
              <w:top w:val="nil"/>
              <w:left w:val="single" w:sz="8" w:space="0" w:color="434343"/>
              <w:bottom w:val="single" w:sz="8" w:space="0" w:color="434343"/>
              <w:right w:val="single" w:sz="8" w:space="0" w:color="434343"/>
            </w:tcBorders>
            <w:vAlign w:val="center"/>
          </w:tcPr>
          <w:p w14:paraId="1371D29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10A90B5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4025586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1.3.1.2 Apoyo para que las personas jóvenes potencien sus habilidades y capacidades para el logro de sus proyectos de vida en condiciones de igualdad</w:t>
            </w:r>
          </w:p>
        </w:tc>
        <w:tc>
          <w:tcPr>
            <w:tcW w:w="736" w:type="pct"/>
            <w:vMerge/>
            <w:tcBorders>
              <w:top w:val="nil"/>
              <w:left w:val="single" w:sz="8" w:space="0" w:color="434343"/>
              <w:bottom w:val="single" w:sz="8" w:space="0" w:color="434343"/>
              <w:right w:val="single" w:sz="8" w:space="0" w:color="434343"/>
            </w:tcBorders>
            <w:vAlign w:val="center"/>
            <w:hideMark/>
          </w:tcPr>
          <w:p w14:paraId="73BC7586" w14:textId="77777777" w:rsidR="00794EB9" w:rsidRPr="00794EB9" w:rsidRDefault="00794EB9" w:rsidP="00C307FB">
            <w:pPr>
              <w:rPr>
                <w:rFonts w:ascii="Arial" w:hAnsi="Arial" w:cs="Arial"/>
                <w:b/>
                <w:bCs/>
                <w:sz w:val="22"/>
                <w:szCs w:val="22"/>
                <w:lang w:eastAsia="es-MX"/>
              </w:rPr>
            </w:pPr>
          </w:p>
        </w:tc>
      </w:tr>
      <w:tr w:rsidR="00794EB9" w:rsidRPr="00794EB9" w14:paraId="28D5BB4E"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AF9D70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Equidad social</w:t>
            </w:r>
          </w:p>
        </w:tc>
        <w:tc>
          <w:tcPr>
            <w:tcW w:w="541" w:type="pct"/>
            <w:tcBorders>
              <w:top w:val="nil"/>
              <w:left w:val="nil"/>
              <w:bottom w:val="single" w:sz="8" w:space="0" w:color="434343"/>
              <w:right w:val="single" w:sz="8" w:space="0" w:color="434343"/>
            </w:tcBorders>
            <w:shd w:val="clear" w:color="auto" w:fill="auto"/>
            <w:vAlign w:val="center"/>
            <w:hideMark/>
          </w:tcPr>
          <w:p w14:paraId="4DBC1A7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Mejorar las condiciones socioeconómicas de la población en alguna situación de </w:t>
            </w:r>
            <w:r w:rsidRPr="00794EB9">
              <w:rPr>
                <w:rFonts w:ascii="Arial" w:hAnsi="Arial" w:cs="Arial"/>
                <w:sz w:val="22"/>
                <w:szCs w:val="22"/>
                <w:lang w:eastAsia="es-MX"/>
              </w:rPr>
              <w:lastRenderedPageBreak/>
              <w:t>pobreza contribuyendo a la reducción de las desigualdades</w:t>
            </w:r>
          </w:p>
        </w:tc>
        <w:tc>
          <w:tcPr>
            <w:tcW w:w="459" w:type="pct"/>
            <w:tcBorders>
              <w:top w:val="nil"/>
              <w:left w:val="nil"/>
              <w:bottom w:val="single" w:sz="8" w:space="0" w:color="434343"/>
              <w:right w:val="single" w:sz="8" w:space="0" w:color="434343"/>
            </w:tcBorders>
            <w:shd w:val="clear" w:color="auto" w:fill="auto"/>
            <w:vAlign w:val="center"/>
            <w:hideMark/>
          </w:tcPr>
          <w:p w14:paraId="444F192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Mejoramiento de las condiciones de vida de los habitantes de las </w:t>
            </w:r>
            <w:r w:rsidRPr="00794EB9">
              <w:rPr>
                <w:rFonts w:ascii="Arial" w:hAnsi="Arial" w:cs="Arial"/>
                <w:sz w:val="22"/>
                <w:szCs w:val="22"/>
                <w:lang w:eastAsia="es-MX"/>
              </w:rPr>
              <w:lastRenderedPageBreak/>
              <w:t>comunidades rurales</w:t>
            </w:r>
          </w:p>
        </w:tc>
        <w:tc>
          <w:tcPr>
            <w:tcW w:w="686" w:type="pct"/>
            <w:tcBorders>
              <w:top w:val="nil"/>
              <w:left w:val="nil"/>
              <w:bottom w:val="single" w:sz="8" w:space="0" w:color="434343"/>
              <w:right w:val="single" w:sz="8" w:space="0" w:color="434343"/>
            </w:tcBorders>
            <w:shd w:val="clear" w:color="auto" w:fill="auto"/>
            <w:vAlign w:val="center"/>
            <w:hideMark/>
          </w:tcPr>
          <w:p w14:paraId="298588B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Desarrollar esquemas de acceso, mejoramiento y ampliación de vivienda para familias en condicione</w:t>
            </w:r>
            <w:r w:rsidRPr="00794EB9">
              <w:rPr>
                <w:rFonts w:ascii="Arial" w:hAnsi="Arial" w:cs="Arial"/>
                <w:sz w:val="22"/>
                <w:szCs w:val="22"/>
                <w:lang w:eastAsia="es-MX"/>
              </w:rPr>
              <w:lastRenderedPageBreak/>
              <w:t>s de vulnerabilidad en las comunidades rurales, de acuerdo con sus características y su contexto local</w:t>
            </w:r>
          </w:p>
        </w:tc>
        <w:tc>
          <w:tcPr>
            <w:tcW w:w="610" w:type="pct"/>
            <w:tcBorders>
              <w:top w:val="nil"/>
              <w:left w:val="single" w:sz="8" w:space="0" w:color="434343"/>
              <w:bottom w:val="single" w:sz="8" w:space="0" w:color="434343"/>
              <w:right w:val="single" w:sz="8" w:space="0" w:color="434343"/>
            </w:tcBorders>
            <w:vAlign w:val="center"/>
          </w:tcPr>
          <w:p w14:paraId="02D9FB1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11: Lograr que las ciudades sean más inclusivas, seguras, resilientes y </w:t>
            </w:r>
            <w:r w:rsidRPr="00794EB9">
              <w:rPr>
                <w:rFonts w:ascii="Arial" w:hAnsi="Arial" w:cs="Arial"/>
                <w:b/>
                <w:bCs/>
                <w:sz w:val="22"/>
                <w:szCs w:val="22"/>
                <w:lang w:eastAsia="es-MX"/>
              </w:rPr>
              <w:lastRenderedPageBreak/>
              <w:t>sostenibles</w:t>
            </w:r>
          </w:p>
        </w:tc>
        <w:tc>
          <w:tcPr>
            <w:tcW w:w="837" w:type="pct"/>
            <w:tcBorders>
              <w:top w:val="nil"/>
              <w:left w:val="single" w:sz="8" w:space="0" w:color="434343"/>
              <w:bottom w:val="single" w:sz="8" w:space="0" w:color="434343"/>
              <w:right w:val="single" w:sz="8" w:space="0" w:color="434343"/>
            </w:tcBorders>
            <w:vAlign w:val="center"/>
          </w:tcPr>
          <w:p w14:paraId="7F8286C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3.2.1 Lograr una administración sostenible del territorio, que impulse el desarrollo de comunidade</w:t>
            </w:r>
            <w:r w:rsidRPr="00794EB9">
              <w:rPr>
                <w:rFonts w:ascii="Arial" w:hAnsi="Arial" w:cs="Arial"/>
                <w:b/>
                <w:bCs/>
                <w:sz w:val="22"/>
                <w:szCs w:val="22"/>
                <w:lang w:eastAsia="es-MX"/>
              </w:rPr>
              <w:lastRenderedPageBreak/>
              <w:t>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4D7A8AC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3.2.1.2 Gestión de los asentamientos humanos y centros de población y ordenamiento del </w:t>
            </w:r>
            <w:r w:rsidRPr="00794EB9">
              <w:rPr>
                <w:rFonts w:ascii="Arial" w:hAnsi="Arial" w:cs="Arial"/>
                <w:b/>
                <w:bCs/>
                <w:sz w:val="22"/>
                <w:szCs w:val="22"/>
                <w:lang w:eastAsia="es-MX"/>
              </w:rPr>
              <w:lastRenderedPageBreak/>
              <w:t>territorio bajo los principios de inclusión, equidad y sostenibilidad, considerando las necesidades, condiciones e intereses específicos de mujeres y hombres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12B652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VM1.4 Ayúdate ayudando</w:t>
            </w:r>
          </w:p>
        </w:tc>
      </w:tr>
      <w:tr w:rsidR="00794EB9" w:rsidRPr="00794EB9" w14:paraId="4A43C3C0"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A7F634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Economía formal y generadora de empleos de calidad</w:t>
            </w:r>
          </w:p>
        </w:tc>
        <w:tc>
          <w:tcPr>
            <w:tcW w:w="541" w:type="pct"/>
            <w:tcBorders>
              <w:top w:val="nil"/>
              <w:left w:val="nil"/>
              <w:bottom w:val="single" w:sz="8" w:space="0" w:color="434343"/>
              <w:right w:val="single" w:sz="8" w:space="0" w:color="434343"/>
            </w:tcBorders>
            <w:shd w:val="clear" w:color="auto" w:fill="auto"/>
            <w:vAlign w:val="center"/>
            <w:hideMark/>
          </w:tcPr>
          <w:p w14:paraId="74112AC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los parques y zonas industriales a favor de la creación de empleos formales de calidad, inclusivos y de la equidad salarial</w:t>
            </w:r>
          </w:p>
        </w:tc>
        <w:tc>
          <w:tcPr>
            <w:tcW w:w="459" w:type="pct"/>
            <w:tcBorders>
              <w:top w:val="nil"/>
              <w:left w:val="nil"/>
              <w:bottom w:val="single" w:sz="8" w:space="0" w:color="434343"/>
              <w:right w:val="single" w:sz="8" w:space="0" w:color="434343"/>
            </w:tcBorders>
            <w:shd w:val="clear" w:color="auto" w:fill="auto"/>
            <w:vAlign w:val="center"/>
            <w:hideMark/>
          </w:tcPr>
          <w:p w14:paraId="51A3222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Empleo digno y cultura empresarial</w:t>
            </w:r>
          </w:p>
        </w:tc>
        <w:tc>
          <w:tcPr>
            <w:tcW w:w="686" w:type="pct"/>
            <w:tcBorders>
              <w:top w:val="nil"/>
              <w:left w:val="nil"/>
              <w:bottom w:val="single" w:sz="8" w:space="0" w:color="434343"/>
              <w:right w:val="single" w:sz="8" w:space="0" w:color="434343"/>
            </w:tcBorders>
            <w:shd w:val="clear" w:color="auto" w:fill="auto"/>
            <w:vAlign w:val="center"/>
            <w:hideMark/>
          </w:tcPr>
          <w:p w14:paraId="7A61465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Fomentar la creación de incentivos locales para la generación de empleos en condición de formalidad, que favorezcan los derechos laborales individuales y colectivos</w:t>
            </w:r>
          </w:p>
        </w:tc>
        <w:tc>
          <w:tcPr>
            <w:tcW w:w="610" w:type="pct"/>
            <w:tcBorders>
              <w:top w:val="nil"/>
              <w:left w:val="single" w:sz="8" w:space="0" w:color="434343"/>
              <w:bottom w:val="single" w:sz="8" w:space="0" w:color="434343"/>
              <w:right w:val="single" w:sz="8" w:space="0" w:color="434343"/>
            </w:tcBorders>
            <w:vAlign w:val="center"/>
          </w:tcPr>
          <w:p w14:paraId="00D48F9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759448D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2.1.1 Promover el empleo de calidad, inclusivo y bien remunerado, formado y capacitado para la empleabilidad, con igualdad de oportunidades para mujeres y hombres</w:t>
            </w:r>
          </w:p>
        </w:tc>
        <w:tc>
          <w:tcPr>
            <w:tcW w:w="762" w:type="pct"/>
            <w:tcBorders>
              <w:top w:val="nil"/>
              <w:left w:val="single" w:sz="8" w:space="0" w:color="434343"/>
              <w:bottom w:val="single" w:sz="8" w:space="0" w:color="434343"/>
              <w:right w:val="single" w:sz="8" w:space="0" w:color="434343"/>
            </w:tcBorders>
            <w:vAlign w:val="center"/>
          </w:tcPr>
          <w:p w14:paraId="54BC90B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2.1.1.3 Fortalecimiento del sistema de protección social de las personas trabajadoras</w:t>
            </w:r>
          </w:p>
        </w:tc>
        <w:tc>
          <w:tcPr>
            <w:tcW w:w="736" w:type="pct"/>
            <w:vMerge/>
            <w:tcBorders>
              <w:top w:val="nil"/>
              <w:left w:val="single" w:sz="8" w:space="0" w:color="434343"/>
              <w:bottom w:val="single" w:sz="8" w:space="0" w:color="434343"/>
              <w:right w:val="single" w:sz="8" w:space="0" w:color="434343"/>
            </w:tcBorders>
            <w:vAlign w:val="center"/>
            <w:hideMark/>
          </w:tcPr>
          <w:p w14:paraId="6109A675" w14:textId="77777777" w:rsidR="00794EB9" w:rsidRPr="00794EB9" w:rsidRDefault="00794EB9" w:rsidP="00C307FB">
            <w:pPr>
              <w:rPr>
                <w:rFonts w:ascii="Arial" w:hAnsi="Arial" w:cs="Arial"/>
                <w:b/>
                <w:bCs/>
                <w:sz w:val="22"/>
                <w:szCs w:val="22"/>
                <w:lang w:eastAsia="es-MX"/>
              </w:rPr>
            </w:pPr>
          </w:p>
        </w:tc>
      </w:tr>
      <w:tr w:rsidR="00794EB9" w:rsidRPr="00794EB9" w14:paraId="260EA90E"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4B9702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Co-creación: cola</w:t>
            </w:r>
            <w:r w:rsidRPr="00794EB9">
              <w:rPr>
                <w:rFonts w:ascii="Arial" w:hAnsi="Arial" w:cs="Arial"/>
                <w:sz w:val="22"/>
                <w:szCs w:val="22"/>
                <w:lang w:eastAsia="es-MX"/>
              </w:rPr>
              <w:lastRenderedPageBreak/>
              <w:t>boración y participación ciudadana</w:t>
            </w:r>
          </w:p>
        </w:tc>
        <w:tc>
          <w:tcPr>
            <w:tcW w:w="541" w:type="pct"/>
            <w:tcBorders>
              <w:top w:val="nil"/>
              <w:left w:val="nil"/>
              <w:bottom w:val="single" w:sz="8" w:space="0" w:color="434343"/>
              <w:right w:val="single" w:sz="8" w:space="0" w:color="434343"/>
            </w:tcBorders>
            <w:shd w:val="clear" w:color="auto" w:fill="auto"/>
            <w:vAlign w:val="center"/>
            <w:hideMark/>
          </w:tcPr>
          <w:p w14:paraId="79101BA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Generar canales de innovaci</w:t>
            </w:r>
            <w:r w:rsidRPr="00794EB9">
              <w:rPr>
                <w:rFonts w:ascii="Arial" w:hAnsi="Arial" w:cs="Arial"/>
                <w:sz w:val="22"/>
                <w:szCs w:val="22"/>
                <w:lang w:eastAsia="es-MX"/>
              </w:rPr>
              <w:lastRenderedPageBreak/>
              <w:t>ón pública y social para el involucramiento efectivo de la ciudadanía y de las juventudes, en el proceso de cambio y en la toma de decisiones de interés colectivo</w:t>
            </w:r>
          </w:p>
        </w:tc>
        <w:tc>
          <w:tcPr>
            <w:tcW w:w="459" w:type="pct"/>
            <w:tcBorders>
              <w:top w:val="nil"/>
              <w:left w:val="nil"/>
              <w:bottom w:val="single" w:sz="8" w:space="0" w:color="434343"/>
              <w:right w:val="single" w:sz="8" w:space="0" w:color="434343"/>
            </w:tcBorders>
            <w:shd w:val="clear" w:color="auto" w:fill="auto"/>
            <w:vAlign w:val="center"/>
            <w:hideMark/>
          </w:tcPr>
          <w:p w14:paraId="7A0191D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Juventudes agentes del </w:t>
            </w:r>
            <w:r w:rsidRPr="00794EB9">
              <w:rPr>
                <w:rFonts w:ascii="Arial" w:hAnsi="Arial" w:cs="Arial"/>
                <w:sz w:val="22"/>
                <w:szCs w:val="22"/>
                <w:lang w:eastAsia="es-MX"/>
              </w:rPr>
              <w:lastRenderedPageBreak/>
              <w:t>cambio</w:t>
            </w:r>
          </w:p>
        </w:tc>
        <w:tc>
          <w:tcPr>
            <w:tcW w:w="686" w:type="pct"/>
            <w:tcBorders>
              <w:top w:val="nil"/>
              <w:left w:val="nil"/>
              <w:bottom w:val="single" w:sz="8" w:space="0" w:color="434343"/>
              <w:right w:val="single" w:sz="8" w:space="0" w:color="434343"/>
            </w:tcBorders>
            <w:shd w:val="clear" w:color="auto" w:fill="auto"/>
            <w:vAlign w:val="center"/>
            <w:hideMark/>
          </w:tcPr>
          <w:p w14:paraId="2944933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Brindar apoyos para la internacio</w:t>
            </w:r>
            <w:r w:rsidRPr="00794EB9">
              <w:rPr>
                <w:rFonts w:ascii="Arial" w:hAnsi="Arial" w:cs="Arial"/>
                <w:sz w:val="22"/>
                <w:szCs w:val="22"/>
                <w:lang w:eastAsia="es-MX"/>
              </w:rPr>
              <w:lastRenderedPageBreak/>
              <w:t xml:space="preserve">nalización y el desarrollo de habilidades interculturales de las juventudes </w:t>
            </w:r>
          </w:p>
        </w:tc>
        <w:tc>
          <w:tcPr>
            <w:tcW w:w="610" w:type="pct"/>
            <w:tcBorders>
              <w:top w:val="nil"/>
              <w:left w:val="single" w:sz="8" w:space="0" w:color="434343"/>
              <w:bottom w:val="single" w:sz="8" w:space="0" w:color="434343"/>
              <w:right w:val="single" w:sz="8" w:space="0" w:color="434343"/>
            </w:tcBorders>
            <w:vAlign w:val="center"/>
          </w:tcPr>
          <w:p w14:paraId="46CF673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8: Promover el </w:t>
            </w:r>
            <w:r w:rsidRPr="00794EB9">
              <w:rPr>
                <w:rFonts w:ascii="Arial" w:hAnsi="Arial" w:cs="Arial"/>
                <w:b/>
                <w:bCs/>
                <w:sz w:val="22"/>
                <w:szCs w:val="22"/>
                <w:lang w:eastAsia="es-MX"/>
              </w:rPr>
              <w:lastRenderedPageBreak/>
              <w:t>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1DB6729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1.3.1 Asegurar las condiciones </w:t>
            </w:r>
            <w:r w:rsidRPr="00794EB9">
              <w:rPr>
                <w:rFonts w:ascii="Arial" w:hAnsi="Arial" w:cs="Arial"/>
                <w:b/>
                <w:bCs/>
                <w:sz w:val="22"/>
                <w:szCs w:val="22"/>
                <w:lang w:eastAsia="es-MX"/>
              </w:rPr>
              <w:lastRenderedPageBreak/>
              <w:t>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7B5779C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1.3.1.2 Apoyo para que </w:t>
            </w:r>
            <w:r w:rsidRPr="00794EB9">
              <w:rPr>
                <w:rFonts w:ascii="Arial" w:hAnsi="Arial" w:cs="Arial"/>
                <w:b/>
                <w:bCs/>
                <w:sz w:val="22"/>
                <w:szCs w:val="22"/>
                <w:lang w:eastAsia="es-MX"/>
              </w:rPr>
              <w:lastRenderedPageBreak/>
              <w:t>las personas jóvenes potencien sus habilidades y capacidades para el logro de sus proyectos de vida en condiciones de igualdad</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5E890F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VM1.5 Becas Juventud León - 450</w:t>
            </w:r>
          </w:p>
        </w:tc>
      </w:tr>
      <w:tr w:rsidR="00794EB9" w:rsidRPr="00794EB9" w14:paraId="34F28BD8"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B78369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541" w:type="pct"/>
            <w:tcBorders>
              <w:top w:val="nil"/>
              <w:left w:val="nil"/>
              <w:bottom w:val="single" w:sz="8" w:space="0" w:color="434343"/>
              <w:right w:val="single" w:sz="8" w:space="0" w:color="434343"/>
            </w:tcBorders>
            <w:shd w:val="clear" w:color="auto" w:fill="auto"/>
            <w:vAlign w:val="center"/>
            <w:hideMark/>
          </w:tcPr>
          <w:p w14:paraId="6DD2CA5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459" w:type="pct"/>
            <w:tcBorders>
              <w:top w:val="nil"/>
              <w:left w:val="nil"/>
              <w:bottom w:val="single" w:sz="8" w:space="0" w:color="434343"/>
              <w:right w:val="single" w:sz="8" w:space="0" w:color="434343"/>
            </w:tcBorders>
            <w:shd w:val="clear" w:color="auto" w:fill="auto"/>
            <w:vAlign w:val="center"/>
            <w:hideMark/>
          </w:tcPr>
          <w:p w14:paraId="4AA87D9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Educación oportuna y aprendizaje constante </w:t>
            </w:r>
          </w:p>
        </w:tc>
        <w:tc>
          <w:tcPr>
            <w:tcW w:w="686" w:type="pct"/>
            <w:tcBorders>
              <w:top w:val="nil"/>
              <w:left w:val="nil"/>
              <w:bottom w:val="single" w:sz="8" w:space="0" w:color="434343"/>
              <w:right w:val="single" w:sz="8" w:space="0" w:color="434343"/>
            </w:tcBorders>
            <w:shd w:val="clear" w:color="auto" w:fill="auto"/>
            <w:vAlign w:val="center"/>
            <w:hideMark/>
          </w:tcPr>
          <w:p w14:paraId="3CE7B10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programas y apoyos a escuelas públicas rurales y urbanas para contribuir al acceso igualitario a la educación</w:t>
            </w:r>
          </w:p>
        </w:tc>
        <w:tc>
          <w:tcPr>
            <w:tcW w:w="610" w:type="pct"/>
            <w:tcBorders>
              <w:top w:val="nil"/>
              <w:left w:val="single" w:sz="8" w:space="0" w:color="434343"/>
              <w:bottom w:val="single" w:sz="8" w:space="0" w:color="434343"/>
              <w:right w:val="single" w:sz="8" w:space="0" w:color="434343"/>
            </w:tcBorders>
            <w:vAlign w:val="center"/>
          </w:tcPr>
          <w:p w14:paraId="1F7E12F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Objetivo 4: Garantizar una educación inclusiva, equitativa y de calidad y promover oportunidades de aprendizaje </w:t>
            </w:r>
            <w:r w:rsidRPr="00794EB9">
              <w:rPr>
                <w:rFonts w:ascii="Arial" w:hAnsi="Arial" w:cs="Arial"/>
                <w:b/>
                <w:bCs/>
                <w:sz w:val="22"/>
                <w:szCs w:val="22"/>
                <w:lang w:eastAsia="es-MX"/>
              </w:rPr>
              <w:lastRenderedPageBreak/>
              <w:t>durante toda la vida para todos</w:t>
            </w:r>
          </w:p>
        </w:tc>
        <w:tc>
          <w:tcPr>
            <w:tcW w:w="837" w:type="pct"/>
            <w:tcBorders>
              <w:top w:val="nil"/>
              <w:left w:val="single" w:sz="8" w:space="0" w:color="434343"/>
              <w:bottom w:val="single" w:sz="8" w:space="0" w:color="434343"/>
              <w:right w:val="single" w:sz="8" w:space="0" w:color="434343"/>
            </w:tcBorders>
            <w:vAlign w:val="center"/>
          </w:tcPr>
          <w:p w14:paraId="42AB1A0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1.2.1 Lograr una cobertura universal en la educación obligatoria, mediante un modelo educativo de calidad con diversidad, equidad e igualdad de género que cuente con personal </w:t>
            </w:r>
            <w:r w:rsidRPr="00794EB9">
              <w:rPr>
                <w:rFonts w:ascii="Arial" w:hAnsi="Arial" w:cs="Arial"/>
                <w:b/>
                <w:bCs/>
                <w:sz w:val="22"/>
                <w:szCs w:val="22"/>
                <w:lang w:eastAsia="es-MX"/>
              </w:rPr>
              <w:lastRenderedPageBreak/>
              <w:t>docente capacitado</w:t>
            </w:r>
          </w:p>
          <w:p w14:paraId="391329A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y profesionalizado</w:t>
            </w:r>
          </w:p>
        </w:tc>
        <w:tc>
          <w:tcPr>
            <w:tcW w:w="762" w:type="pct"/>
            <w:tcBorders>
              <w:top w:val="nil"/>
              <w:left w:val="single" w:sz="8" w:space="0" w:color="434343"/>
              <w:bottom w:val="single" w:sz="8" w:space="0" w:color="434343"/>
              <w:right w:val="single" w:sz="8" w:space="0" w:color="434343"/>
            </w:tcBorders>
            <w:vAlign w:val="center"/>
          </w:tcPr>
          <w:p w14:paraId="2F31F01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Estrategia 1.2.1.1 Reducción del rezago educativo en la educación obligatoria</w:t>
            </w:r>
          </w:p>
        </w:tc>
        <w:tc>
          <w:tcPr>
            <w:tcW w:w="736" w:type="pct"/>
            <w:vMerge/>
            <w:tcBorders>
              <w:top w:val="nil"/>
              <w:left w:val="single" w:sz="8" w:space="0" w:color="434343"/>
              <w:bottom w:val="single" w:sz="8" w:space="0" w:color="434343"/>
              <w:right w:val="single" w:sz="8" w:space="0" w:color="434343"/>
            </w:tcBorders>
            <w:vAlign w:val="center"/>
            <w:hideMark/>
          </w:tcPr>
          <w:p w14:paraId="29D39471" w14:textId="77777777" w:rsidR="00794EB9" w:rsidRPr="00794EB9" w:rsidRDefault="00794EB9" w:rsidP="00C307FB">
            <w:pPr>
              <w:rPr>
                <w:rFonts w:ascii="Arial" w:hAnsi="Arial" w:cs="Arial"/>
                <w:b/>
                <w:bCs/>
                <w:sz w:val="22"/>
                <w:szCs w:val="22"/>
                <w:lang w:eastAsia="es-MX"/>
              </w:rPr>
            </w:pPr>
          </w:p>
        </w:tc>
      </w:tr>
      <w:tr w:rsidR="00794EB9" w:rsidRPr="00794EB9" w14:paraId="580D2526" w14:textId="77777777" w:rsidTr="00C307FB">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7EB9A4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Modelo urbano integrador</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48BB56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infraestructura verde</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EBBB93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Vivienda digna urbana</w:t>
            </w:r>
          </w:p>
        </w:tc>
        <w:tc>
          <w:tcPr>
            <w:tcW w:w="686" w:type="pct"/>
            <w:tcBorders>
              <w:top w:val="nil"/>
              <w:left w:val="nil"/>
              <w:bottom w:val="single" w:sz="8" w:space="0" w:color="434343"/>
              <w:right w:val="single" w:sz="8" w:space="0" w:color="434343"/>
            </w:tcBorders>
            <w:shd w:val="clear" w:color="auto" w:fill="auto"/>
            <w:vAlign w:val="center"/>
            <w:hideMark/>
          </w:tcPr>
          <w:p w14:paraId="02BD49A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Regularizar asentamientos irregulares que cumplan con lo establecido en las disposiciones administrativas aplicables</w:t>
            </w:r>
          </w:p>
        </w:tc>
        <w:tc>
          <w:tcPr>
            <w:tcW w:w="610" w:type="pct"/>
            <w:tcBorders>
              <w:top w:val="nil"/>
              <w:left w:val="single" w:sz="8" w:space="0" w:color="434343"/>
              <w:bottom w:val="single" w:sz="8" w:space="0" w:color="434343"/>
              <w:right w:val="single" w:sz="8" w:space="0" w:color="434343"/>
            </w:tcBorders>
            <w:vAlign w:val="center"/>
          </w:tcPr>
          <w:p w14:paraId="32C02B7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1150683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54BB241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A63F72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VM1.6 Vivienda digna</w:t>
            </w:r>
          </w:p>
        </w:tc>
      </w:tr>
      <w:tr w:rsidR="00794EB9" w:rsidRPr="00794EB9" w14:paraId="3398C2BC"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0B57136D"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690F04D"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15F7A30"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66DF507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Dotar de servicios básicos a las viviendas que carecen de agua </w:t>
            </w:r>
            <w:r w:rsidRPr="00794EB9">
              <w:rPr>
                <w:rFonts w:ascii="Arial" w:hAnsi="Arial" w:cs="Arial"/>
                <w:sz w:val="22"/>
                <w:szCs w:val="22"/>
                <w:lang w:eastAsia="es-MX"/>
              </w:rPr>
              <w:lastRenderedPageBreak/>
              <w:t xml:space="preserve">potable, drenaje sanitario y electrificación </w:t>
            </w:r>
          </w:p>
        </w:tc>
        <w:tc>
          <w:tcPr>
            <w:tcW w:w="610" w:type="pct"/>
            <w:tcBorders>
              <w:top w:val="nil"/>
              <w:left w:val="single" w:sz="8" w:space="0" w:color="434343"/>
              <w:bottom w:val="single" w:sz="8" w:space="0" w:color="434343"/>
              <w:right w:val="single" w:sz="8" w:space="0" w:color="434343"/>
            </w:tcBorders>
            <w:vAlign w:val="center"/>
          </w:tcPr>
          <w:p w14:paraId="201EB49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11: Lograr que las ciudades sean más inclusiv</w:t>
            </w:r>
            <w:r w:rsidRPr="00794EB9">
              <w:rPr>
                <w:rFonts w:ascii="Arial" w:hAnsi="Arial" w:cs="Arial"/>
                <w:b/>
                <w:bCs/>
                <w:sz w:val="22"/>
                <w:szCs w:val="22"/>
                <w:lang w:eastAsia="es-MX"/>
              </w:rPr>
              <w:lastRenderedPageBreak/>
              <w:t>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5502795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1.1.1 Abatir la pobreza en todas sus vertientes y desde sus causas</w:t>
            </w:r>
          </w:p>
        </w:tc>
        <w:tc>
          <w:tcPr>
            <w:tcW w:w="762" w:type="pct"/>
            <w:tcBorders>
              <w:top w:val="nil"/>
              <w:left w:val="single" w:sz="8" w:space="0" w:color="434343"/>
              <w:bottom w:val="single" w:sz="8" w:space="0" w:color="434343"/>
              <w:right w:val="single" w:sz="8" w:space="0" w:color="434343"/>
            </w:tcBorders>
            <w:vAlign w:val="center"/>
          </w:tcPr>
          <w:p w14:paraId="5AF4F35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1.1.1.3 Cobertura universal de los servicios básicos</w:t>
            </w:r>
          </w:p>
        </w:tc>
        <w:tc>
          <w:tcPr>
            <w:tcW w:w="736" w:type="pct"/>
            <w:vMerge/>
            <w:tcBorders>
              <w:top w:val="nil"/>
              <w:left w:val="single" w:sz="8" w:space="0" w:color="434343"/>
              <w:bottom w:val="single" w:sz="8" w:space="0" w:color="434343"/>
              <w:right w:val="single" w:sz="8" w:space="0" w:color="434343"/>
            </w:tcBorders>
            <w:vAlign w:val="center"/>
            <w:hideMark/>
          </w:tcPr>
          <w:p w14:paraId="02272A92" w14:textId="77777777" w:rsidR="00794EB9" w:rsidRPr="00794EB9" w:rsidRDefault="00794EB9" w:rsidP="00C307FB">
            <w:pPr>
              <w:rPr>
                <w:rFonts w:ascii="Arial" w:hAnsi="Arial" w:cs="Arial"/>
                <w:b/>
                <w:bCs/>
                <w:sz w:val="22"/>
                <w:szCs w:val="22"/>
                <w:lang w:eastAsia="es-MX"/>
              </w:rPr>
            </w:pPr>
          </w:p>
        </w:tc>
      </w:tr>
      <w:tr w:rsidR="00794EB9" w:rsidRPr="00794EB9" w14:paraId="26EAF504"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067379C6"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7135263"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5B4C4EF2"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197D6F7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Desarrollar y promover esquemas de construcción, ampliación y mejoramiento de vivienda para familias en la zona urbana en condición de vulnerabilidad </w:t>
            </w:r>
          </w:p>
        </w:tc>
        <w:tc>
          <w:tcPr>
            <w:tcW w:w="610" w:type="pct"/>
            <w:tcBorders>
              <w:top w:val="nil"/>
              <w:left w:val="single" w:sz="8" w:space="0" w:color="434343"/>
              <w:bottom w:val="single" w:sz="8" w:space="0" w:color="434343"/>
              <w:right w:val="single" w:sz="8" w:space="0" w:color="434343"/>
            </w:tcBorders>
            <w:vAlign w:val="center"/>
          </w:tcPr>
          <w:p w14:paraId="7C2AAC2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0C1B58A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1.1.3 Incrementar el acceso de las personas a una vivienda digna</w:t>
            </w:r>
          </w:p>
        </w:tc>
        <w:tc>
          <w:tcPr>
            <w:tcW w:w="762" w:type="pct"/>
            <w:tcBorders>
              <w:top w:val="nil"/>
              <w:left w:val="single" w:sz="8" w:space="0" w:color="434343"/>
              <w:bottom w:val="single" w:sz="8" w:space="0" w:color="434343"/>
              <w:right w:val="single" w:sz="8" w:space="0" w:color="434343"/>
            </w:tcBorders>
            <w:vAlign w:val="center"/>
          </w:tcPr>
          <w:p w14:paraId="10246AD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1.1.3.1 Desarrollo y aplicación de esquemas accesibles, que permitan a las familias en condición de pobreza la adquisición o mejoramiento de su vivienda</w:t>
            </w:r>
          </w:p>
        </w:tc>
        <w:tc>
          <w:tcPr>
            <w:tcW w:w="736" w:type="pct"/>
            <w:vMerge/>
            <w:tcBorders>
              <w:top w:val="nil"/>
              <w:left w:val="single" w:sz="8" w:space="0" w:color="434343"/>
              <w:bottom w:val="single" w:sz="8" w:space="0" w:color="434343"/>
              <w:right w:val="single" w:sz="8" w:space="0" w:color="434343"/>
            </w:tcBorders>
            <w:vAlign w:val="center"/>
            <w:hideMark/>
          </w:tcPr>
          <w:p w14:paraId="6022823B" w14:textId="77777777" w:rsidR="00794EB9" w:rsidRPr="00794EB9" w:rsidRDefault="00794EB9" w:rsidP="00C307FB">
            <w:pPr>
              <w:rPr>
                <w:rFonts w:ascii="Arial" w:hAnsi="Arial" w:cs="Arial"/>
                <w:b/>
                <w:bCs/>
                <w:sz w:val="22"/>
                <w:szCs w:val="22"/>
                <w:lang w:eastAsia="es-MX"/>
              </w:rPr>
            </w:pPr>
          </w:p>
        </w:tc>
      </w:tr>
      <w:tr w:rsidR="00794EB9" w:rsidRPr="00794EB9" w14:paraId="68CA912C"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EC65D4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Equidad social</w:t>
            </w:r>
          </w:p>
        </w:tc>
        <w:tc>
          <w:tcPr>
            <w:tcW w:w="541" w:type="pct"/>
            <w:tcBorders>
              <w:top w:val="nil"/>
              <w:left w:val="nil"/>
              <w:bottom w:val="single" w:sz="8" w:space="0" w:color="434343"/>
              <w:right w:val="single" w:sz="8" w:space="0" w:color="434343"/>
            </w:tcBorders>
            <w:shd w:val="clear" w:color="auto" w:fill="auto"/>
            <w:vAlign w:val="center"/>
            <w:hideMark/>
          </w:tcPr>
          <w:p w14:paraId="3AF5BA9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w:t>
            </w:r>
            <w:r w:rsidRPr="00794EB9">
              <w:rPr>
                <w:rFonts w:ascii="Arial" w:hAnsi="Arial" w:cs="Arial"/>
                <w:sz w:val="22"/>
                <w:szCs w:val="22"/>
                <w:lang w:eastAsia="es-MX"/>
              </w:rPr>
              <w:lastRenderedPageBreak/>
              <w:t>ón de las desigualdades</w:t>
            </w:r>
          </w:p>
        </w:tc>
        <w:tc>
          <w:tcPr>
            <w:tcW w:w="459" w:type="pct"/>
            <w:tcBorders>
              <w:top w:val="nil"/>
              <w:left w:val="nil"/>
              <w:bottom w:val="single" w:sz="8" w:space="0" w:color="434343"/>
              <w:right w:val="single" w:sz="8" w:space="0" w:color="434343"/>
            </w:tcBorders>
            <w:shd w:val="clear" w:color="auto" w:fill="auto"/>
            <w:vAlign w:val="center"/>
            <w:hideMark/>
          </w:tcPr>
          <w:p w14:paraId="00053E5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Mejoramiento de las condiciones de vida de los habitantes de las comunidades rurales</w:t>
            </w:r>
          </w:p>
        </w:tc>
        <w:tc>
          <w:tcPr>
            <w:tcW w:w="686" w:type="pct"/>
            <w:tcBorders>
              <w:top w:val="nil"/>
              <w:left w:val="nil"/>
              <w:bottom w:val="single" w:sz="8" w:space="0" w:color="434343"/>
              <w:right w:val="single" w:sz="8" w:space="0" w:color="434343"/>
            </w:tcBorders>
            <w:shd w:val="clear" w:color="auto" w:fill="auto"/>
            <w:vAlign w:val="center"/>
            <w:hideMark/>
          </w:tcPr>
          <w:p w14:paraId="6434EAD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Desarrollar esquemas de acceso, mejoramiento y ampliación de vivienda para familias en condiciones de vulnerabilidad en las comunidades </w:t>
            </w:r>
            <w:r w:rsidRPr="00794EB9">
              <w:rPr>
                <w:rFonts w:ascii="Arial" w:hAnsi="Arial" w:cs="Arial"/>
                <w:sz w:val="22"/>
                <w:szCs w:val="22"/>
                <w:lang w:eastAsia="es-MX"/>
              </w:rPr>
              <w:lastRenderedPageBreak/>
              <w:t>rurales, de acuerdo con sus características y su contexto local</w:t>
            </w:r>
          </w:p>
        </w:tc>
        <w:tc>
          <w:tcPr>
            <w:tcW w:w="610" w:type="pct"/>
            <w:tcBorders>
              <w:top w:val="nil"/>
              <w:left w:val="single" w:sz="8" w:space="0" w:color="434343"/>
              <w:bottom w:val="single" w:sz="8" w:space="0" w:color="434343"/>
              <w:right w:val="single" w:sz="8" w:space="0" w:color="434343"/>
            </w:tcBorders>
            <w:vAlign w:val="center"/>
          </w:tcPr>
          <w:p w14:paraId="5D2126A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5BD4840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02D9AC3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Estrategia 3.2.1.2 Gestión de los asentamientos humanos y centros de población y ordenamiento del territorio bajo los principios de inclusión, </w:t>
            </w:r>
            <w:r w:rsidRPr="00794EB9">
              <w:rPr>
                <w:rFonts w:ascii="Arial" w:hAnsi="Arial" w:cs="Arial"/>
                <w:b/>
                <w:bCs/>
                <w:sz w:val="22"/>
                <w:szCs w:val="22"/>
                <w:lang w:eastAsia="es-MX"/>
              </w:rPr>
              <w:lastRenderedPageBreak/>
              <w:t>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73B102EF" w14:textId="77777777" w:rsidR="00794EB9" w:rsidRPr="00794EB9" w:rsidRDefault="00794EB9" w:rsidP="00C307FB">
            <w:pPr>
              <w:rPr>
                <w:rFonts w:ascii="Arial" w:hAnsi="Arial" w:cs="Arial"/>
                <w:b/>
                <w:bCs/>
                <w:sz w:val="22"/>
                <w:szCs w:val="22"/>
                <w:lang w:eastAsia="es-MX"/>
              </w:rPr>
            </w:pPr>
          </w:p>
        </w:tc>
      </w:tr>
      <w:tr w:rsidR="00794EB9" w:rsidRPr="00794EB9" w14:paraId="1CEC7203"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3E30299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541" w:type="pct"/>
            <w:tcBorders>
              <w:top w:val="nil"/>
              <w:left w:val="nil"/>
              <w:bottom w:val="single" w:sz="8" w:space="0" w:color="434343"/>
              <w:right w:val="single" w:sz="8" w:space="0" w:color="434343"/>
            </w:tcBorders>
            <w:shd w:val="clear" w:color="auto" w:fill="auto"/>
            <w:vAlign w:val="center"/>
            <w:hideMark/>
          </w:tcPr>
          <w:p w14:paraId="58B943B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459" w:type="pct"/>
            <w:tcBorders>
              <w:top w:val="nil"/>
              <w:left w:val="nil"/>
              <w:bottom w:val="single" w:sz="8" w:space="0" w:color="434343"/>
              <w:right w:val="single" w:sz="8" w:space="0" w:color="434343"/>
            </w:tcBorders>
            <w:shd w:val="clear" w:color="auto" w:fill="auto"/>
            <w:vAlign w:val="center"/>
            <w:hideMark/>
          </w:tcPr>
          <w:p w14:paraId="566717C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686" w:type="pct"/>
            <w:tcBorders>
              <w:top w:val="nil"/>
              <w:left w:val="nil"/>
              <w:bottom w:val="single" w:sz="8" w:space="0" w:color="434343"/>
              <w:right w:val="single" w:sz="8" w:space="0" w:color="434343"/>
            </w:tcBorders>
            <w:shd w:val="clear" w:color="auto" w:fill="auto"/>
            <w:vAlign w:val="center"/>
            <w:hideMark/>
          </w:tcPr>
          <w:p w14:paraId="4C08CAE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y regular el respeto a las normas de convivencia vecinal en edificios, colonias y condominios habitacionales</w:t>
            </w:r>
          </w:p>
        </w:tc>
        <w:tc>
          <w:tcPr>
            <w:tcW w:w="610" w:type="pct"/>
            <w:tcBorders>
              <w:top w:val="nil"/>
              <w:left w:val="single" w:sz="8" w:space="0" w:color="434343"/>
              <w:bottom w:val="single" w:sz="8" w:space="0" w:color="434343"/>
              <w:right w:val="single" w:sz="8" w:space="0" w:color="434343"/>
            </w:tcBorders>
            <w:vAlign w:val="center"/>
          </w:tcPr>
          <w:p w14:paraId="085D831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067B14E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4.2.3 Incrementar la efectividad de las instancias jurisdiccionales relacionadas con la justicia cotidiana</w:t>
            </w:r>
          </w:p>
        </w:tc>
        <w:tc>
          <w:tcPr>
            <w:tcW w:w="762" w:type="pct"/>
            <w:tcBorders>
              <w:top w:val="nil"/>
              <w:left w:val="single" w:sz="8" w:space="0" w:color="434343"/>
              <w:bottom w:val="single" w:sz="8" w:space="0" w:color="434343"/>
              <w:right w:val="single" w:sz="8" w:space="0" w:color="434343"/>
            </w:tcBorders>
            <w:vAlign w:val="center"/>
          </w:tcPr>
          <w:p w14:paraId="3ADC911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4.2.3.3 Promoción de una cultura de paz entre la ciudadanía guanajuatense mediante diversos mecanismos que contribuyan al desarrollo de la sociedad en un marco de respeto a los derechos humanos e igualdad entre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3AB716A4" w14:textId="77777777" w:rsidR="00794EB9" w:rsidRPr="00794EB9" w:rsidRDefault="00794EB9" w:rsidP="00C307FB">
            <w:pPr>
              <w:rPr>
                <w:rFonts w:ascii="Arial" w:hAnsi="Arial" w:cs="Arial"/>
                <w:b/>
                <w:bCs/>
                <w:sz w:val="22"/>
                <w:szCs w:val="22"/>
                <w:lang w:eastAsia="es-MX"/>
              </w:rPr>
            </w:pPr>
          </w:p>
        </w:tc>
      </w:tr>
      <w:tr w:rsidR="00794EB9" w:rsidRPr="00794EB9" w14:paraId="01BD99C3"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35DEAE2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Modelo urbano integrador</w:t>
            </w:r>
          </w:p>
        </w:tc>
        <w:tc>
          <w:tcPr>
            <w:tcW w:w="541" w:type="pct"/>
            <w:tcBorders>
              <w:top w:val="nil"/>
              <w:left w:val="nil"/>
              <w:bottom w:val="single" w:sz="8" w:space="0" w:color="434343"/>
              <w:right w:val="single" w:sz="8" w:space="0" w:color="434343"/>
            </w:tcBorders>
            <w:shd w:val="clear" w:color="auto" w:fill="auto"/>
            <w:vAlign w:val="center"/>
            <w:hideMark/>
          </w:tcPr>
          <w:p w14:paraId="3ACC494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infraestructura verde</w:t>
            </w:r>
          </w:p>
        </w:tc>
        <w:tc>
          <w:tcPr>
            <w:tcW w:w="459" w:type="pct"/>
            <w:tcBorders>
              <w:top w:val="nil"/>
              <w:left w:val="nil"/>
              <w:bottom w:val="single" w:sz="8" w:space="0" w:color="434343"/>
              <w:right w:val="single" w:sz="8" w:space="0" w:color="434343"/>
            </w:tcBorders>
            <w:shd w:val="clear" w:color="auto" w:fill="auto"/>
            <w:vAlign w:val="center"/>
            <w:hideMark/>
          </w:tcPr>
          <w:p w14:paraId="4A237E8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Densificación y consolidación urbana</w:t>
            </w:r>
          </w:p>
        </w:tc>
        <w:tc>
          <w:tcPr>
            <w:tcW w:w="686" w:type="pct"/>
            <w:tcBorders>
              <w:top w:val="nil"/>
              <w:left w:val="nil"/>
              <w:bottom w:val="single" w:sz="8" w:space="0" w:color="434343"/>
              <w:right w:val="single" w:sz="8" w:space="0" w:color="434343"/>
            </w:tcBorders>
            <w:shd w:val="clear" w:color="auto" w:fill="auto"/>
            <w:vAlign w:val="center"/>
            <w:hideMark/>
          </w:tcPr>
          <w:p w14:paraId="4EBA168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Desarrollar medidas para el aprovechamiento y la ocupación de las viviendas deshabitadas</w:t>
            </w:r>
          </w:p>
        </w:tc>
        <w:tc>
          <w:tcPr>
            <w:tcW w:w="610" w:type="pct"/>
            <w:tcBorders>
              <w:top w:val="nil"/>
              <w:left w:val="single" w:sz="8" w:space="0" w:color="434343"/>
              <w:bottom w:val="single" w:sz="8" w:space="0" w:color="434343"/>
              <w:right w:val="single" w:sz="8" w:space="0" w:color="434343"/>
            </w:tcBorders>
            <w:vAlign w:val="center"/>
          </w:tcPr>
          <w:p w14:paraId="53FEFAD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77E9834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545E736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467E98ED" w14:textId="77777777" w:rsidR="00794EB9" w:rsidRPr="00794EB9" w:rsidRDefault="00794EB9" w:rsidP="00C307FB">
            <w:pPr>
              <w:rPr>
                <w:rFonts w:ascii="Arial" w:hAnsi="Arial" w:cs="Arial"/>
                <w:b/>
                <w:bCs/>
                <w:sz w:val="22"/>
                <w:szCs w:val="22"/>
                <w:lang w:eastAsia="es-MX"/>
              </w:rPr>
            </w:pPr>
          </w:p>
        </w:tc>
      </w:tr>
      <w:tr w:rsidR="00794EB9" w:rsidRPr="00794EB9" w14:paraId="3354195D"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61C0834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31788EB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7908BAA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5EECA7C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nil"/>
            </w:tcBorders>
            <w:shd w:val="clear" w:color="auto" w:fill="D9D9D9" w:themeFill="background1" w:themeFillShade="D9"/>
            <w:vAlign w:val="center"/>
          </w:tcPr>
          <w:p w14:paraId="37EC54EE" w14:textId="77777777" w:rsidR="00794EB9" w:rsidRPr="00794EB9" w:rsidRDefault="00794EB9" w:rsidP="00C307FB">
            <w:pPr>
              <w:rPr>
                <w:rFonts w:ascii="Arial" w:hAnsi="Arial" w:cs="Arial"/>
                <w:b/>
                <w:bCs/>
                <w:sz w:val="22"/>
                <w:szCs w:val="22"/>
                <w:lang w:eastAsia="es-MX"/>
              </w:rPr>
            </w:pPr>
          </w:p>
        </w:tc>
        <w:tc>
          <w:tcPr>
            <w:tcW w:w="837" w:type="pct"/>
            <w:tcBorders>
              <w:top w:val="nil"/>
              <w:left w:val="nil"/>
              <w:bottom w:val="single" w:sz="8" w:space="0" w:color="434343"/>
              <w:right w:val="nil"/>
            </w:tcBorders>
            <w:shd w:val="clear" w:color="auto" w:fill="D9D9D9" w:themeFill="background1" w:themeFillShade="D9"/>
            <w:vAlign w:val="center"/>
          </w:tcPr>
          <w:p w14:paraId="008302AF" w14:textId="77777777" w:rsidR="00794EB9" w:rsidRPr="00794EB9" w:rsidRDefault="00794EB9" w:rsidP="00C307FB">
            <w:pPr>
              <w:rPr>
                <w:rFonts w:ascii="Arial" w:hAnsi="Arial" w:cs="Arial"/>
                <w:b/>
                <w:bCs/>
                <w:sz w:val="22"/>
                <w:szCs w:val="22"/>
                <w:lang w:eastAsia="es-MX"/>
              </w:rPr>
            </w:pPr>
          </w:p>
        </w:tc>
        <w:tc>
          <w:tcPr>
            <w:tcW w:w="762" w:type="pct"/>
            <w:tcBorders>
              <w:top w:val="nil"/>
              <w:left w:val="nil"/>
              <w:bottom w:val="single" w:sz="8" w:space="0" w:color="434343"/>
              <w:right w:val="nil"/>
            </w:tcBorders>
            <w:shd w:val="clear" w:color="auto" w:fill="D9D9D9" w:themeFill="background1" w:themeFillShade="D9"/>
            <w:vAlign w:val="center"/>
          </w:tcPr>
          <w:p w14:paraId="3D0AAD58" w14:textId="77777777" w:rsidR="00794EB9" w:rsidRPr="00794EB9" w:rsidRDefault="00794EB9" w:rsidP="00C307FB">
            <w:pPr>
              <w:rPr>
                <w:rFonts w:ascii="Arial" w:hAnsi="Arial" w:cs="Arial"/>
                <w:b/>
                <w:bCs/>
                <w:sz w:val="22"/>
                <w:szCs w:val="22"/>
                <w:lang w:eastAsia="es-MX"/>
              </w:rPr>
            </w:pPr>
          </w:p>
        </w:tc>
        <w:tc>
          <w:tcPr>
            <w:tcW w:w="73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5DA8E48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VM2. León de Oportunidades</w:t>
            </w:r>
          </w:p>
        </w:tc>
      </w:tr>
      <w:tr w:rsidR="00794EB9" w:rsidRPr="00794EB9" w14:paraId="767B4585"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3C5DC41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Economía formal y generadora de empleos </w:t>
            </w:r>
            <w:r w:rsidRPr="00794EB9">
              <w:rPr>
                <w:rFonts w:ascii="Arial" w:hAnsi="Arial" w:cs="Arial"/>
                <w:sz w:val="22"/>
                <w:szCs w:val="22"/>
                <w:lang w:eastAsia="es-MX"/>
              </w:rPr>
              <w:lastRenderedPageBreak/>
              <w:t>de calidad</w:t>
            </w:r>
          </w:p>
        </w:tc>
        <w:tc>
          <w:tcPr>
            <w:tcW w:w="541" w:type="pct"/>
            <w:tcBorders>
              <w:top w:val="nil"/>
              <w:left w:val="nil"/>
              <w:bottom w:val="single" w:sz="8" w:space="0" w:color="434343"/>
              <w:right w:val="single" w:sz="8" w:space="0" w:color="434343"/>
            </w:tcBorders>
            <w:shd w:val="clear" w:color="auto" w:fill="auto"/>
            <w:vAlign w:val="center"/>
            <w:hideMark/>
          </w:tcPr>
          <w:p w14:paraId="7438DF9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Consolidar los parques y zonas industriales a favor de la creació</w:t>
            </w:r>
            <w:r w:rsidRPr="00794EB9">
              <w:rPr>
                <w:rFonts w:ascii="Arial" w:hAnsi="Arial" w:cs="Arial"/>
                <w:sz w:val="22"/>
                <w:szCs w:val="22"/>
                <w:lang w:eastAsia="es-MX"/>
              </w:rPr>
              <w:lastRenderedPageBreak/>
              <w:t>n de empleos formales de calidad, inclusivos y de la equidad salarial</w:t>
            </w:r>
          </w:p>
        </w:tc>
        <w:tc>
          <w:tcPr>
            <w:tcW w:w="459" w:type="pct"/>
            <w:tcBorders>
              <w:top w:val="nil"/>
              <w:left w:val="nil"/>
              <w:bottom w:val="single" w:sz="8" w:space="0" w:color="434343"/>
              <w:right w:val="single" w:sz="8" w:space="0" w:color="434343"/>
            </w:tcBorders>
            <w:shd w:val="clear" w:color="auto" w:fill="auto"/>
            <w:vAlign w:val="center"/>
            <w:hideMark/>
          </w:tcPr>
          <w:p w14:paraId="44E60B3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Empleo digno y cultura empresarial</w:t>
            </w:r>
          </w:p>
        </w:tc>
        <w:tc>
          <w:tcPr>
            <w:tcW w:w="686" w:type="pct"/>
            <w:tcBorders>
              <w:top w:val="nil"/>
              <w:left w:val="nil"/>
              <w:bottom w:val="single" w:sz="8" w:space="0" w:color="434343"/>
              <w:right w:val="single" w:sz="8" w:space="0" w:color="434343"/>
            </w:tcBorders>
            <w:shd w:val="clear" w:color="auto" w:fill="auto"/>
            <w:vAlign w:val="center"/>
            <w:hideMark/>
          </w:tcPr>
          <w:p w14:paraId="4848AD0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Fomentar la creación de incentivos locales para la generación de empleos </w:t>
            </w:r>
            <w:r w:rsidRPr="00794EB9">
              <w:rPr>
                <w:rFonts w:ascii="Arial" w:hAnsi="Arial" w:cs="Arial"/>
                <w:sz w:val="22"/>
                <w:szCs w:val="22"/>
                <w:lang w:eastAsia="es-MX"/>
              </w:rPr>
              <w:lastRenderedPageBreak/>
              <w:t>en condición de formalidad, que favorezcan los derechos laborales individuales y colectivos</w:t>
            </w:r>
          </w:p>
        </w:tc>
        <w:tc>
          <w:tcPr>
            <w:tcW w:w="610" w:type="pct"/>
            <w:tcBorders>
              <w:top w:val="nil"/>
              <w:left w:val="single" w:sz="8" w:space="0" w:color="434343"/>
              <w:bottom w:val="single" w:sz="8" w:space="0" w:color="434343"/>
              <w:right w:val="single" w:sz="8" w:space="0" w:color="434343"/>
            </w:tcBorders>
            <w:vAlign w:val="center"/>
          </w:tcPr>
          <w:p w14:paraId="27227E9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8: Promover el crecimiento económico inclusiv</w:t>
            </w:r>
            <w:r w:rsidRPr="00794EB9">
              <w:rPr>
                <w:rFonts w:ascii="Arial" w:hAnsi="Arial" w:cs="Arial"/>
                <w:b/>
                <w:bCs/>
                <w:sz w:val="22"/>
                <w:szCs w:val="22"/>
                <w:lang w:eastAsia="es-MX"/>
              </w:rPr>
              <w:lastRenderedPageBreak/>
              <w:t>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715E742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2.1.1 Promover el empleo de calidad, inclusivo y bien remunerado, formado y </w:t>
            </w:r>
            <w:r w:rsidRPr="00794EB9">
              <w:rPr>
                <w:rFonts w:ascii="Arial" w:hAnsi="Arial" w:cs="Arial"/>
                <w:b/>
                <w:bCs/>
                <w:sz w:val="22"/>
                <w:szCs w:val="22"/>
                <w:lang w:eastAsia="es-MX"/>
              </w:rPr>
              <w:lastRenderedPageBreak/>
              <w:t>capacitado para la empleabilidad, con igualdad de oportunidades para mujeres y hombres</w:t>
            </w:r>
          </w:p>
        </w:tc>
        <w:tc>
          <w:tcPr>
            <w:tcW w:w="762" w:type="pct"/>
            <w:tcBorders>
              <w:top w:val="nil"/>
              <w:left w:val="single" w:sz="8" w:space="0" w:color="434343"/>
              <w:bottom w:val="single" w:sz="8" w:space="0" w:color="434343"/>
              <w:right w:val="single" w:sz="8" w:space="0" w:color="434343"/>
            </w:tcBorders>
            <w:vAlign w:val="center"/>
          </w:tcPr>
          <w:p w14:paraId="4F9A5F6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2.1.1.3 Fortalecimiento del sistema de protección social de las personas </w:t>
            </w:r>
            <w:r w:rsidRPr="00794EB9">
              <w:rPr>
                <w:rFonts w:ascii="Arial" w:hAnsi="Arial" w:cs="Arial"/>
                <w:b/>
                <w:bCs/>
                <w:sz w:val="22"/>
                <w:szCs w:val="22"/>
                <w:lang w:eastAsia="es-MX"/>
              </w:rPr>
              <w:lastRenderedPageBreak/>
              <w:t>trabajadoras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04A891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VM2.1 Autoempleo</w:t>
            </w:r>
          </w:p>
        </w:tc>
      </w:tr>
      <w:tr w:rsidR="00794EB9" w:rsidRPr="00794EB9" w14:paraId="238A6B14"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722708CF" w14:textId="77777777" w:rsidR="00794EB9" w:rsidRPr="00794EB9" w:rsidRDefault="00794EB9" w:rsidP="00C307FB">
            <w:pPr>
              <w:spacing w:after="240"/>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541" w:type="pct"/>
            <w:tcBorders>
              <w:top w:val="nil"/>
              <w:left w:val="nil"/>
              <w:bottom w:val="single" w:sz="8" w:space="0" w:color="434343"/>
              <w:right w:val="single" w:sz="8" w:space="0" w:color="434343"/>
            </w:tcBorders>
            <w:shd w:val="clear" w:color="auto" w:fill="auto"/>
            <w:vAlign w:val="center"/>
            <w:hideMark/>
          </w:tcPr>
          <w:p w14:paraId="5E89D30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459" w:type="pct"/>
            <w:tcBorders>
              <w:top w:val="nil"/>
              <w:left w:val="nil"/>
              <w:bottom w:val="single" w:sz="8" w:space="0" w:color="434343"/>
              <w:right w:val="single" w:sz="8" w:space="0" w:color="434343"/>
            </w:tcBorders>
            <w:shd w:val="clear" w:color="auto" w:fill="auto"/>
            <w:vAlign w:val="center"/>
            <w:hideMark/>
          </w:tcPr>
          <w:p w14:paraId="687187A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Formación continua para la vida y el trabajo</w:t>
            </w:r>
          </w:p>
        </w:tc>
        <w:tc>
          <w:tcPr>
            <w:tcW w:w="686" w:type="pct"/>
            <w:tcBorders>
              <w:top w:val="nil"/>
              <w:left w:val="nil"/>
              <w:bottom w:val="single" w:sz="8" w:space="0" w:color="434343"/>
              <w:right w:val="single" w:sz="8" w:space="0" w:color="434343"/>
            </w:tcBorders>
            <w:shd w:val="clear" w:color="auto" w:fill="auto"/>
            <w:vAlign w:val="center"/>
            <w:hideMark/>
          </w:tcPr>
          <w:p w14:paraId="666F441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Promover la oferta educativa no escolarizada que responda a los cambios tecnológicos y demanda de los modelos de empleo del futuro</w:t>
            </w:r>
          </w:p>
        </w:tc>
        <w:tc>
          <w:tcPr>
            <w:tcW w:w="610" w:type="pct"/>
            <w:tcBorders>
              <w:top w:val="nil"/>
              <w:left w:val="single" w:sz="8" w:space="0" w:color="434343"/>
              <w:bottom w:val="single" w:sz="8" w:space="0" w:color="434343"/>
              <w:right w:val="single" w:sz="8" w:space="0" w:color="434343"/>
            </w:tcBorders>
            <w:vAlign w:val="center"/>
          </w:tcPr>
          <w:p w14:paraId="5594792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4: Garantizar una educación inclusiva, equitativa y de calidad y promover oportunidades de aprendizaje durante toda la vida para todos</w:t>
            </w:r>
          </w:p>
        </w:tc>
        <w:tc>
          <w:tcPr>
            <w:tcW w:w="837" w:type="pct"/>
            <w:tcBorders>
              <w:top w:val="nil"/>
              <w:left w:val="single" w:sz="8" w:space="0" w:color="434343"/>
              <w:bottom w:val="single" w:sz="8" w:space="0" w:color="434343"/>
              <w:right w:val="single" w:sz="8" w:space="0" w:color="434343"/>
            </w:tcBorders>
            <w:vAlign w:val="center"/>
          </w:tcPr>
          <w:p w14:paraId="3BF7BF1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1.1.1 Abatir la pobreza en todas sus vertientes y desde sus causas</w:t>
            </w:r>
          </w:p>
        </w:tc>
        <w:tc>
          <w:tcPr>
            <w:tcW w:w="762" w:type="pct"/>
            <w:tcBorders>
              <w:top w:val="nil"/>
              <w:left w:val="single" w:sz="8" w:space="0" w:color="434343"/>
              <w:bottom w:val="single" w:sz="8" w:space="0" w:color="434343"/>
              <w:right w:val="single" w:sz="8" w:space="0" w:color="434343"/>
            </w:tcBorders>
            <w:vAlign w:val="center"/>
          </w:tcPr>
          <w:p w14:paraId="2A6B39A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1.1.1.1 Incremento de las opciones de empleo y el ingreso digno, en condiciones de igualdad</w:t>
            </w:r>
          </w:p>
        </w:tc>
        <w:tc>
          <w:tcPr>
            <w:tcW w:w="736" w:type="pct"/>
            <w:vMerge/>
            <w:tcBorders>
              <w:top w:val="nil"/>
              <w:left w:val="single" w:sz="8" w:space="0" w:color="434343"/>
              <w:bottom w:val="single" w:sz="8" w:space="0" w:color="434343"/>
              <w:right w:val="single" w:sz="8" w:space="0" w:color="434343"/>
            </w:tcBorders>
            <w:vAlign w:val="center"/>
            <w:hideMark/>
          </w:tcPr>
          <w:p w14:paraId="6E8FF3D7" w14:textId="77777777" w:rsidR="00794EB9" w:rsidRPr="00794EB9" w:rsidRDefault="00794EB9" w:rsidP="00C307FB">
            <w:pPr>
              <w:rPr>
                <w:rFonts w:ascii="Arial" w:hAnsi="Arial" w:cs="Arial"/>
                <w:b/>
                <w:bCs/>
                <w:sz w:val="22"/>
                <w:szCs w:val="22"/>
                <w:lang w:eastAsia="es-MX"/>
              </w:rPr>
            </w:pPr>
          </w:p>
        </w:tc>
      </w:tr>
      <w:tr w:rsidR="00794EB9" w:rsidRPr="00794EB9" w14:paraId="1585A3B1"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03AAE5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Economía formal y generadora de </w:t>
            </w:r>
            <w:r w:rsidRPr="00794EB9">
              <w:rPr>
                <w:rFonts w:ascii="Arial" w:hAnsi="Arial" w:cs="Arial"/>
                <w:sz w:val="22"/>
                <w:szCs w:val="22"/>
                <w:lang w:eastAsia="es-MX"/>
              </w:rPr>
              <w:lastRenderedPageBreak/>
              <w:t>empleos de calidad</w:t>
            </w:r>
          </w:p>
        </w:tc>
        <w:tc>
          <w:tcPr>
            <w:tcW w:w="541" w:type="pct"/>
            <w:tcBorders>
              <w:top w:val="nil"/>
              <w:left w:val="nil"/>
              <w:bottom w:val="single" w:sz="8" w:space="0" w:color="434343"/>
              <w:right w:val="single" w:sz="8" w:space="0" w:color="434343"/>
            </w:tcBorders>
            <w:shd w:val="clear" w:color="auto" w:fill="auto"/>
            <w:vAlign w:val="center"/>
            <w:hideMark/>
          </w:tcPr>
          <w:p w14:paraId="3640064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Consolidar los parques y zonas industriales a favor de </w:t>
            </w:r>
            <w:r w:rsidRPr="00794EB9">
              <w:rPr>
                <w:rFonts w:ascii="Arial" w:hAnsi="Arial" w:cs="Arial"/>
                <w:sz w:val="22"/>
                <w:szCs w:val="22"/>
                <w:lang w:eastAsia="es-MX"/>
              </w:rPr>
              <w:lastRenderedPageBreak/>
              <w:t>la creación de empleos formales de calidad, inclusivos y de la equidad salarial</w:t>
            </w:r>
          </w:p>
        </w:tc>
        <w:tc>
          <w:tcPr>
            <w:tcW w:w="459" w:type="pct"/>
            <w:tcBorders>
              <w:top w:val="nil"/>
              <w:left w:val="nil"/>
              <w:bottom w:val="single" w:sz="8" w:space="0" w:color="434343"/>
              <w:right w:val="single" w:sz="8" w:space="0" w:color="434343"/>
            </w:tcBorders>
            <w:shd w:val="clear" w:color="auto" w:fill="auto"/>
            <w:vAlign w:val="center"/>
            <w:hideMark/>
          </w:tcPr>
          <w:p w14:paraId="513E434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Empleo digno y cultura empresarial</w:t>
            </w:r>
          </w:p>
        </w:tc>
        <w:tc>
          <w:tcPr>
            <w:tcW w:w="686" w:type="pct"/>
            <w:tcBorders>
              <w:top w:val="nil"/>
              <w:left w:val="nil"/>
              <w:bottom w:val="single" w:sz="8" w:space="0" w:color="434343"/>
              <w:right w:val="single" w:sz="8" w:space="0" w:color="434343"/>
            </w:tcBorders>
            <w:shd w:val="clear" w:color="auto" w:fill="auto"/>
            <w:vAlign w:val="center"/>
            <w:hideMark/>
          </w:tcPr>
          <w:p w14:paraId="5CA831C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Fomentar la creación de incentivos locales para la generació</w:t>
            </w:r>
            <w:r w:rsidRPr="00794EB9">
              <w:rPr>
                <w:rFonts w:ascii="Arial" w:hAnsi="Arial" w:cs="Arial"/>
                <w:sz w:val="22"/>
                <w:szCs w:val="22"/>
                <w:lang w:eastAsia="es-MX"/>
              </w:rPr>
              <w:lastRenderedPageBreak/>
              <w:t>n de empleos en condición de formalidad, que favorezcan los derechos laborales individuales y colectivos</w:t>
            </w:r>
          </w:p>
        </w:tc>
        <w:tc>
          <w:tcPr>
            <w:tcW w:w="610" w:type="pct"/>
            <w:tcBorders>
              <w:top w:val="nil"/>
              <w:left w:val="single" w:sz="8" w:space="0" w:color="434343"/>
              <w:bottom w:val="single" w:sz="8" w:space="0" w:color="434343"/>
              <w:right w:val="single" w:sz="8" w:space="0" w:color="434343"/>
            </w:tcBorders>
            <w:vAlign w:val="center"/>
          </w:tcPr>
          <w:p w14:paraId="3B8A1BC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8: Promover el crecimiento económi</w:t>
            </w:r>
            <w:r w:rsidRPr="00794EB9">
              <w:rPr>
                <w:rFonts w:ascii="Arial" w:hAnsi="Arial" w:cs="Arial"/>
                <w:b/>
                <w:bCs/>
                <w:sz w:val="22"/>
                <w:szCs w:val="22"/>
                <w:lang w:eastAsia="es-MX"/>
              </w:rPr>
              <w:lastRenderedPageBreak/>
              <w:t>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3C58402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2.1.1 Promover el empleo de calidad, inclusivo y bien </w:t>
            </w:r>
            <w:r w:rsidRPr="00794EB9">
              <w:rPr>
                <w:rFonts w:ascii="Arial" w:hAnsi="Arial" w:cs="Arial"/>
                <w:b/>
                <w:bCs/>
                <w:sz w:val="22"/>
                <w:szCs w:val="22"/>
                <w:lang w:eastAsia="es-MX"/>
              </w:rPr>
              <w:lastRenderedPageBreak/>
              <w:t>remunerado, formado y capacitado para la empleabilidad, con igualdad de oportunidades para mujeres y hombres</w:t>
            </w:r>
          </w:p>
        </w:tc>
        <w:tc>
          <w:tcPr>
            <w:tcW w:w="762" w:type="pct"/>
            <w:tcBorders>
              <w:top w:val="nil"/>
              <w:left w:val="single" w:sz="8" w:space="0" w:color="434343"/>
              <w:bottom w:val="single" w:sz="8" w:space="0" w:color="434343"/>
              <w:right w:val="single" w:sz="8" w:space="0" w:color="434343"/>
            </w:tcBorders>
            <w:vAlign w:val="center"/>
          </w:tcPr>
          <w:p w14:paraId="20A25EC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2.1.1.3 Fortalecimiento del sistema de protección social de </w:t>
            </w:r>
            <w:r w:rsidRPr="00794EB9">
              <w:rPr>
                <w:rFonts w:ascii="Arial" w:hAnsi="Arial" w:cs="Arial"/>
                <w:b/>
                <w:bCs/>
                <w:sz w:val="22"/>
                <w:szCs w:val="22"/>
                <w:lang w:eastAsia="es-MX"/>
              </w:rPr>
              <w:lastRenderedPageBreak/>
              <w:t>las personas trabajadoras</w:t>
            </w:r>
          </w:p>
        </w:tc>
        <w:tc>
          <w:tcPr>
            <w:tcW w:w="736" w:type="pct"/>
            <w:vMerge/>
            <w:tcBorders>
              <w:top w:val="nil"/>
              <w:left w:val="single" w:sz="8" w:space="0" w:color="434343"/>
              <w:bottom w:val="single" w:sz="8" w:space="0" w:color="434343"/>
              <w:right w:val="single" w:sz="8" w:space="0" w:color="434343"/>
            </w:tcBorders>
            <w:vAlign w:val="center"/>
            <w:hideMark/>
          </w:tcPr>
          <w:p w14:paraId="101BCC9F" w14:textId="77777777" w:rsidR="00794EB9" w:rsidRPr="00794EB9" w:rsidRDefault="00794EB9" w:rsidP="00C307FB">
            <w:pPr>
              <w:rPr>
                <w:rFonts w:ascii="Arial" w:hAnsi="Arial" w:cs="Arial"/>
                <w:b/>
                <w:bCs/>
                <w:sz w:val="22"/>
                <w:szCs w:val="22"/>
                <w:lang w:eastAsia="es-MX"/>
              </w:rPr>
            </w:pPr>
          </w:p>
        </w:tc>
      </w:tr>
      <w:tr w:rsidR="00794EB9" w:rsidRPr="00794EB9" w14:paraId="779D9220"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2E56C0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Desarrollo rural sustentable</w:t>
            </w:r>
          </w:p>
        </w:tc>
        <w:tc>
          <w:tcPr>
            <w:tcW w:w="541" w:type="pct"/>
            <w:tcBorders>
              <w:top w:val="nil"/>
              <w:left w:val="nil"/>
              <w:bottom w:val="single" w:sz="8" w:space="0" w:color="434343"/>
              <w:right w:val="single" w:sz="8" w:space="0" w:color="434343"/>
            </w:tcBorders>
            <w:shd w:val="clear" w:color="auto" w:fill="auto"/>
            <w:vAlign w:val="center"/>
            <w:hideMark/>
          </w:tcPr>
          <w:p w14:paraId="766F3C1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Aumentar la productividad y la eficiencia del sector agroalimentario, consolidando un modelo de desarrollo rural sostenible, incluyente y articulado</w:t>
            </w:r>
          </w:p>
        </w:tc>
        <w:tc>
          <w:tcPr>
            <w:tcW w:w="459" w:type="pct"/>
            <w:tcBorders>
              <w:top w:val="nil"/>
              <w:left w:val="nil"/>
              <w:bottom w:val="single" w:sz="8" w:space="0" w:color="434343"/>
              <w:right w:val="single" w:sz="8" w:space="0" w:color="434343"/>
            </w:tcBorders>
            <w:shd w:val="clear" w:color="auto" w:fill="auto"/>
            <w:vAlign w:val="center"/>
            <w:hideMark/>
          </w:tcPr>
          <w:p w14:paraId="2461F50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Fortalecimiento del sector agroalimentario y del abasto local</w:t>
            </w:r>
          </w:p>
        </w:tc>
        <w:tc>
          <w:tcPr>
            <w:tcW w:w="686" w:type="pct"/>
            <w:tcBorders>
              <w:top w:val="nil"/>
              <w:left w:val="nil"/>
              <w:bottom w:val="single" w:sz="8" w:space="0" w:color="434343"/>
              <w:right w:val="single" w:sz="8" w:space="0" w:color="434343"/>
            </w:tcBorders>
            <w:shd w:val="clear" w:color="auto" w:fill="auto"/>
            <w:vAlign w:val="center"/>
            <w:hideMark/>
          </w:tcPr>
          <w:p w14:paraId="5D012AD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Modernizar y ampliar el sistema de centros de abasto y promover su articulación con mercados públicos y centros de comercialización rural para promover el consumo local</w:t>
            </w:r>
          </w:p>
        </w:tc>
        <w:tc>
          <w:tcPr>
            <w:tcW w:w="610" w:type="pct"/>
            <w:tcBorders>
              <w:top w:val="nil"/>
              <w:left w:val="nil"/>
              <w:bottom w:val="single" w:sz="8" w:space="0" w:color="434343"/>
              <w:right w:val="single" w:sz="4" w:space="0" w:color="auto"/>
            </w:tcBorders>
            <w:vAlign w:val="center"/>
          </w:tcPr>
          <w:p w14:paraId="10D631A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2: Poner fin al hambre</w:t>
            </w:r>
          </w:p>
        </w:tc>
        <w:tc>
          <w:tcPr>
            <w:tcW w:w="837" w:type="pct"/>
            <w:tcBorders>
              <w:top w:val="nil"/>
              <w:left w:val="single" w:sz="4" w:space="0" w:color="auto"/>
              <w:bottom w:val="single" w:sz="8" w:space="0" w:color="434343"/>
              <w:right w:val="single" w:sz="4" w:space="0" w:color="auto"/>
            </w:tcBorders>
            <w:vAlign w:val="center"/>
          </w:tcPr>
          <w:p w14:paraId="043BDDE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2.4.1 Consolidar un sector agroalimentario productivo, que garantice la seguridad alimentaria en el estado</w:t>
            </w:r>
          </w:p>
        </w:tc>
        <w:tc>
          <w:tcPr>
            <w:tcW w:w="762" w:type="pct"/>
            <w:tcBorders>
              <w:top w:val="nil"/>
              <w:left w:val="single" w:sz="4" w:space="0" w:color="auto"/>
              <w:bottom w:val="single" w:sz="8" w:space="0" w:color="434343"/>
              <w:right w:val="single" w:sz="4" w:space="0" w:color="auto"/>
            </w:tcBorders>
            <w:vAlign w:val="center"/>
          </w:tcPr>
          <w:p w14:paraId="07BD125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2.4.1.4 Fortalecimiento de la productividad y la autosuficiencia de la sociedad rural con igualdad de oportunidades para mujeres y hombres</w:t>
            </w:r>
          </w:p>
        </w:tc>
        <w:tc>
          <w:tcPr>
            <w:tcW w:w="736" w:type="pct"/>
            <w:tcBorders>
              <w:top w:val="nil"/>
              <w:left w:val="single" w:sz="4" w:space="0" w:color="auto"/>
              <w:bottom w:val="single" w:sz="8" w:space="0" w:color="434343"/>
              <w:right w:val="single" w:sz="8" w:space="0" w:color="434343"/>
            </w:tcBorders>
            <w:shd w:val="clear" w:color="auto" w:fill="auto"/>
            <w:vAlign w:val="center"/>
            <w:hideMark/>
          </w:tcPr>
          <w:p w14:paraId="7B75F74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VM2.3 Mi Plaza</w:t>
            </w:r>
          </w:p>
        </w:tc>
      </w:tr>
      <w:tr w:rsidR="00794EB9" w:rsidRPr="00794EB9" w14:paraId="284E5892"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72FBBC5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Entorno para el emprendi</w:t>
            </w:r>
            <w:r w:rsidRPr="00794EB9">
              <w:rPr>
                <w:rFonts w:ascii="Arial" w:hAnsi="Arial" w:cs="Arial"/>
                <w:sz w:val="22"/>
                <w:szCs w:val="22"/>
                <w:lang w:eastAsia="es-MX"/>
              </w:rPr>
              <w:lastRenderedPageBreak/>
              <w:t>miento y la innovación</w:t>
            </w:r>
          </w:p>
        </w:tc>
        <w:tc>
          <w:tcPr>
            <w:tcW w:w="541" w:type="pct"/>
            <w:tcBorders>
              <w:top w:val="nil"/>
              <w:left w:val="nil"/>
              <w:bottom w:val="single" w:sz="8" w:space="0" w:color="434343"/>
              <w:right w:val="single" w:sz="8" w:space="0" w:color="434343"/>
            </w:tcBorders>
            <w:shd w:val="clear" w:color="auto" w:fill="auto"/>
            <w:vAlign w:val="center"/>
            <w:hideMark/>
          </w:tcPr>
          <w:p w14:paraId="3E75A3B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Fomentar la inversión en la innovación, el </w:t>
            </w:r>
            <w:r w:rsidRPr="00794EB9">
              <w:rPr>
                <w:rFonts w:ascii="Arial" w:hAnsi="Arial" w:cs="Arial"/>
                <w:sz w:val="22"/>
                <w:szCs w:val="22"/>
                <w:lang w:eastAsia="es-MX"/>
              </w:rPr>
              <w:lastRenderedPageBreak/>
              <w:t>desarrollo tecnológico y el emprendimiento como ente principal de competitividad</w:t>
            </w:r>
          </w:p>
        </w:tc>
        <w:tc>
          <w:tcPr>
            <w:tcW w:w="459" w:type="pct"/>
            <w:tcBorders>
              <w:top w:val="nil"/>
              <w:left w:val="nil"/>
              <w:bottom w:val="single" w:sz="8" w:space="0" w:color="434343"/>
              <w:right w:val="single" w:sz="8" w:space="0" w:color="434343"/>
            </w:tcBorders>
            <w:shd w:val="clear" w:color="auto" w:fill="auto"/>
            <w:vAlign w:val="center"/>
            <w:hideMark/>
          </w:tcPr>
          <w:p w14:paraId="4217317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Fortalecimiento del ecosistema empre</w:t>
            </w:r>
            <w:r w:rsidRPr="00794EB9">
              <w:rPr>
                <w:rFonts w:ascii="Arial" w:hAnsi="Arial" w:cs="Arial"/>
                <w:sz w:val="22"/>
                <w:szCs w:val="22"/>
                <w:lang w:eastAsia="es-MX"/>
              </w:rPr>
              <w:lastRenderedPageBreak/>
              <w:t>ndedor</w:t>
            </w:r>
          </w:p>
        </w:tc>
        <w:tc>
          <w:tcPr>
            <w:tcW w:w="686" w:type="pct"/>
            <w:tcBorders>
              <w:top w:val="nil"/>
              <w:left w:val="nil"/>
              <w:bottom w:val="single" w:sz="8" w:space="0" w:color="434343"/>
              <w:right w:val="single" w:sz="8" w:space="0" w:color="434343"/>
            </w:tcBorders>
            <w:shd w:val="clear" w:color="auto" w:fill="auto"/>
            <w:vAlign w:val="center"/>
            <w:hideMark/>
          </w:tcPr>
          <w:p w14:paraId="0ED0CD9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Fomentar la generación de estímulos para </w:t>
            </w:r>
            <w:r w:rsidRPr="00794EB9">
              <w:rPr>
                <w:rFonts w:ascii="Arial" w:hAnsi="Arial" w:cs="Arial"/>
                <w:sz w:val="22"/>
                <w:szCs w:val="22"/>
                <w:lang w:eastAsia="es-MX"/>
              </w:rPr>
              <w:lastRenderedPageBreak/>
              <w:t>unidades económicas y empresas, que propicien un ingreso equitativo y salarios más justos y con ello incrementar la calidad de los empleos</w:t>
            </w:r>
          </w:p>
        </w:tc>
        <w:tc>
          <w:tcPr>
            <w:tcW w:w="610" w:type="pct"/>
            <w:tcBorders>
              <w:top w:val="nil"/>
              <w:left w:val="single" w:sz="8" w:space="0" w:color="434343"/>
              <w:bottom w:val="single" w:sz="8" w:space="0" w:color="434343"/>
              <w:right w:val="single" w:sz="8" w:space="0" w:color="434343"/>
            </w:tcBorders>
            <w:vAlign w:val="center"/>
          </w:tcPr>
          <w:p w14:paraId="7B6ADD6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8: Promover el crecimiento </w:t>
            </w:r>
            <w:r w:rsidRPr="00794EB9">
              <w:rPr>
                <w:rFonts w:ascii="Arial" w:hAnsi="Arial" w:cs="Arial"/>
                <w:b/>
                <w:bCs/>
                <w:sz w:val="22"/>
                <w:szCs w:val="22"/>
                <w:lang w:eastAsia="es-MX"/>
              </w:rPr>
              <w:lastRenderedPageBreak/>
              <w:t>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4DBCE5A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2.2.1 Aprovechar las ventajas comparativas, locales y </w:t>
            </w:r>
            <w:r w:rsidRPr="00794EB9">
              <w:rPr>
                <w:rFonts w:ascii="Arial" w:hAnsi="Arial" w:cs="Arial"/>
                <w:b/>
                <w:bCs/>
                <w:sz w:val="22"/>
                <w:szCs w:val="22"/>
                <w:lang w:eastAsia="es-MX"/>
              </w:rPr>
              <w:lastRenderedPageBreak/>
              <w:t>regionales, y activar las cadenas de valor que incluyen a las micro, pequeñas y medianas empresas locales que generan el desarrollo económico y social de sus comunidades</w:t>
            </w:r>
          </w:p>
        </w:tc>
        <w:tc>
          <w:tcPr>
            <w:tcW w:w="762" w:type="pct"/>
            <w:tcBorders>
              <w:top w:val="nil"/>
              <w:left w:val="single" w:sz="8" w:space="0" w:color="434343"/>
              <w:bottom w:val="single" w:sz="8" w:space="0" w:color="434343"/>
              <w:right w:val="single" w:sz="8" w:space="0" w:color="434343"/>
            </w:tcBorders>
            <w:vAlign w:val="center"/>
          </w:tcPr>
          <w:p w14:paraId="62C30FB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Estrategia 2.2.1.1 Fortalecimiento del acceso a financiami</w:t>
            </w:r>
            <w:r w:rsidRPr="00794EB9">
              <w:rPr>
                <w:rFonts w:ascii="Arial" w:hAnsi="Arial" w:cs="Arial"/>
                <w:b/>
                <w:bCs/>
                <w:sz w:val="22"/>
                <w:szCs w:val="22"/>
                <w:lang w:eastAsia="es-MX"/>
              </w:rPr>
              <w:lastRenderedPageBreak/>
              <w:t>ento y capital de las micro, pequeñas y medianas empresas, así como del sector industrial con enfoque de igualdad de género</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03E7D0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VM2.4 En Marcha</w:t>
            </w:r>
          </w:p>
        </w:tc>
      </w:tr>
      <w:tr w:rsidR="00794EB9" w:rsidRPr="00794EB9" w14:paraId="6E287786"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0A89E5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Fortalecimiento de sectores estratégicos y de la economía local</w:t>
            </w:r>
          </w:p>
        </w:tc>
        <w:tc>
          <w:tcPr>
            <w:tcW w:w="541" w:type="pct"/>
            <w:tcBorders>
              <w:top w:val="nil"/>
              <w:left w:val="nil"/>
              <w:bottom w:val="single" w:sz="8" w:space="0" w:color="434343"/>
              <w:right w:val="single" w:sz="8" w:space="0" w:color="434343"/>
            </w:tcBorders>
            <w:shd w:val="clear" w:color="auto" w:fill="auto"/>
            <w:vAlign w:val="center"/>
            <w:hideMark/>
          </w:tcPr>
          <w:p w14:paraId="3FCF96D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Impulsar los sectores que muestran un alto potencial de desarrollo favoreciendo la diversificación y el fortalecimiento de la economía local</w:t>
            </w:r>
          </w:p>
        </w:tc>
        <w:tc>
          <w:tcPr>
            <w:tcW w:w="459" w:type="pct"/>
            <w:tcBorders>
              <w:top w:val="nil"/>
              <w:left w:val="nil"/>
              <w:bottom w:val="single" w:sz="8" w:space="0" w:color="434343"/>
              <w:right w:val="single" w:sz="8" w:space="0" w:color="434343"/>
            </w:tcBorders>
            <w:shd w:val="clear" w:color="auto" w:fill="auto"/>
            <w:vAlign w:val="center"/>
            <w:hideMark/>
          </w:tcPr>
          <w:p w14:paraId="19DAC67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Consolidación de nuevas vocaciones</w:t>
            </w:r>
          </w:p>
        </w:tc>
        <w:tc>
          <w:tcPr>
            <w:tcW w:w="686" w:type="pct"/>
            <w:tcBorders>
              <w:top w:val="nil"/>
              <w:left w:val="nil"/>
              <w:bottom w:val="single" w:sz="8" w:space="0" w:color="434343"/>
              <w:right w:val="single" w:sz="8" w:space="0" w:color="434343"/>
            </w:tcBorders>
            <w:shd w:val="clear" w:color="auto" w:fill="auto"/>
            <w:vAlign w:val="center"/>
            <w:hideMark/>
          </w:tcPr>
          <w:p w14:paraId="78FDAA6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sinergias entre gobierno-academia-empresas, para impulsar la investigación y desarrollo de los sectores estratégicos hacia la transformación y diversificación de la cadena de valor de estos sectores</w:t>
            </w:r>
          </w:p>
        </w:tc>
        <w:tc>
          <w:tcPr>
            <w:tcW w:w="610" w:type="pct"/>
            <w:tcBorders>
              <w:top w:val="nil"/>
              <w:left w:val="single" w:sz="8" w:space="0" w:color="434343"/>
              <w:bottom w:val="single" w:sz="8" w:space="0" w:color="434343"/>
              <w:right w:val="single" w:sz="8" w:space="0" w:color="434343"/>
            </w:tcBorders>
            <w:vAlign w:val="center"/>
          </w:tcPr>
          <w:p w14:paraId="36805C4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75612F0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2.5.1 Fortalecer el sistema de innovación de Guanajuato y su articulación con las demandas productivas y sociales</w:t>
            </w:r>
          </w:p>
        </w:tc>
        <w:tc>
          <w:tcPr>
            <w:tcW w:w="762" w:type="pct"/>
            <w:tcBorders>
              <w:top w:val="nil"/>
              <w:left w:val="single" w:sz="8" w:space="0" w:color="434343"/>
              <w:bottom w:val="single" w:sz="8" w:space="0" w:color="434343"/>
              <w:right w:val="single" w:sz="8" w:space="0" w:color="434343"/>
            </w:tcBorders>
            <w:vAlign w:val="center"/>
          </w:tcPr>
          <w:p w14:paraId="2C5585C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2.5.1.2 Generación de competencias y habilidades técnicas y gerenciales en el talento emprendedor, tecnológico, científico e innovador del estado en condiciones de igualdad</w:t>
            </w:r>
          </w:p>
        </w:tc>
        <w:tc>
          <w:tcPr>
            <w:tcW w:w="736" w:type="pct"/>
            <w:vMerge/>
            <w:tcBorders>
              <w:top w:val="nil"/>
              <w:left w:val="single" w:sz="8" w:space="0" w:color="434343"/>
              <w:bottom w:val="single" w:sz="8" w:space="0" w:color="434343"/>
              <w:right w:val="single" w:sz="8" w:space="0" w:color="434343"/>
            </w:tcBorders>
            <w:vAlign w:val="center"/>
            <w:hideMark/>
          </w:tcPr>
          <w:p w14:paraId="67F99DD2" w14:textId="77777777" w:rsidR="00794EB9" w:rsidRPr="00794EB9" w:rsidRDefault="00794EB9" w:rsidP="00C307FB">
            <w:pPr>
              <w:rPr>
                <w:rFonts w:ascii="Arial" w:hAnsi="Arial" w:cs="Arial"/>
                <w:b/>
                <w:bCs/>
                <w:sz w:val="22"/>
                <w:szCs w:val="22"/>
                <w:lang w:eastAsia="es-MX"/>
              </w:rPr>
            </w:pPr>
          </w:p>
        </w:tc>
      </w:tr>
      <w:tr w:rsidR="00794EB9" w:rsidRPr="00794EB9" w14:paraId="59D73AC8" w14:textId="77777777" w:rsidTr="00C307FB">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17E41A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Entorno para </w:t>
            </w:r>
            <w:r w:rsidRPr="00794EB9">
              <w:rPr>
                <w:rFonts w:ascii="Arial" w:hAnsi="Arial" w:cs="Arial"/>
                <w:sz w:val="22"/>
                <w:szCs w:val="22"/>
                <w:lang w:eastAsia="es-MX"/>
              </w:rPr>
              <w:lastRenderedPageBreak/>
              <w:t>el emprendimiento y la innovación</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3A93B6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Fomentar la inversió</w:t>
            </w:r>
            <w:r w:rsidRPr="00794EB9">
              <w:rPr>
                <w:rFonts w:ascii="Arial" w:hAnsi="Arial" w:cs="Arial"/>
                <w:sz w:val="22"/>
                <w:szCs w:val="22"/>
                <w:lang w:eastAsia="es-MX"/>
              </w:rPr>
              <w:lastRenderedPageBreak/>
              <w:t>n en la innovación, el desarrollo tecnológico y el emprendimiento como ente principal de competitividad</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E5967F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Fortalecimiento del </w:t>
            </w:r>
            <w:r w:rsidRPr="00794EB9">
              <w:rPr>
                <w:rFonts w:ascii="Arial" w:hAnsi="Arial" w:cs="Arial"/>
                <w:sz w:val="22"/>
                <w:szCs w:val="22"/>
                <w:lang w:eastAsia="es-MX"/>
              </w:rPr>
              <w:lastRenderedPageBreak/>
              <w:t>ecosistema emprendedor</w:t>
            </w:r>
          </w:p>
        </w:tc>
        <w:tc>
          <w:tcPr>
            <w:tcW w:w="686" w:type="pct"/>
            <w:tcBorders>
              <w:top w:val="nil"/>
              <w:left w:val="nil"/>
              <w:bottom w:val="single" w:sz="8" w:space="0" w:color="434343"/>
              <w:right w:val="single" w:sz="8" w:space="0" w:color="434343"/>
            </w:tcBorders>
            <w:shd w:val="clear" w:color="auto" w:fill="auto"/>
            <w:vAlign w:val="center"/>
            <w:hideMark/>
          </w:tcPr>
          <w:p w14:paraId="16F63E6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Fomentar la generació</w:t>
            </w:r>
            <w:r w:rsidRPr="00794EB9">
              <w:rPr>
                <w:rFonts w:ascii="Arial" w:hAnsi="Arial" w:cs="Arial"/>
                <w:sz w:val="22"/>
                <w:szCs w:val="22"/>
                <w:lang w:eastAsia="es-MX"/>
              </w:rPr>
              <w:lastRenderedPageBreak/>
              <w:t>n de estímulos para unidades económicas y empresas, que propicien un ingreso equitativo y salarios más justos y con ello incrementar la calidad de los empleos</w:t>
            </w:r>
          </w:p>
        </w:tc>
        <w:tc>
          <w:tcPr>
            <w:tcW w:w="610" w:type="pct"/>
            <w:tcBorders>
              <w:top w:val="nil"/>
              <w:left w:val="single" w:sz="8" w:space="0" w:color="434343"/>
              <w:bottom w:val="single" w:sz="8" w:space="0" w:color="434343"/>
              <w:right w:val="single" w:sz="8" w:space="0" w:color="434343"/>
            </w:tcBorders>
            <w:vAlign w:val="center"/>
          </w:tcPr>
          <w:p w14:paraId="7FC3EC4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8: Promov</w:t>
            </w:r>
            <w:r w:rsidRPr="00794EB9">
              <w:rPr>
                <w:rFonts w:ascii="Arial" w:hAnsi="Arial" w:cs="Arial"/>
                <w:b/>
                <w:bCs/>
                <w:sz w:val="22"/>
                <w:szCs w:val="22"/>
                <w:lang w:eastAsia="es-MX"/>
              </w:rPr>
              <w:lastRenderedPageBreak/>
              <w:t>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1A4D106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2.2.1 Aprovechar </w:t>
            </w:r>
            <w:r w:rsidRPr="00794EB9">
              <w:rPr>
                <w:rFonts w:ascii="Arial" w:hAnsi="Arial" w:cs="Arial"/>
                <w:b/>
                <w:bCs/>
                <w:sz w:val="22"/>
                <w:szCs w:val="22"/>
                <w:lang w:eastAsia="es-MX"/>
              </w:rPr>
              <w:lastRenderedPageBreak/>
              <w:t>las ventajas comparativas, locales y regionales, y activar las cadenas de valor que incluyen a las micro, pequeñas y medianas empresas locales que generan el desarrollo económico y social de sus comunidades</w:t>
            </w:r>
          </w:p>
        </w:tc>
        <w:tc>
          <w:tcPr>
            <w:tcW w:w="762" w:type="pct"/>
            <w:tcBorders>
              <w:top w:val="nil"/>
              <w:left w:val="single" w:sz="8" w:space="0" w:color="434343"/>
              <w:bottom w:val="single" w:sz="8" w:space="0" w:color="434343"/>
              <w:right w:val="single" w:sz="8" w:space="0" w:color="434343"/>
            </w:tcBorders>
            <w:vAlign w:val="center"/>
          </w:tcPr>
          <w:p w14:paraId="197A1AF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Estrategia 2.2.1.1 Fortalecimi</w:t>
            </w:r>
            <w:r w:rsidRPr="00794EB9">
              <w:rPr>
                <w:rFonts w:ascii="Arial" w:hAnsi="Arial" w:cs="Arial"/>
                <w:b/>
                <w:bCs/>
                <w:sz w:val="22"/>
                <w:szCs w:val="22"/>
                <w:lang w:eastAsia="es-MX"/>
              </w:rPr>
              <w:lastRenderedPageBreak/>
              <w:t>ento del acceso a financiamiento y capital de las micro, pequeñas y medianas empresas, así como del sector industrial con enfoque de igualdad de género</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C68C19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VM2.5 Power Pyme</w:t>
            </w:r>
          </w:p>
        </w:tc>
      </w:tr>
      <w:tr w:rsidR="00794EB9" w:rsidRPr="00794EB9" w14:paraId="64095B18"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30F6F9C7"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DD90915"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5A3E3089"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1ED8E3A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el ecosistema de emprendimiento e innovación de la iniciativa privada de sectores tradicionales y de alto impacto</w:t>
            </w:r>
          </w:p>
        </w:tc>
        <w:tc>
          <w:tcPr>
            <w:tcW w:w="610" w:type="pct"/>
            <w:tcBorders>
              <w:top w:val="nil"/>
              <w:left w:val="single" w:sz="8" w:space="0" w:color="434343"/>
              <w:bottom w:val="single" w:sz="8" w:space="0" w:color="434343"/>
              <w:right w:val="single" w:sz="8" w:space="0" w:color="434343"/>
            </w:tcBorders>
            <w:vAlign w:val="center"/>
          </w:tcPr>
          <w:p w14:paraId="01A2E02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607EFC0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2.5.1 Fortalecer el sistema de innovación de Guanajuato y su articulación con las demandas productivas y sociales</w:t>
            </w:r>
          </w:p>
        </w:tc>
        <w:tc>
          <w:tcPr>
            <w:tcW w:w="762" w:type="pct"/>
            <w:tcBorders>
              <w:top w:val="nil"/>
              <w:left w:val="single" w:sz="8" w:space="0" w:color="434343"/>
              <w:bottom w:val="single" w:sz="8" w:space="0" w:color="434343"/>
              <w:right w:val="single" w:sz="8" w:space="0" w:color="434343"/>
            </w:tcBorders>
            <w:vAlign w:val="center"/>
          </w:tcPr>
          <w:p w14:paraId="0296B48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2.5.1.1 Fortalecimiento del acceso al capital, al financiamiento y a la inversión pública y privada dirigidos a ciencia, tecnología e innovación</w:t>
            </w:r>
          </w:p>
        </w:tc>
        <w:tc>
          <w:tcPr>
            <w:tcW w:w="736" w:type="pct"/>
            <w:vMerge/>
            <w:tcBorders>
              <w:top w:val="nil"/>
              <w:left w:val="single" w:sz="8" w:space="0" w:color="434343"/>
              <w:bottom w:val="single" w:sz="8" w:space="0" w:color="434343"/>
              <w:right w:val="single" w:sz="8" w:space="0" w:color="434343"/>
            </w:tcBorders>
            <w:vAlign w:val="center"/>
            <w:hideMark/>
          </w:tcPr>
          <w:p w14:paraId="6A97FE72" w14:textId="77777777" w:rsidR="00794EB9" w:rsidRPr="00794EB9" w:rsidRDefault="00794EB9" w:rsidP="00C307FB">
            <w:pPr>
              <w:rPr>
                <w:rFonts w:ascii="Arial" w:hAnsi="Arial" w:cs="Arial"/>
                <w:b/>
                <w:bCs/>
                <w:sz w:val="22"/>
                <w:szCs w:val="22"/>
                <w:lang w:eastAsia="es-MX"/>
              </w:rPr>
            </w:pPr>
          </w:p>
        </w:tc>
      </w:tr>
      <w:tr w:rsidR="00794EB9" w:rsidRPr="00794EB9" w14:paraId="25C4E8EF"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55F885F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Fortalecimiento de sect</w:t>
            </w:r>
            <w:r w:rsidRPr="00794EB9">
              <w:rPr>
                <w:rFonts w:ascii="Arial" w:hAnsi="Arial" w:cs="Arial"/>
                <w:sz w:val="22"/>
                <w:szCs w:val="22"/>
                <w:lang w:eastAsia="es-MX"/>
              </w:rPr>
              <w:lastRenderedPageBreak/>
              <w:t>ores estratégicos y de la economía local</w:t>
            </w:r>
          </w:p>
        </w:tc>
        <w:tc>
          <w:tcPr>
            <w:tcW w:w="541" w:type="pct"/>
            <w:tcBorders>
              <w:top w:val="nil"/>
              <w:left w:val="nil"/>
              <w:bottom w:val="single" w:sz="8" w:space="0" w:color="434343"/>
              <w:right w:val="single" w:sz="8" w:space="0" w:color="434343"/>
            </w:tcBorders>
            <w:shd w:val="clear" w:color="auto" w:fill="auto"/>
            <w:vAlign w:val="center"/>
            <w:hideMark/>
          </w:tcPr>
          <w:p w14:paraId="3A38B4F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Impulsar los sectores que muestra</w:t>
            </w:r>
            <w:r w:rsidRPr="00794EB9">
              <w:rPr>
                <w:rFonts w:ascii="Arial" w:hAnsi="Arial" w:cs="Arial"/>
                <w:sz w:val="22"/>
                <w:szCs w:val="22"/>
                <w:lang w:eastAsia="es-MX"/>
              </w:rPr>
              <w:lastRenderedPageBreak/>
              <w:t>n un alto potencial de desarrollo favoreciendo la diversificación y el fortalecimiento de la economía local</w:t>
            </w:r>
          </w:p>
        </w:tc>
        <w:tc>
          <w:tcPr>
            <w:tcW w:w="459" w:type="pct"/>
            <w:tcBorders>
              <w:top w:val="nil"/>
              <w:left w:val="nil"/>
              <w:bottom w:val="single" w:sz="8" w:space="0" w:color="434343"/>
              <w:right w:val="single" w:sz="8" w:space="0" w:color="434343"/>
            </w:tcBorders>
            <w:shd w:val="clear" w:color="auto" w:fill="auto"/>
            <w:vAlign w:val="center"/>
            <w:hideMark/>
          </w:tcPr>
          <w:p w14:paraId="2C8440B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Consolidación de nuevas </w:t>
            </w:r>
            <w:r w:rsidRPr="00794EB9">
              <w:rPr>
                <w:rFonts w:ascii="Arial" w:hAnsi="Arial" w:cs="Arial"/>
                <w:sz w:val="22"/>
                <w:szCs w:val="22"/>
                <w:lang w:eastAsia="es-MX"/>
              </w:rPr>
              <w:lastRenderedPageBreak/>
              <w:t>vocaciones</w:t>
            </w:r>
          </w:p>
        </w:tc>
        <w:tc>
          <w:tcPr>
            <w:tcW w:w="686" w:type="pct"/>
            <w:tcBorders>
              <w:top w:val="nil"/>
              <w:left w:val="nil"/>
              <w:bottom w:val="single" w:sz="8" w:space="0" w:color="434343"/>
              <w:right w:val="single" w:sz="8" w:space="0" w:color="434343"/>
            </w:tcBorders>
            <w:shd w:val="clear" w:color="auto" w:fill="auto"/>
            <w:vAlign w:val="center"/>
            <w:hideMark/>
          </w:tcPr>
          <w:p w14:paraId="68B2F75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Elaborar un plan maestro que permita </w:t>
            </w:r>
            <w:r w:rsidRPr="00794EB9">
              <w:rPr>
                <w:rFonts w:ascii="Arial" w:hAnsi="Arial" w:cs="Arial"/>
                <w:sz w:val="22"/>
                <w:szCs w:val="22"/>
                <w:lang w:eastAsia="es-MX"/>
              </w:rPr>
              <w:lastRenderedPageBreak/>
              <w:t>identificar, promover y trazar un mapa de ruta de oportunidades de negocio de alto valor, así como industrias a desarrollar conforme a las vocaciones del municipio</w:t>
            </w:r>
          </w:p>
        </w:tc>
        <w:tc>
          <w:tcPr>
            <w:tcW w:w="610" w:type="pct"/>
            <w:tcBorders>
              <w:top w:val="nil"/>
              <w:left w:val="single" w:sz="8" w:space="0" w:color="434343"/>
              <w:bottom w:val="single" w:sz="8" w:space="0" w:color="434343"/>
              <w:right w:val="single" w:sz="8" w:space="0" w:color="434343"/>
            </w:tcBorders>
            <w:vAlign w:val="center"/>
          </w:tcPr>
          <w:p w14:paraId="34C8403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8: Promover el crecimie</w:t>
            </w:r>
            <w:r w:rsidRPr="00794EB9">
              <w:rPr>
                <w:rFonts w:ascii="Arial" w:hAnsi="Arial" w:cs="Arial"/>
                <w:b/>
                <w:bCs/>
                <w:sz w:val="22"/>
                <w:szCs w:val="22"/>
                <w:lang w:eastAsia="es-MX"/>
              </w:rPr>
              <w:lastRenderedPageBreak/>
              <w:t>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015455E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2.1.3 Impulsar la internacionalización de </w:t>
            </w:r>
            <w:r w:rsidRPr="00794EB9">
              <w:rPr>
                <w:rFonts w:ascii="Arial" w:hAnsi="Arial" w:cs="Arial"/>
                <w:b/>
                <w:bCs/>
                <w:sz w:val="22"/>
                <w:szCs w:val="22"/>
                <w:lang w:eastAsia="es-MX"/>
              </w:rPr>
              <w:lastRenderedPageBreak/>
              <w:t>la economía guanajuatense</w:t>
            </w:r>
          </w:p>
        </w:tc>
        <w:tc>
          <w:tcPr>
            <w:tcW w:w="762" w:type="pct"/>
            <w:tcBorders>
              <w:top w:val="nil"/>
              <w:left w:val="single" w:sz="8" w:space="0" w:color="434343"/>
              <w:bottom w:val="single" w:sz="8" w:space="0" w:color="434343"/>
              <w:right w:val="single" w:sz="8" w:space="0" w:color="434343"/>
            </w:tcBorders>
            <w:vAlign w:val="center"/>
          </w:tcPr>
          <w:p w14:paraId="1B6F285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2.1.3.2 Promoción focalizada de </w:t>
            </w:r>
            <w:r w:rsidRPr="00794EB9">
              <w:rPr>
                <w:rFonts w:ascii="Arial" w:hAnsi="Arial" w:cs="Arial"/>
                <w:b/>
                <w:bCs/>
                <w:sz w:val="22"/>
                <w:szCs w:val="22"/>
                <w:lang w:eastAsia="es-MX"/>
              </w:rPr>
              <w:lastRenderedPageBreak/>
              <w:t>productos y servicios guanajuatenses en el exterior</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26AC99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VM2.6 Encadenamiento Productivo y </w:t>
            </w:r>
            <w:r w:rsidRPr="00794EB9">
              <w:rPr>
                <w:rFonts w:ascii="Arial" w:hAnsi="Arial" w:cs="Arial"/>
                <w:b/>
                <w:bCs/>
                <w:sz w:val="22"/>
                <w:szCs w:val="22"/>
                <w:lang w:eastAsia="es-MX"/>
              </w:rPr>
              <w:lastRenderedPageBreak/>
              <w:t>Atracción de Inversiones</w:t>
            </w:r>
          </w:p>
        </w:tc>
      </w:tr>
      <w:tr w:rsidR="00794EB9" w:rsidRPr="00794EB9" w14:paraId="4E9ED1C2"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0E28DBB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Economía formal y generadora de empleos de calidad</w:t>
            </w:r>
            <w:r w:rsidRPr="00794EB9">
              <w:rPr>
                <w:rFonts w:ascii="Arial" w:hAnsi="Arial" w:cs="Arial"/>
                <w:sz w:val="22"/>
                <w:szCs w:val="22"/>
                <w:lang w:eastAsia="es-MX"/>
              </w:rPr>
              <w:br/>
            </w:r>
            <w:r w:rsidRPr="00794EB9">
              <w:rPr>
                <w:rFonts w:ascii="Arial" w:hAnsi="Arial" w:cs="Arial"/>
                <w:sz w:val="22"/>
                <w:szCs w:val="22"/>
                <w:lang w:eastAsia="es-MX"/>
              </w:rPr>
              <w:br/>
            </w:r>
          </w:p>
        </w:tc>
        <w:tc>
          <w:tcPr>
            <w:tcW w:w="541" w:type="pct"/>
            <w:tcBorders>
              <w:top w:val="nil"/>
              <w:left w:val="nil"/>
              <w:bottom w:val="single" w:sz="8" w:space="0" w:color="434343"/>
              <w:right w:val="single" w:sz="8" w:space="0" w:color="434343"/>
            </w:tcBorders>
            <w:shd w:val="clear" w:color="auto" w:fill="auto"/>
            <w:vAlign w:val="center"/>
            <w:hideMark/>
          </w:tcPr>
          <w:p w14:paraId="50812D1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los parques y zonas industriales a favor de la creación de empleos formales de calidad, inclusivos y de la equidad salarial</w:t>
            </w:r>
          </w:p>
        </w:tc>
        <w:tc>
          <w:tcPr>
            <w:tcW w:w="459" w:type="pct"/>
            <w:tcBorders>
              <w:top w:val="nil"/>
              <w:left w:val="nil"/>
              <w:bottom w:val="single" w:sz="8" w:space="0" w:color="434343"/>
              <w:right w:val="single" w:sz="8" w:space="0" w:color="434343"/>
            </w:tcBorders>
            <w:shd w:val="clear" w:color="auto" w:fill="auto"/>
            <w:vAlign w:val="center"/>
            <w:hideMark/>
          </w:tcPr>
          <w:p w14:paraId="06AACED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Consolidación de parques y zonas industriales</w:t>
            </w:r>
          </w:p>
        </w:tc>
        <w:tc>
          <w:tcPr>
            <w:tcW w:w="686" w:type="pct"/>
            <w:tcBorders>
              <w:top w:val="nil"/>
              <w:left w:val="nil"/>
              <w:bottom w:val="single" w:sz="8" w:space="0" w:color="434343"/>
              <w:right w:val="single" w:sz="8" w:space="0" w:color="434343"/>
            </w:tcBorders>
            <w:shd w:val="clear" w:color="auto" w:fill="auto"/>
            <w:vAlign w:val="center"/>
            <w:hideMark/>
          </w:tcPr>
          <w:p w14:paraId="61CEC2C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Atraer inversiones y empresas de sectores económicos con potencial de instalación en el municipio, acorde a las vocaciones presentes y futuras</w:t>
            </w:r>
          </w:p>
        </w:tc>
        <w:tc>
          <w:tcPr>
            <w:tcW w:w="610" w:type="pct"/>
            <w:tcBorders>
              <w:top w:val="nil"/>
              <w:left w:val="single" w:sz="8" w:space="0" w:color="434343"/>
              <w:bottom w:val="single" w:sz="8" w:space="0" w:color="434343"/>
              <w:right w:val="single" w:sz="8" w:space="0" w:color="434343"/>
            </w:tcBorders>
            <w:vAlign w:val="center"/>
          </w:tcPr>
          <w:p w14:paraId="541466D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9: Construir infraestructuras resilientes, promover la industrialización sostenible y fomentar la innovación</w:t>
            </w:r>
          </w:p>
        </w:tc>
        <w:tc>
          <w:tcPr>
            <w:tcW w:w="837" w:type="pct"/>
            <w:tcBorders>
              <w:top w:val="nil"/>
              <w:left w:val="single" w:sz="8" w:space="0" w:color="434343"/>
              <w:bottom w:val="single" w:sz="8" w:space="0" w:color="434343"/>
              <w:right w:val="single" w:sz="8" w:space="0" w:color="434343"/>
            </w:tcBorders>
            <w:vAlign w:val="center"/>
          </w:tcPr>
          <w:p w14:paraId="2DB98E8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2.5.1 Fortalecer el sistema de innovación de Guanajuato y su articulación con las demandas productivas y sociales</w:t>
            </w:r>
          </w:p>
        </w:tc>
        <w:tc>
          <w:tcPr>
            <w:tcW w:w="762" w:type="pct"/>
            <w:tcBorders>
              <w:top w:val="nil"/>
              <w:left w:val="single" w:sz="8" w:space="0" w:color="434343"/>
              <w:bottom w:val="single" w:sz="8" w:space="0" w:color="434343"/>
              <w:right w:val="single" w:sz="8" w:space="0" w:color="434343"/>
            </w:tcBorders>
            <w:vAlign w:val="center"/>
          </w:tcPr>
          <w:p w14:paraId="429CF39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2.5.1.1 Fortalecimiento del acceso al capital, al financiamiento y a la inversión pública y privada dirigidos a ciencia, tecnología e innovación</w:t>
            </w:r>
          </w:p>
        </w:tc>
        <w:tc>
          <w:tcPr>
            <w:tcW w:w="736" w:type="pct"/>
            <w:vMerge/>
            <w:tcBorders>
              <w:top w:val="nil"/>
              <w:left w:val="single" w:sz="8" w:space="0" w:color="434343"/>
              <w:bottom w:val="single" w:sz="8" w:space="0" w:color="434343"/>
              <w:right w:val="single" w:sz="8" w:space="0" w:color="434343"/>
            </w:tcBorders>
            <w:vAlign w:val="center"/>
            <w:hideMark/>
          </w:tcPr>
          <w:p w14:paraId="1A3A6E1B" w14:textId="77777777" w:rsidR="00794EB9" w:rsidRPr="00794EB9" w:rsidRDefault="00794EB9" w:rsidP="00C307FB">
            <w:pPr>
              <w:rPr>
                <w:rFonts w:ascii="Arial" w:hAnsi="Arial" w:cs="Arial"/>
                <w:b/>
                <w:bCs/>
                <w:sz w:val="22"/>
                <w:szCs w:val="22"/>
                <w:lang w:eastAsia="es-MX"/>
              </w:rPr>
            </w:pPr>
          </w:p>
        </w:tc>
      </w:tr>
      <w:tr w:rsidR="00794EB9" w:rsidRPr="00794EB9" w14:paraId="77AD1FDD"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3DE1D20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Desarrollo rural sust</w:t>
            </w:r>
            <w:r w:rsidRPr="00794EB9">
              <w:rPr>
                <w:rFonts w:ascii="Arial" w:hAnsi="Arial" w:cs="Arial"/>
                <w:sz w:val="22"/>
                <w:szCs w:val="22"/>
                <w:lang w:eastAsia="es-MX"/>
              </w:rPr>
              <w:lastRenderedPageBreak/>
              <w:t>entable</w:t>
            </w:r>
          </w:p>
        </w:tc>
        <w:tc>
          <w:tcPr>
            <w:tcW w:w="541" w:type="pct"/>
            <w:tcBorders>
              <w:top w:val="nil"/>
              <w:left w:val="nil"/>
              <w:bottom w:val="single" w:sz="8" w:space="0" w:color="434343"/>
              <w:right w:val="single" w:sz="8" w:space="0" w:color="434343"/>
            </w:tcBorders>
            <w:shd w:val="clear" w:color="auto" w:fill="auto"/>
            <w:vAlign w:val="center"/>
            <w:hideMark/>
          </w:tcPr>
          <w:p w14:paraId="1B43F6A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Aumentar la productividad y </w:t>
            </w:r>
            <w:r w:rsidRPr="00794EB9">
              <w:rPr>
                <w:rFonts w:ascii="Arial" w:hAnsi="Arial" w:cs="Arial"/>
                <w:sz w:val="22"/>
                <w:szCs w:val="22"/>
                <w:lang w:eastAsia="es-MX"/>
              </w:rPr>
              <w:lastRenderedPageBreak/>
              <w:t>la eficiencia del sector agroalimentario, consolidando un modelo de desarrollo rural sostenible, incluyente y articulado</w:t>
            </w:r>
          </w:p>
        </w:tc>
        <w:tc>
          <w:tcPr>
            <w:tcW w:w="459" w:type="pct"/>
            <w:tcBorders>
              <w:top w:val="nil"/>
              <w:left w:val="nil"/>
              <w:bottom w:val="single" w:sz="8" w:space="0" w:color="434343"/>
              <w:right w:val="single" w:sz="8" w:space="0" w:color="434343"/>
            </w:tcBorders>
            <w:shd w:val="clear" w:color="auto" w:fill="auto"/>
            <w:vAlign w:val="center"/>
            <w:hideMark/>
          </w:tcPr>
          <w:p w14:paraId="1959DB1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Consolidación econó</w:t>
            </w:r>
            <w:r w:rsidRPr="00794EB9">
              <w:rPr>
                <w:rFonts w:ascii="Arial" w:hAnsi="Arial" w:cs="Arial"/>
                <w:sz w:val="22"/>
                <w:szCs w:val="22"/>
                <w:lang w:eastAsia="es-MX"/>
              </w:rPr>
              <w:lastRenderedPageBreak/>
              <w:t>mica de los polos de desarrollo rural</w:t>
            </w:r>
          </w:p>
        </w:tc>
        <w:tc>
          <w:tcPr>
            <w:tcW w:w="686" w:type="pct"/>
            <w:tcBorders>
              <w:top w:val="nil"/>
              <w:left w:val="nil"/>
              <w:bottom w:val="single" w:sz="8" w:space="0" w:color="434343"/>
              <w:right w:val="single" w:sz="8" w:space="0" w:color="434343"/>
            </w:tcBorders>
            <w:shd w:val="clear" w:color="auto" w:fill="auto"/>
            <w:vAlign w:val="center"/>
            <w:hideMark/>
          </w:tcPr>
          <w:p w14:paraId="27365E8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Desarrollar sistemas de producció</w:t>
            </w:r>
            <w:r w:rsidRPr="00794EB9">
              <w:rPr>
                <w:rFonts w:ascii="Arial" w:hAnsi="Arial" w:cs="Arial"/>
                <w:sz w:val="22"/>
                <w:szCs w:val="22"/>
                <w:lang w:eastAsia="es-MX"/>
              </w:rPr>
              <w:lastRenderedPageBreak/>
              <w:t>n y cultivo con enfoque sustentable en los Polos Rurales Agrícolas</w:t>
            </w:r>
          </w:p>
        </w:tc>
        <w:tc>
          <w:tcPr>
            <w:tcW w:w="610" w:type="pct"/>
            <w:tcBorders>
              <w:top w:val="nil"/>
              <w:left w:val="single" w:sz="8" w:space="0" w:color="434343"/>
              <w:bottom w:val="single" w:sz="8" w:space="0" w:color="434343"/>
              <w:right w:val="single" w:sz="8" w:space="0" w:color="434343"/>
            </w:tcBorders>
            <w:vAlign w:val="center"/>
          </w:tcPr>
          <w:p w14:paraId="6BD4B60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2: Poner fin al hambre</w:t>
            </w:r>
          </w:p>
        </w:tc>
        <w:tc>
          <w:tcPr>
            <w:tcW w:w="837" w:type="pct"/>
            <w:tcBorders>
              <w:top w:val="nil"/>
              <w:left w:val="single" w:sz="8" w:space="0" w:color="434343"/>
              <w:bottom w:val="single" w:sz="8" w:space="0" w:color="434343"/>
              <w:right w:val="single" w:sz="8" w:space="0" w:color="434343"/>
            </w:tcBorders>
            <w:vAlign w:val="center"/>
          </w:tcPr>
          <w:p w14:paraId="5A58471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OBJETIVO 2.4.1 Consolidar un sector </w:t>
            </w:r>
            <w:r w:rsidRPr="00794EB9">
              <w:rPr>
                <w:rFonts w:ascii="Arial" w:hAnsi="Arial" w:cs="Arial"/>
                <w:b/>
                <w:bCs/>
                <w:sz w:val="22"/>
                <w:szCs w:val="22"/>
                <w:lang w:eastAsia="es-MX"/>
              </w:rPr>
              <w:lastRenderedPageBreak/>
              <w:t>agroalimentario productivo, que garantice la seguridad alimentaria en el estado</w:t>
            </w:r>
          </w:p>
        </w:tc>
        <w:tc>
          <w:tcPr>
            <w:tcW w:w="762" w:type="pct"/>
            <w:tcBorders>
              <w:top w:val="nil"/>
              <w:left w:val="single" w:sz="8" w:space="0" w:color="434343"/>
              <w:bottom w:val="single" w:sz="8" w:space="0" w:color="434343"/>
              <w:right w:val="single" w:sz="8" w:space="0" w:color="434343"/>
            </w:tcBorders>
            <w:vAlign w:val="center"/>
          </w:tcPr>
          <w:p w14:paraId="07AB424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2.4.1.4 Fortalecimiento de la </w:t>
            </w:r>
            <w:r w:rsidRPr="00794EB9">
              <w:rPr>
                <w:rFonts w:ascii="Arial" w:hAnsi="Arial" w:cs="Arial"/>
                <w:b/>
                <w:bCs/>
                <w:sz w:val="22"/>
                <w:szCs w:val="22"/>
                <w:lang w:eastAsia="es-MX"/>
              </w:rPr>
              <w:lastRenderedPageBreak/>
              <w:t>productividad y la autosuficiencia de la sociedad rural con igualdad de oportunidades para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50195A61" w14:textId="77777777" w:rsidR="00794EB9" w:rsidRPr="00794EB9" w:rsidRDefault="00794EB9" w:rsidP="00C307FB">
            <w:pPr>
              <w:rPr>
                <w:rFonts w:ascii="Arial" w:hAnsi="Arial" w:cs="Arial"/>
                <w:b/>
                <w:bCs/>
                <w:sz w:val="22"/>
                <w:szCs w:val="22"/>
                <w:lang w:eastAsia="es-MX"/>
              </w:rPr>
            </w:pPr>
          </w:p>
        </w:tc>
      </w:tr>
      <w:tr w:rsidR="00794EB9" w:rsidRPr="00794EB9" w14:paraId="3D0A47A3"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7AC5F5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Economía formal y generadora de empleos de calidad</w:t>
            </w:r>
          </w:p>
        </w:tc>
        <w:tc>
          <w:tcPr>
            <w:tcW w:w="541" w:type="pct"/>
            <w:tcBorders>
              <w:top w:val="nil"/>
              <w:left w:val="nil"/>
              <w:bottom w:val="single" w:sz="8" w:space="0" w:color="434343"/>
              <w:right w:val="single" w:sz="8" w:space="0" w:color="434343"/>
            </w:tcBorders>
            <w:shd w:val="clear" w:color="auto" w:fill="auto"/>
            <w:vAlign w:val="center"/>
            <w:hideMark/>
          </w:tcPr>
          <w:p w14:paraId="3AD16DF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los parques y zonas industriales a favor de la creación de empleos formales de calidad, inclusivos y de la equidad salarial</w:t>
            </w:r>
          </w:p>
        </w:tc>
        <w:tc>
          <w:tcPr>
            <w:tcW w:w="459" w:type="pct"/>
            <w:tcBorders>
              <w:top w:val="nil"/>
              <w:left w:val="nil"/>
              <w:bottom w:val="single" w:sz="8" w:space="0" w:color="434343"/>
              <w:right w:val="single" w:sz="8" w:space="0" w:color="434343"/>
            </w:tcBorders>
            <w:shd w:val="clear" w:color="auto" w:fill="auto"/>
            <w:vAlign w:val="center"/>
            <w:hideMark/>
          </w:tcPr>
          <w:p w14:paraId="0F7521E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Consolidación de parques y zonas industriales</w:t>
            </w:r>
          </w:p>
        </w:tc>
        <w:tc>
          <w:tcPr>
            <w:tcW w:w="686" w:type="pct"/>
            <w:tcBorders>
              <w:top w:val="nil"/>
              <w:left w:val="nil"/>
              <w:bottom w:val="single" w:sz="8" w:space="0" w:color="434343"/>
              <w:right w:val="single" w:sz="8" w:space="0" w:color="434343"/>
            </w:tcBorders>
            <w:shd w:val="clear" w:color="auto" w:fill="auto"/>
            <w:vAlign w:val="center"/>
            <w:hideMark/>
          </w:tcPr>
          <w:p w14:paraId="1BA388F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Atraer y fomentar la instalación de empresas intensivas en mano de obra en polígonos de desarrollo y zonas industriales de la ciudad</w:t>
            </w:r>
          </w:p>
        </w:tc>
        <w:tc>
          <w:tcPr>
            <w:tcW w:w="610" w:type="pct"/>
            <w:tcBorders>
              <w:top w:val="nil"/>
              <w:left w:val="single" w:sz="8" w:space="0" w:color="434343"/>
              <w:bottom w:val="single" w:sz="8" w:space="0" w:color="434343"/>
              <w:right w:val="single" w:sz="8" w:space="0" w:color="434343"/>
            </w:tcBorders>
            <w:vAlign w:val="center"/>
          </w:tcPr>
          <w:p w14:paraId="6BC96B7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9: Construir infraestructuras resilientes, promover la industrialización sostenible y fomentar la innovación</w:t>
            </w:r>
          </w:p>
        </w:tc>
        <w:tc>
          <w:tcPr>
            <w:tcW w:w="837" w:type="pct"/>
            <w:tcBorders>
              <w:top w:val="nil"/>
              <w:left w:val="single" w:sz="8" w:space="0" w:color="434343"/>
              <w:bottom w:val="single" w:sz="8" w:space="0" w:color="434343"/>
              <w:right w:val="single" w:sz="8" w:space="0" w:color="434343"/>
            </w:tcBorders>
            <w:vAlign w:val="center"/>
          </w:tcPr>
          <w:p w14:paraId="292C1C2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2.5.1 Fortalecer el sistema de innovación de Guanajuato y su articulación con las demandas productivas y sociales</w:t>
            </w:r>
          </w:p>
        </w:tc>
        <w:tc>
          <w:tcPr>
            <w:tcW w:w="762" w:type="pct"/>
            <w:tcBorders>
              <w:top w:val="nil"/>
              <w:left w:val="single" w:sz="8" w:space="0" w:color="434343"/>
              <w:bottom w:val="single" w:sz="8" w:space="0" w:color="434343"/>
              <w:right w:val="single" w:sz="8" w:space="0" w:color="434343"/>
            </w:tcBorders>
            <w:vAlign w:val="center"/>
          </w:tcPr>
          <w:p w14:paraId="1C41DED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2.5.1.1 Fortalecimiento del acceso al capital, al financiamiento y a la inversión pública y privada dirigidos a ciencia, tecnología e innovación</w:t>
            </w:r>
          </w:p>
        </w:tc>
        <w:tc>
          <w:tcPr>
            <w:tcW w:w="736" w:type="pct"/>
            <w:vMerge/>
            <w:tcBorders>
              <w:top w:val="nil"/>
              <w:left w:val="single" w:sz="8" w:space="0" w:color="434343"/>
              <w:bottom w:val="single" w:sz="8" w:space="0" w:color="434343"/>
              <w:right w:val="single" w:sz="8" w:space="0" w:color="434343"/>
            </w:tcBorders>
            <w:vAlign w:val="center"/>
            <w:hideMark/>
          </w:tcPr>
          <w:p w14:paraId="260F8912" w14:textId="77777777" w:rsidR="00794EB9" w:rsidRPr="00794EB9" w:rsidRDefault="00794EB9" w:rsidP="00C307FB">
            <w:pPr>
              <w:rPr>
                <w:rFonts w:ascii="Arial" w:hAnsi="Arial" w:cs="Arial"/>
                <w:b/>
                <w:bCs/>
                <w:sz w:val="22"/>
                <w:szCs w:val="22"/>
                <w:lang w:eastAsia="es-MX"/>
              </w:rPr>
            </w:pPr>
          </w:p>
        </w:tc>
      </w:tr>
      <w:tr w:rsidR="00794EB9" w:rsidRPr="00794EB9" w14:paraId="67CC0C21" w14:textId="77777777" w:rsidTr="00C307FB">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E6B18B9"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Educación </w:t>
            </w:r>
            <w:r w:rsidRPr="00794EB9">
              <w:rPr>
                <w:rFonts w:ascii="Arial" w:hAnsi="Arial" w:cs="Arial"/>
                <w:sz w:val="22"/>
                <w:szCs w:val="22"/>
                <w:lang w:eastAsia="es-MX"/>
              </w:rPr>
              <w:lastRenderedPageBreak/>
              <w:t>equitativa, pertinente y de calidad</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DA0493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Promover el aprendi</w:t>
            </w:r>
            <w:r w:rsidRPr="00794EB9">
              <w:rPr>
                <w:rFonts w:ascii="Arial" w:hAnsi="Arial" w:cs="Arial"/>
                <w:sz w:val="22"/>
                <w:szCs w:val="22"/>
                <w:lang w:eastAsia="es-MX"/>
              </w:rPr>
              <w:lastRenderedPageBreak/>
              <w:t>zaje equitativo, pertinente y de calidad a lo largo de la vida</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926E02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Educación oportu</w:t>
            </w:r>
            <w:r w:rsidRPr="00794EB9">
              <w:rPr>
                <w:rFonts w:ascii="Arial" w:hAnsi="Arial" w:cs="Arial"/>
                <w:sz w:val="22"/>
                <w:szCs w:val="22"/>
                <w:lang w:eastAsia="es-MX"/>
              </w:rPr>
              <w:lastRenderedPageBreak/>
              <w:t>na y aprendizaje constante</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371681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Fortalecer los mecanism</w:t>
            </w:r>
            <w:r w:rsidRPr="00794EB9">
              <w:rPr>
                <w:rFonts w:ascii="Arial" w:hAnsi="Arial" w:cs="Arial"/>
                <w:sz w:val="22"/>
                <w:szCs w:val="22"/>
                <w:lang w:eastAsia="es-MX"/>
              </w:rPr>
              <w:lastRenderedPageBreak/>
              <w:t>os de coordinación y colaboración con entidades públicas y privadas para disminuir el analfabetismo y el rezago educativo, además de incrementar el grado promedio de escolaridad</w:t>
            </w:r>
          </w:p>
        </w:tc>
        <w:tc>
          <w:tcPr>
            <w:tcW w:w="610" w:type="pct"/>
            <w:vMerge w:val="restart"/>
            <w:tcBorders>
              <w:top w:val="nil"/>
              <w:left w:val="single" w:sz="8" w:space="0" w:color="434343"/>
              <w:right w:val="single" w:sz="8" w:space="0" w:color="434343"/>
            </w:tcBorders>
            <w:vAlign w:val="center"/>
          </w:tcPr>
          <w:p w14:paraId="20B24DB6"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4: Garantiz</w:t>
            </w:r>
            <w:r w:rsidRPr="00794EB9">
              <w:rPr>
                <w:rFonts w:ascii="Arial" w:hAnsi="Arial" w:cs="Arial"/>
                <w:b/>
                <w:bCs/>
                <w:sz w:val="22"/>
                <w:szCs w:val="22"/>
                <w:lang w:eastAsia="es-MX"/>
              </w:rPr>
              <w:lastRenderedPageBreak/>
              <w:t>ar una educación inclusiva, equitativa y de calidad y promover oportunidades de aprendizaje durante toda la vida para todos</w:t>
            </w:r>
          </w:p>
        </w:tc>
        <w:tc>
          <w:tcPr>
            <w:tcW w:w="837" w:type="pct"/>
            <w:vMerge w:val="restart"/>
            <w:tcBorders>
              <w:top w:val="nil"/>
              <w:left w:val="single" w:sz="8" w:space="0" w:color="434343"/>
              <w:right w:val="single" w:sz="8" w:space="0" w:color="434343"/>
            </w:tcBorders>
            <w:vAlign w:val="center"/>
          </w:tcPr>
          <w:p w14:paraId="735C0A6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1.2.1 Lograr una </w:t>
            </w:r>
            <w:r w:rsidRPr="00794EB9">
              <w:rPr>
                <w:rFonts w:ascii="Arial" w:hAnsi="Arial" w:cs="Arial"/>
                <w:b/>
                <w:bCs/>
                <w:sz w:val="22"/>
                <w:szCs w:val="22"/>
                <w:lang w:eastAsia="es-MX"/>
              </w:rPr>
              <w:lastRenderedPageBreak/>
              <w:t>cobertura universal en la educación obligatoria, mediante un modelo educativo de calidad con diversidad, equidad e igualdad de género que cuente con personal docente capacitado</w:t>
            </w:r>
          </w:p>
          <w:p w14:paraId="2D0899C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y profesionalizado</w:t>
            </w:r>
          </w:p>
        </w:tc>
        <w:tc>
          <w:tcPr>
            <w:tcW w:w="762" w:type="pct"/>
            <w:vMerge w:val="restart"/>
            <w:tcBorders>
              <w:top w:val="nil"/>
              <w:left w:val="single" w:sz="8" w:space="0" w:color="434343"/>
              <w:right w:val="single" w:sz="8" w:space="0" w:color="434343"/>
            </w:tcBorders>
            <w:vAlign w:val="center"/>
          </w:tcPr>
          <w:p w14:paraId="3DFFC77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1.2.1.1 Reducción </w:t>
            </w:r>
            <w:r w:rsidRPr="00794EB9">
              <w:rPr>
                <w:rFonts w:ascii="Arial" w:hAnsi="Arial" w:cs="Arial"/>
                <w:b/>
                <w:bCs/>
                <w:sz w:val="22"/>
                <w:szCs w:val="22"/>
                <w:lang w:eastAsia="es-MX"/>
              </w:rPr>
              <w:lastRenderedPageBreak/>
              <w:t>del rezago educativo en la educación obligatoria</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893590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VM2.7 Impulso Educativo </w:t>
            </w:r>
            <w:r w:rsidRPr="00794EB9">
              <w:rPr>
                <w:rFonts w:ascii="Arial" w:hAnsi="Arial" w:cs="Arial"/>
                <w:b/>
                <w:bCs/>
                <w:sz w:val="22"/>
                <w:szCs w:val="22"/>
                <w:lang w:eastAsia="es-MX"/>
              </w:rPr>
              <w:lastRenderedPageBreak/>
              <w:t xml:space="preserve">y Nuevas Vocaciones </w:t>
            </w:r>
          </w:p>
        </w:tc>
      </w:tr>
      <w:tr w:rsidR="00794EB9" w:rsidRPr="00794EB9" w14:paraId="2E59C806"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19FA47F9"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31A7EA35"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1D0C96D"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1CC09BB"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5B9E0813"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58A8A322"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58872E36"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5504A5CF" w14:textId="77777777" w:rsidR="00794EB9" w:rsidRPr="00794EB9" w:rsidRDefault="00794EB9" w:rsidP="00C307FB">
            <w:pPr>
              <w:rPr>
                <w:rFonts w:ascii="Arial" w:hAnsi="Arial" w:cs="Arial"/>
                <w:b/>
                <w:bCs/>
                <w:sz w:val="22"/>
                <w:szCs w:val="22"/>
                <w:lang w:eastAsia="es-MX"/>
              </w:rPr>
            </w:pPr>
          </w:p>
        </w:tc>
      </w:tr>
      <w:tr w:rsidR="00794EB9" w:rsidRPr="00794EB9" w14:paraId="588E62B0"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55B4F24"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AF8046C"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7CE9619"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B612861"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6956EF45"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472628B2"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1DF40D75"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36B4FE59" w14:textId="77777777" w:rsidR="00794EB9" w:rsidRPr="00794EB9" w:rsidRDefault="00794EB9" w:rsidP="00C307FB">
            <w:pPr>
              <w:rPr>
                <w:rFonts w:ascii="Arial" w:hAnsi="Arial" w:cs="Arial"/>
                <w:b/>
                <w:bCs/>
                <w:sz w:val="22"/>
                <w:szCs w:val="22"/>
                <w:lang w:eastAsia="es-MX"/>
              </w:rPr>
            </w:pPr>
          </w:p>
        </w:tc>
      </w:tr>
      <w:tr w:rsidR="00794EB9" w:rsidRPr="00794EB9" w14:paraId="0FB40E05"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96CE94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541" w:type="pct"/>
            <w:tcBorders>
              <w:top w:val="nil"/>
              <w:left w:val="nil"/>
              <w:bottom w:val="single" w:sz="8" w:space="0" w:color="434343"/>
              <w:right w:val="single" w:sz="8" w:space="0" w:color="434343"/>
            </w:tcBorders>
            <w:shd w:val="clear" w:color="auto" w:fill="auto"/>
            <w:vAlign w:val="center"/>
            <w:hideMark/>
          </w:tcPr>
          <w:p w14:paraId="123E45D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Generar canales de innovación pública y social para el involucramiento efectivo de la ciudadanía y de las juventudes, en el proceso de </w:t>
            </w:r>
            <w:r w:rsidRPr="00794EB9">
              <w:rPr>
                <w:rFonts w:ascii="Arial" w:hAnsi="Arial" w:cs="Arial"/>
                <w:sz w:val="22"/>
                <w:szCs w:val="22"/>
                <w:lang w:eastAsia="es-MX"/>
              </w:rPr>
              <w:lastRenderedPageBreak/>
              <w:t>cambio y en la toma de decisiones de interés colectivo</w:t>
            </w:r>
          </w:p>
        </w:tc>
        <w:tc>
          <w:tcPr>
            <w:tcW w:w="459" w:type="pct"/>
            <w:tcBorders>
              <w:top w:val="nil"/>
              <w:left w:val="nil"/>
              <w:bottom w:val="single" w:sz="8" w:space="0" w:color="434343"/>
              <w:right w:val="single" w:sz="8" w:space="0" w:color="434343"/>
            </w:tcBorders>
            <w:shd w:val="clear" w:color="auto" w:fill="auto"/>
            <w:vAlign w:val="center"/>
            <w:hideMark/>
          </w:tcPr>
          <w:p w14:paraId="7A0A75B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Colaboración abierta para la resolución de problemas locales</w:t>
            </w:r>
          </w:p>
        </w:tc>
        <w:tc>
          <w:tcPr>
            <w:tcW w:w="686" w:type="pct"/>
            <w:tcBorders>
              <w:top w:val="nil"/>
              <w:left w:val="nil"/>
              <w:bottom w:val="single" w:sz="8" w:space="0" w:color="434343"/>
              <w:right w:val="single" w:sz="8" w:space="0" w:color="434343"/>
            </w:tcBorders>
            <w:shd w:val="clear" w:color="auto" w:fill="auto"/>
            <w:vAlign w:val="center"/>
            <w:hideMark/>
          </w:tcPr>
          <w:p w14:paraId="7E53C0A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Fortalecer el laboratorio de innovación pública y social, como un facilitador del proceso de co-creación en proyectos de colaboración con grupos de la </w:t>
            </w:r>
            <w:r w:rsidRPr="00794EB9">
              <w:rPr>
                <w:rFonts w:ascii="Arial" w:hAnsi="Arial" w:cs="Arial"/>
                <w:sz w:val="22"/>
                <w:szCs w:val="22"/>
                <w:lang w:eastAsia="es-MX"/>
              </w:rPr>
              <w:lastRenderedPageBreak/>
              <w:t>sociedad civil</w:t>
            </w:r>
          </w:p>
        </w:tc>
        <w:tc>
          <w:tcPr>
            <w:tcW w:w="610" w:type="pct"/>
            <w:tcBorders>
              <w:top w:val="nil"/>
              <w:left w:val="single" w:sz="8" w:space="0" w:color="434343"/>
              <w:bottom w:val="single" w:sz="8" w:space="0" w:color="434343"/>
              <w:right w:val="single" w:sz="8" w:space="0" w:color="434343"/>
            </w:tcBorders>
            <w:vAlign w:val="center"/>
          </w:tcPr>
          <w:p w14:paraId="6E13B82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17: Revitalizar la Alianza Mundial para el Desarrollo Sostenible</w:t>
            </w:r>
          </w:p>
        </w:tc>
        <w:tc>
          <w:tcPr>
            <w:tcW w:w="837" w:type="pct"/>
            <w:tcBorders>
              <w:top w:val="nil"/>
              <w:left w:val="single" w:sz="8" w:space="0" w:color="434343"/>
              <w:bottom w:val="single" w:sz="8" w:space="0" w:color="434343"/>
              <w:right w:val="single" w:sz="8" w:space="0" w:color="434343"/>
            </w:tcBorders>
            <w:vAlign w:val="center"/>
          </w:tcPr>
          <w:p w14:paraId="058C0A5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2.5.1 Fortalecer el sistema de innovación de Guanajuato y su articulación con las demandas productivas y sociales</w:t>
            </w:r>
          </w:p>
        </w:tc>
        <w:tc>
          <w:tcPr>
            <w:tcW w:w="762" w:type="pct"/>
            <w:tcBorders>
              <w:top w:val="nil"/>
              <w:left w:val="single" w:sz="8" w:space="0" w:color="434343"/>
              <w:bottom w:val="single" w:sz="8" w:space="0" w:color="434343"/>
              <w:right w:val="single" w:sz="8" w:space="0" w:color="434343"/>
            </w:tcBorders>
            <w:vAlign w:val="center"/>
          </w:tcPr>
          <w:p w14:paraId="68751CD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2.5.1.3 Fortalecimiento de los esquemas de colaboración para la innovación abierta, la co-creación, el co-diseño y el trabajo en redes entre el sector académico, privado, gubername</w:t>
            </w:r>
            <w:r w:rsidRPr="00794EB9">
              <w:rPr>
                <w:rFonts w:ascii="Arial" w:hAnsi="Arial" w:cs="Arial"/>
                <w:b/>
                <w:bCs/>
                <w:sz w:val="22"/>
                <w:szCs w:val="22"/>
                <w:lang w:eastAsia="es-MX"/>
              </w:rPr>
              <w:lastRenderedPageBreak/>
              <w:t>ntal y la sociedad</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FE06C9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VM2.8 Innovación y Emprendimiento</w:t>
            </w:r>
          </w:p>
        </w:tc>
      </w:tr>
      <w:tr w:rsidR="00794EB9" w:rsidRPr="00794EB9" w14:paraId="5E6BE9B8"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098A8BD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Entorno para el emprendimiento y la innovación</w:t>
            </w:r>
          </w:p>
        </w:tc>
        <w:tc>
          <w:tcPr>
            <w:tcW w:w="541" w:type="pct"/>
            <w:tcBorders>
              <w:top w:val="nil"/>
              <w:left w:val="nil"/>
              <w:bottom w:val="single" w:sz="8" w:space="0" w:color="434343"/>
              <w:right w:val="single" w:sz="8" w:space="0" w:color="434343"/>
            </w:tcBorders>
            <w:shd w:val="clear" w:color="auto" w:fill="auto"/>
            <w:vAlign w:val="center"/>
            <w:hideMark/>
          </w:tcPr>
          <w:p w14:paraId="23238F8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Fomentar la inversión en la innovación, el desarrollo tecnológico y el emprendimiento como ente principal de competitividad</w:t>
            </w:r>
          </w:p>
        </w:tc>
        <w:tc>
          <w:tcPr>
            <w:tcW w:w="459" w:type="pct"/>
            <w:tcBorders>
              <w:top w:val="nil"/>
              <w:left w:val="nil"/>
              <w:bottom w:val="single" w:sz="8" w:space="0" w:color="434343"/>
              <w:right w:val="single" w:sz="8" w:space="0" w:color="434343"/>
            </w:tcBorders>
            <w:shd w:val="clear" w:color="auto" w:fill="auto"/>
            <w:vAlign w:val="center"/>
            <w:hideMark/>
          </w:tcPr>
          <w:p w14:paraId="2645C80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Fortalecimiento del ecosistema emprendedor</w:t>
            </w:r>
          </w:p>
        </w:tc>
        <w:tc>
          <w:tcPr>
            <w:tcW w:w="686" w:type="pct"/>
            <w:tcBorders>
              <w:top w:val="nil"/>
              <w:left w:val="nil"/>
              <w:bottom w:val="single" w:sz="8" w:space="0" w:color="434343"/>
              <w:right w:val="single" w:sz="8" w:space="0" w:color="434343"/>
            </w:tcBorders>
            <w:shd w:val="clear" w:color="auto" w:fill="auto"/>
            <w:vAlign w:val="center"/>
            <w:hideMark/>
          </w:tcPr>
          <w:p w14:paraId="5E1828F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Apoyar y acompañar el proceso de emprendimiento desde las fases de ideación, contenido y prototipado hasta las fases de vinculación e incubación, con énfasis en las juventudes </w:t>
            </w:r>
          </w:p>
        </w:tc>
        <w:tc>
          <w:tcPr>
            <w:tcW w:w="610" w:type="pct"/>
            <w:tcBorders>
              <w:top w:val="nil"/>
              <w:left w:val="single" w:sz="8" w:space="0" w:color="434343"/>
              <w:bottom w:val="single" w:sz="8" w:space="0" w:color="434343"/>
              <w:right w:val="single" w:sz="8" w:space="0" w:color="434343"/>
            </w:tcBorders>
            <w:vAlign w:val="center"/>
          </w:tcPr>
          <w:p w14:paraId="5FE82C7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68FF064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2.5.1 Fortalecer el sistema de innovación de Guanajuato y su articulación con las demandas productivas y sociales</w:t>
            </w:r>
          </w:p>
        </w:tc>
        <w:tc>
          <w:tcPr>
            <w:tcW w:w="762" w:type="pct"/>
            <w:tcBorders>
              <w:top w:val="nil"/>
              <w:left w:val="single" w:sz="8" w:space="0" w:color="434343"/>
              <w:bottom w:val="single" w:sz="8" w:space="0" w:color="434343"/>
              <w:right w:val="single" w:sz="8" w:space="0" w:color="434343"/>
            </w:tcBorders>
            <w:vAlign w:val="center"/>
          </w:tcPr>
          <w:p w14:paraId="1A9FE5D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2.5.1.1 Fortalecimiento del acceso al capital, al financiamiento y a la inversión pública y privada dirigidos a ciencia, tecnología e innovación</w:t>
            </w:r>
          </w:p>
        </w:tc>
        <w:tc>
          <w:tcPr>
            <w:tcW w:w="736" w:type="pct"/>
            <w:vMerge/>
            <w:tcBorders>
              <w:top w:val="nil"/>
              <w:left w:val="single" w:sz="8" w:space="0" w:color="434343"/>
              <w:bottom w:val="single" w:sz="8" w:space="0" w:color="434343"/>
              <w:right w:val="single" w:sz="8" w:space="0" w:color="434343"/>
            </w:tcBorders>
            <w:vAlign w:val="center"/>
            <w:hideMark/>
          </w:tcPr>
          <w:p w14:paraId="03408CF3" w14:textId="77777777" w:rsidR="00794EB9" w:rsidRPr="00794EB9" w:rsidRDefault="00794EB9" w:rsidP="00C307FB">
            <w:pPr>
              <w:rPr>
                <w:rFonts w:ascii="Arial" w:hAnsi="Arial" w:cs="Arial"/>
                <w:b/>
                <w:bCs/>
                <w:sz w:val="22"/>
                <w:szCs w:val="22"/>
                <w:lang w:eastAsia="es-MX"/>
              </w:rPr>
            </w:pPr>
          </w:p>
        </w:tc>
      </w:tr>
      <w:tr w:rsidR="00794EB9" w:rsidRPr="00794EB9" w14:paraId="5F317489"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6CF20E7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1D21B4D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3122516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0C9A8F7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nil"/>
            </w:tcBorders>
            <w:shd w:val="clear" w:color="auto" w:fill="D9D9D9" w:themeFill="background1" w:themeFillShade="D9"/>
            <w:vAlign w:val="center"/>
          </w:tcPr>
          <w:p w14:paraId="207EFCBC" w14:textId="77777777" w:rsidR="00794EB9" w:rsidRPr="00794EB9" w:rsidRDefault="00794EB9" w:rsidP="00C307FB">
            <w:pPr>
              <w:rPr>
                <w:rFonts w:ascii="Arial" w:hAnsi="Arial" w:cs="Arial"/>
                <w:b/>
                <w:bCs/>
                <w:sz w:val="22"/>
                <w:szCs w:val="22"/>
                <w:lang w:eastAsia="es-MX"/>
              </w:rPr>
            </w:pPr>
          </w:p>
        </w:tc>
        <w:tc>
          <w:tcPr>
            <w:tcW w:w="837" w:type="pct"/>
            <w:tcBorders>
              <w:top w:val="nil"/>
              <w:left w:val="nil"/>
              <w:bottom w:val="single" w:sz="8" w:space="0" w:color="434343"/>
              <w:right w:val="nil"/>
            </w:tcBorders>
            <w:shd w:val="clear" w:color="auto" w:fill="D9D9D9" w:themeFill="background1" w:themeFillShade="D9"/>
            <w:vAlign w:val="center"/>
          </w:tcPr>
          <w:p w14:paraId="42B281BA" w14:textId="77777777" w:rsidR="00794EB9" w:rsidRPr="00794EB9" w:rsidRDefault="00794EB9" w:rsidP="00C307FB">
            <w:pPr>
              <w:rPr>
                <w:rFonts w:ascii="Arial" w:hAnsi="Arial" w:cs="Arial"/>
                <w:b/>
                <w:bCs/>
                <w:sz w:val="22"/>
                <w:szCs w:val="22"/>
                <w:lang w:eastAsia="es-MX"/>
              </w:rPr>
            </w:pPr>
          </w:p>
        </w:tc>
        <w:tc>
          <w:tcPr>
            <w:tcW w:w="762" w:type="pct"/>
            <w:tcBorders>
              <w:top w:val="nil"/>
              <w:left w:val="nil"/>
              <w:bottom w:val="single" w:sz="8" w:space="0" w:color="434343"/>
              <w:right w:val="nil"/>
            </w:tcBorders>
            <w:shd w:val="clear" w:color="auto" w:fill="D9D9D9" w:themeFill="background1" w:themeFillShade="D9"/>
            <w:vAlign w:val="center"/>
          </w:tcPr>
          <w:p w14:paraId="552796B5" w14:textId="77777777" w:rsidR="00794EB9" w:rsidRPr="00794EB9" w:rsidRDefault="00794EB9" w:rsidP="00C307FB">
            <w:pPr>
              <w:rPr>
                <w:rFonts w:ascii="Arial" w:hAnsi="Arial" w:cs="Arial"/>
                <w:b/>
                <w:bCs/>
                <w:sz w:val="22"/>
                <w:szCs w:val="22"/>
                <w:lang w:eastAsia="es-MX"/>
              </w:rPr>
            </w:pPr>
          </w:p>
        </w:tc>
        <w:tc>
          <w:tcPr>
            <w:tcW w:w="73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6ACD8B4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 3 León 450</w:t>
            </w:r>
          </w:p>
          <w:p w14:paraId="6A65D1E0" w14:textId="77777777" w:rsidR="00794EB9" w:rsidRPr="00794EB9" w:rsidRDefault="00794EB9" w:rsidP="00C307FB">
            <w:pPr>
              <w:rPr>
                <w:rFonts w:ascii="Arial" w:hAnsi="Arial" w:cs="Arial"/>
                <w:b/>
                <w:bCs/>
                <w:sz w:val="22"/>
                <w:szCs w:val="22"/>
                <w:lang w:eastAsia="es-MX"/>
              </w:rPr>
            </w:pPr>
          </w:p>
        </w:tc>
      </w:tr>
      <w:tr w:rsidR="00794EB9" w:rsidRPr="00794EB9" w14:paraId="1AC5BAFB" w14:textId="77777777" w:rsidTr="00C307FB">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75096C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Planeación, anticipación y gestión estra</w:t>
            </w:r>
            <w:r w:rsidRPr="00794EB9">
              <w:rPr>
                <w:rFonts w:ascii="Arial" w:hAnsi="Arial" w:cs="Arial"/>
                <w:sz w:val="22"/>
                <w:szCs w:val="22"/>
                <w:lang w:eastAsia="es-MX"/>
              </w:rPr>
              <w:lastRenderedPageBreak/>
              <w:t>tégica</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9B4C5B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Consolidar el modelo de planeación y anticipación estratégica </w:t>
            </w:r>
            <w:r w:rsidRPr="00794EB9">
              <w:rPr>
                <w:rFonts w:ascii="Arial" w:hAnsi="Arial" w:cs="Arial"/>
                <w:sz w:val="22"/>
                <w:szCs w:val="22"/>
                <w:lang w:eastAsia="es-MX"/>
              </w:rPr>
              <w:lastRenderedPageBreak/>
              <w:t>"León hacia el futuro", articulando los procesos de inteligencia y gestión del desarrollo local</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712595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Gestión estratégica del territorio municipal</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5F9761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Desarrollar esquemas de coordinación y colaboración con municipios de la </w:t>
            </w:r>
            <w:r w:rsidRPr="00794EB9">
              <w:rPr>
                <w:rFonts w:ascii="Arial" w:hAnsi="Arial" w:cs="Arial"/>
                <w:sz w:val="22"/>
                <w:szCs w:val="22"/>
                <w:lang w:eastAsia="es-MX"/>
              </w:rPr>
              <w:lastRenderedPageBreak/>
              <w:t>región, para la atención de temas de interés regional y metropolitano</w:t>
            </w:r>
          </w:p>
        </w:tc>
        <w:tc>
          <w:tcPr>
            <w:tcW w:w="610" w:type="pct"/>
            <w:vMerge w:val="restart"/>
            <w:tcBorders>
              <w:top w:val="nil"/>
              <w:left w:val="single" w:sz="8" w:space="0" w:color="434343"/>
              <w:right w:val="single" w:sz="8" w:space="0" w:color="434343"/>
            </w:tcBorders>
            <w:vAlign w:val="center"/>
          </w:tcPr>
          <w:p w14:paraId="0E33CE9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11: Lograr que las ciudades sean más inclusivas, seguras, </w:t>
            </w:r>
            <w:r w:rsidRPr="00794EB9">
              <w:rPr>
                <w:rFonts w:ascii="Arial" w:hAnsi="Arial" w:cs="Arial"/>
                <w:b/>
                <w:bCs/>
                <w:sz w:val="22"/>
                <w:szCs w:val="22"/>
                <w:lang w:eastAsia="es-MX"/>
              </w:rPr>
              <w:lastRenderedPageBreak/>
              <w:t>resilientes y sostenibles</w:t>
            </w:r>
          </w:p>
        </w:tc>
        <w:tc>
          <w:tcPr>
            <w:tcW w:w="837" w:type="pct"/>
            <w:vMerge w:val="restart"/>
            <w:tcBorders>
              <w:top w:val="nil"/>
              <w:left w:val="single" w:sz="8" w:space="0" w:color="434343"/>
              <w:right w:val="single" w:sz="8" w:space="0" w:color="434343"/>
            </w:tcBorders>
            <w:vAlign w:val="center"/>
          </w:tcPr>
          <w:p w14:paraId="74881000"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4.1.3 Fortalecer las capacidades institucionales de las administraciones públicas </w:t>
            </w:r>
            <w:r w:rsidRPr="00794EB9">
              <w:rPr>
                <w:rFonts w:ascii="Arial" w:hAnsi="Arial" w:cs="Arial"/>
                <w:b/>
                <w:bCs/>
                <w:sz w:val="22"/>
                <w:szCs w:val="22"/>
                <w:lang w:eastAsia="es-MX"/>
              </w:rPr>
              <w:lastRenderedPageBreak/>
              <w:t>municipales, para que su actuación se conduzca con apego a los procesos de planeación, transparencia y evaluación de resultados que requiere la sociedad</w:t>
            </w:r>
          </w:p>
        </w:tc>
        <w:tc>
          <w:tcPr>
            <w:tcW w:w="762" w:type="pct"/>
            <w:vMerge w:val="restart"/>
            <w:tcBorders>
              <w:top w:val="nil"/>
              <w:left w:val="single" w:sz="8" w:space="0" w:color="434343"/>
              <w:right w:val="single" w:sz="8" w:space="0" w:color="434343"/>
            </w:tcBorders>
            <w:vAlign w:val="center"/>
          </w:tcPr>
          <w:p w14:paraId="22DAB7DA"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4.1.3.6 Promoción del asociacionismo municipal como base para el desarrollo </w:t>
            </w:r>
            <w:r w:rsidRPr="00794EB9">
              <w:rPr>
                <w:rFonts w:ascii="Arial" w:hAnsi="Arial" w:cs="Arial"/>
                <w:b/>
                <w:bCs/>
                <w:sz w:val="22"/>
                <w:szCs w:val="22"/>
                <w:lang w:eastAsia="es-MX"/>
              </w:rPr>
              <w:lastRenderedPageBreak/>
              <w:t>regional y sostenible</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BCBF6B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VM3.1 Visión Metropolitana</w:t>
            </w:r>
          </w:p>
        </w:tc>
      </w:tr>
      <w:tr w:rsidR="00794EB9" w:rsidRPr="00794EB9" w14:paraId="7ED0BCEA"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EA2EE80"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3BA46AA2"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D9BA34B"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6D430F0"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556645F9"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4F9732AE"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76801327"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2A6BA61F" w14:textId="77777777" w:rsidR="00794EB9" w:rsidRPr="00794EB9" w:rsidRDefault="00794EB9" w:rsidP="00C307FB">
            <w:pPr>
              <w:rPr>
                <w:rFonts w:ascii="Arial" w:hAnsi="Arial" w:cs="Arial"/>
                <w:b/>
                <w:bCs/>
                <w:sz w:val="22"/>
                <w:szCs w:val="22"/>
                <w:lang w:eastAsia="es-MX"/>
              </w:rPr>
            </w:pPr>
          </w:p>
        </w:tc>
      </w:tr>
      <w:tr w:rsidR="00794EB9" w:rsidRPr="00794EB9" w14:paraId="5CC394E5" w14:textId="77777777" w:rsidTr="00C307FB">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8EC4C0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C2E700F"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C8DA10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686" w:type="pct"/>
            <w:tcBorders>
              <w:top w:val="nil"/>
              <w:left w:val="nil"/>
              <w:bottom w:val="single" w:sz="8" w:space="0" w:color="434343"/>
              <w:right w:val="single" w:sz="8" w:space="0" w:color="434343"/>
            </w:tcBorders>
            <w:shd w:val="clear" w:color="auto" w:fill="auto"/>
            <w:vAlign w:val="center"/>
            <w:hideMark/>
          </w:tcPr>
          <w:p w14:paraId="1068530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y modernizar la operación del Eje Norte Sur</w:t>
            </w:r>
          </w:p>
        </w:tc>
        <w:tc>
          <w:tcPr>
            <w:tcW w:w="610" w:type="pct"/>
            <w:tcBorders>
              <w:top w:val="nil"/>
              <w:left w:val="single" w:sz="8" w:space="0" w:color="434343"/>
              <w:bottom w:val="single" w:sz="8" w:space="0" w:color="434343"/>
              <w:right w:val="single" w:sz="8" w:space="0" w:color="434343"/>
            </w:tcBorders>
            <w:vAlign w:val="center"/>
          </w:tcPr>
          <w:p w14:paraId="0D451AC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2F209D08"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11350ED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Estrategia 3.2.1.2 Gestión de los asentamientos humanos y centros de población y ordenamiento del territorio bajo los principios de inclusión, equidad y sostenibilidad, considerando las necesidades, condiciones e intereses específicos </w:t>
            </w:r>
            <w:r w:rsidRPr="00794EB9">
              <w:rPr>
                <w:rFonts w:ascii="Arial" w:hAnsi="Arial" w:cs="Arial"/>
                <w:b/>
                <w:bCs/>
                <w:sz w:val="22"/>
                <w:szCs w:val="22"/>
                <w:lang w:eastAsia="es-MX"/>
              </w:rPr>
              <w:lastRenderedPageBreak/>
              <w:t>de mujeres y hombres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B879DF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VM3.2 Infraestructura Visión León 450</w:t>
            </w:r>
          </w:p>
        </w:tc>
      </w:tr>
      <w:tr w:rsidR="00794EB9" w:rsidRPr="00794EB9" w14:paraId="749BBB95"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56340DAD"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5FD82B0"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98B4F71" w14:textId="77777777" w:rsidR="00794EB9" w:rsidRPr="00794EB9" w:rsidRDefault="00794EB9" w:rsidP="00C307FB">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07349B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el sistema vial primario priorizando el cierre de circuitos</w:t>
            </w:r>
          </w:p>
        </w:tc>
        <w:tc>
          <w:tcPr>
            <w:tcW w:w="610" w:type="pct"/>
            <w:vMerge w:val="restart"/>
            <w:tcBorders>
              <w:top w:val="nil"/>
              <w:left w:val="single" w:sz="8" w:space="0" w:color="434343"/>
              <w:right w:val="single" w:sz="8" w:space="0" w:color="434343"/>
            </w:tcBorders>
            <w:vAlign w:val="center"/>
          </w:tcPr>
          <w:p w14:paraId="21DEC227"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vMerge w:val="restart"/>
            <w:tcBorders>
              <w:top w:val="nil"/>
              <w:left w:val="single" w:sz="8" w:space="0" w:color="434343"/>
              <w:right w:val="single" w:sz="8" w:space="0" w:color="434343"/>
            </w:tcBorders>
            <w:vAlign w:val="center"/>
          </w:tcPr>
          <w:p w14:paraId="79CB042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vMerge w:val="restart"/>
            <w:tcBorders>
              <w:top w:val="nil"/>
              <w:left w:val="single" w:sz="8" w:space="0" w:color="434343"/>
              <w:right w:val="single" w:sz="8" w:space="0" w:color="434343"/>
            </w:tcBorders>
            <w:vAlign w:val="center"/>
          </w:tcPr>
          <w:p w14:paraId="7C6ADF32"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2B0186C3" w14:textId="77777777" w:rsidR="00794EB9" w:rsidRPr="00794EB9" w:rsidRDefault="00794EB9" w:rsidP="00C307FB">
            <w:pPr>
              <w:rPr>
                <w:rFonts w:ascii="Arial" w:hAnsi="Arial" w:cs="Arial"/>
                <w:b/>
                <w:bCs/>
                <w:sz w:val="22"/>
                <w:szCs w:val="22"/>
                <w:lang w:eastAsia="es-MX"/>
              </w:rPr>
            </w:pPr>
          </w:p>
        </w:tc>
      </w:tr>
      <w:tr w:rsidR="00794EB9" w:rsidRPr="00794EB9" w14:paraId="3049C328"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15782DAE"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3E7D2B14"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62EA60F3"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4963D71"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22BFF8DC"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39BADD79"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50CF44B8"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3A8C37E9" w14:textId="77777777" w:rsidR="00794EB9" w:rsidRPr="00794EB9" w:rsidRDefault="00794EB9" w:rsidP="00C307FB">
            <w:pPr>
              <w:rPr>
                <w:rFonts w:ascii="Arial" w:hAnsi="Arial" w:cs="Arial"/>
                <w:b/>
                <w:bCs/>
                <w:sz w:val="22"/>
                <w:szCs w:val="22"/>
                <w:lang w:eastAsia="es-MX"/>
              </w:rPr>
            </w:pPr>
          </w:p>
        </w:tc>
      </w:tr>
      <w:tr w:rsidR="00794EB9" w:rsidRPr="00794EB9" w14:paraId="5C389784"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18D0A362"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718B5E1"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A0632F6"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ADDC003"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381C1938"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290042ED"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0A143FD0"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45E0CD81" w14:textId="77777777" w:rsidR="00794EB9" w:rsidRPr="00794EB9" w:rsidRDefault="00794EB9" w:rsidP="00C307FB">
            <w:pPr>
              <w:rPr>
                <w:rFonts w:ascii="Arial" w:hAnsi="Arial" w:cs="Arial"/>
                <w:b/>
                <w:bCs/>
                <w:sz w:val="22"/>
                <w:szCs w:val="22"/>
                <w:lang w:eastAsia="es-MX"/>
              </w:rPr>
            </w:pPr>
          </w:p>
        </w:tc>
      </w:tr>
      <w:tr w:rsidR="00794EB9" w:rsidRPr="00794EB9" w14:paraId="7A44CD27"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2199200"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A02C4D2"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47457652"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ED903F3"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76796B26"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2B1083E5"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33A0C208"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39407E94" w14:textId="77777777" w:rsidR="00794EB9" w:rsidRPr="00794EB9" w:rsidRDefault="00794EB9" w:rsidP="00C307FB">
            <w:pPr>
              <w:rPr>
                <w:rFonts w:ascii="Arial" w:hAnsi="Arial" w:cs="Arial"/>
                <w:b/>
                <w:bCs/>
                <w:sz w:val="22"/>
                <w:szCs w:val="22"/>
                <w:lang w:eastAsia="es-MX"/>
              </w:rPr>
            </w:pPr>
          </w:p>
        </w:tc>
      </w:tr>
      <w:tr w:rsidR="00794EB9" w:rsidRPr="00794EB9" w14:paraId="40CA78C2"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3C7F45C2"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9A3EF3A"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11D766A"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2547B2E"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7E064FCD"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53305F3D"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01C289FF"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1F349F28" w14:textId="77777777" w:rsidR="00794EB9" w:rsidRPr="00794EB9" w:rsidRDefault="00794EB9" w:rsidP="00C307FB">
            <w:pPr>
              <w:rPr>
                <w:rFonts w:ascii="Arial" w:hAnsi="Arial" w:cs="Arial"/>
                <w:b/>
                <w:bCs/>
                <w:sz w:val="22"/>
                <w:szCs w:val="22"/>
                <w:lang w:eastAsia="es-MX"/>
              </w:rPr>
            </w:pPr>
          </w:p>
        </w:tc>
      </w:tr>
      <w:tr w:rsidR="00794EB9" w:rsidRPr="00794EB9" w14:paraId="795E2A5A" w14:textId="77777777" w:rsidTr="00C307FB">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32876FF0"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0DE0C47"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3189BB36" w14:textId="77777777" w:rsidR="00794EB9" w:rsidRPr="00794EB9" w:rsidRDefault="00794EB9" w:rsidP="00C307FB">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BDFE209" w14:textId="77777777" w:rsidR="00794EB9" w:rsidRPr="00794EB9" w:rsidRDefault="00794EB9" w:rsidP="00C307FB">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26EF1776" w14:textId="77777777" w:rsidR="00794EB9" w:rsidRPr="00794EB9" w:rsidRDefault="00794EB9" w:rsidP="00C307FB">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3D63D971" w14:textId="77777777" w:rsidR="00794EB9" w:rsidRPr="00794EB9" w:rsidRDefault="00794EB9" w:rsidP="00C307FB">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3A999A25" w14:textId="77777777" w:rsidR="00794EB9" w:rsidRPr="00794EB9" w:rsidRDefault="00794EB9" w:rsidP="00C307FB">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31BB4BF8" w14:textId="77777777" w:rsidR="00794EB9" w:rsidRPr="00794EB9" w:rsidRDefault="00794EB9" w:rsidP="00C307FB">
            <w:pPr>
              <w:rPr>
                <w:rFonts w:ascii="Arial" w:hAnsi="Arial" w:cs="Arial"/>
                <w:b/>
                <w:bCs/>
                <w:sz w:val="22"/>
                <w:szCs w:val="22"/>
                <w:lang w:eastAsia="es-MX"/>
              </w:rPr>
            </w:pPr>
          </w:p>
        </w:tc>
      </w:tr>
      <w:tr w:rsidR="00794EB9" w:rsidRPr="00794EB9" w14:paraId="5E8A20CE"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2C8BC6EB"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95AE18B"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E8B3F80"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3F0FFF92"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y modernizar la operación del Eje Norte Sur</w:t>
            </w:r>
          </w:p>
        </w:tc>
        <w:tc>
          <w:tcPr>
            <w:tcW w:w="610" w:type="pct"/>
            <w:tcBorders>
              <w:top w:val="nil"/>
              <w:left w:val="single" w:sz="8" w:space="0" w:color="434343"/>
              <w:bottom w:val="single" w:sz="8" w:space="0" w:color="434343"/>
              <w:right w:val="single" w:sz="8" w:space="0" w:color="434343"/>
            </w:tcBorders>
            <w:vAlign w:val="center"/>
          </w:tcPr>
          <w:p w14:paraId="63CC576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w:t>
            </w:r>
            <w:r w:rsidRPr="00794EB9">
              <w:rPr>
                <w:rFonts w:ascii="Arial" w:hAnsi="Arial" w:cs="Arial"/>
                <w:b/>
                <w:bCs/>
                <w:sz w:val="22"/>
                <w:szCs w:val="22"/>
                <w:lang w:eastAsia="es-MX"/>
              </w:rPr>
              <w:lastRenderedPageBreak/>
              <w:t>es y sostenibles</w:t>
            </w:r>
          </w:p>
        </w:tc>
        <w:tc>
          <w:tcPr>
            <w:tcW w:w="837" w:type="pct"/>
            <w:tcBorders>
              <w:top w:val="nil"/>
              <w:left w:val="single" w:sz="8" w:space="0" w:color="434343"/>
              <w:bottom w:val="single" w:sz="8" w:space="0" w:color="434343"/>
              <w:right w:val="single" w:sz="8" w:space="0" w:color="434343"/>
            </w:tcBorders>
            <w:vAlign w:val="center"/>
          </w:tcPr>
          <w:p w14:paraId="31431D8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3.2.1 Lograr una administración sostenible del territorio, que impulse el desarrollo de </w:t>
            </w:r>
            <w:r w:rsidRPr="00794EB9">
              <w:rPr>
                <w:rFonts w:ascii="Arial" w:hAnsi="Arial" w:cs="Arial"/>
                <w:b/>
                <w:bCs/>
                <w:sz w:val="22"/>
                <w:szCs w:val="22"/>
                <w:lang w:eastAsia="es-MX"/>
              </w:rPr>
              <w:lastRenderedPageBreak/>
              <w:t>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76D0CCEF"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Estrategia 3.2.1.2 Gestión de los asentamientos humanos y centros de población y ordenamie</w:t>
            </w:r>
            <w:r w:rsidRPr="00794EB9">
              <w:rPr>
                <w:rFonts w:ascii="Arial" w:hAnsi="Arial" w:cs="Arial"/>
                <w:b/>
                <w:bCs/>
                <w:sz w:val="22"/>
                <w:szCs w:val="22"/>
                <w:lang w:eastAsia="es-MX"/>
              </w:rPr>
              <w:lastRenderedPageBreak/>
              <w:t>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4352E78F" w14:textId="77777777" w:rsidR="00794EB9" w:rsidRPr="00794EB9" w:rsidRDefault="00794EB9" w:rsidP="00C307FB">
            <w:pPr>
              <w:rPr>
                <w:rFonts w:ascii="Arial" w:hAnsi="Arial" w:cs="Arial"/>
                <w:b/>
                <w:bCs/>
                <w:sz w:val="22"/>
                <w:szCs w:val="22"/>
                <w:lang w:eastAsia="es-MX"/>
              </w:rPr>
            </w:pPr>
          </w:p>
        </w:tc>
      </w:tr>
      <w:tr w:rsidR="00794EB9" w:rsidRPr="00794EB9" w14:paraId="02F41F5E" w14:textId="77777777" w:rsidTr="00C307FB">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74196017" w14:textId="77777777" w:rsidR="00794EB9" w:rsidRPr="00794EB9" w:rsidRDefault="00794EB9" w:rsidP="00C307FB">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C8849B8" w14:textId="77777777" w:rsidR="00794EB9" w:rsidRPr="00794EB9" w:rsidRDefault="00794EB9" w:rsidP="00C307FB">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6380D8F4" w14:textId="77777777" w:rsidR="00794EB9" w:rsidRPr="00794EB9" w:rsidRDefault="00794EB9" w:rsidP="00C307FB">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611002E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el sistema vial primario priorizando el cierre de circuitos</w:t>
            </w:r>
          </w:p>
        </w:tc>
        <w:tc>
          <w:tcPr>
            <w:tcW w:w="610" w:type="pct"/>
            <w:tcBorders>
              <w:top w:val="nil"/>
              <w:left w:val="single" w:sz="8" w:space="0" w:color="434343"/>
              <w:bottom w:val="single" w:sz="8" w:space="0" w:color="434343"/>
              <w:right w:val="single" w:sz="8" w:space="0" w:color="434343"/>
            </w:tcBorders>
            <w:vAlign w:val="center"/>
          </w:tcPr>
          <w:p w14:paraId="3E4D025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2B60491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27E167C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Estrategia 3.2.1.2 Gestión de los asentamientos humanos y centros de población y ordenamiento del territorio bajo los principios de inclusión, equidad y sostenibilidad, considerando las necesidades, </w:t>
            </w:r>
            <w:r w:rsidRPr="00794EB9">
              <w:rPr>
                <w:rFonts w:ascii="Arial" w:hAnsi="Arial" w:cs="Arial"/>
                <w:b/>
                <w:bCs/>
                <w:sz w:val="22"/>
                <w:szCs w:val="22"/>
                <w:lang w:eastAsia="es-MX"/>
              </w:rPr>
              <w:lastRenderedPageBreak/>
              <w:t>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0D57F8E5" w14:textId="77777777" w:rsidR="00794EB9" w:rsidRPr="00794EB9" w:rsidRDefault="00794EB9" w:rsidP="00C307FB">
            <w:pPr>
              <w:rPr>
                <w:rFonts w:ascii="Arial" w:hAnsi="Arial" w:cs="Arial"/>
                <w:b/>
                <w:bCs/>
                <w:sz w:val="22"/>
                <w:szCs w:val="22"/>
                <w:lang w:eastAsia="es-MX"/>
              </w:rPr>
            </w:pPr>
          </w:p>
        </w:tc>
      </w:tr>
      <w:tr w:rsidR="00794EB9" w:rsidRPr="00794EB9" w14:paraId="03BA0CB6"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A64192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Modelo urbano integrador</w:t>
            </w:r>
          </w:p>
        </w:tc>
        <w:tc>
          <w:tcPr>
            <w:tcW w:w="541" w:type="pct"/>
            <w:tcBorders>
              <w:top w:val="nil"/>
              <w:left w:val="nil"/>
              <w:bottom w:val="single" w:sz="8" w:space="0" w:color="434343"/>
              <w:right w:val="single" w:sz="8" w:space="0" w:color="434343"/>
            </w:tcBorders>
            <w:shd w:val="clear" w:color="auto" w:fill="auto"/>
            <w:vAlign w:val="center"/>
            <w:hideMark/>
          </w:tcPr>
          <w:p w14:paraId="1D253234"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infraestructura verde</w:t>
            </w:r>
          </w:p>
        </w:tc>
        <w:tc>
          <w:tcPr>
            <w:tcW w:w="459" w:type="pct"/>
            <w:tcBorders>
              <w:top w:val="nil"/>
              <w:left w:val="nil"/>
              <w:bottom w:val="single" w:sz="8" w:space="0" w:color="434343"/>
              <w:right w:val="single" w:sz="8" w:space="0" w:color="434343"/>
            </w:tcBorders>
            <w:shd w:val="clear" w:color="auto" w:fill="auto"/>
            <w:vAlign w:val="center"/>
            <w:hideMark/>
          </w:tcPr>
          <w:p w14:paraId="3703C13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br/>
              <w:t>Densificación y consolidación urbana</w:t>
            </w:r>
          </w:p>
        </w:tc>
        <w:tc>
          <w:tcPr>
            <w:tcW w:w="686" w:type="pct"/>
            <w:tcBorders>
              <w:top w:val="nil"/>
              <w:left w:val="nil"/>
              <w:bottom w:val="single" w:sz="8" w:space="0" w:color="434343"/>
              <w:right w:val="single" w:sz="8" w:space="0" w:color="434343"/>
            </w:tcBorders>
            <w:shd w:val="clear" w:color="auto" w:fill="auto"/>
            <w:vAlign w:val="center"/>
            <w:hideMark/>
          </w:tcPr>
          <w:p w14:paraId="261944E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los distritos urbanos y generar centralidades con equipamiento, servicios públicos y usos de suelo mixtos</w:t>
            </w:r>
          </w:p>
        </w:tc>
        <w:tc>
          <w:tcPr>
            <w:tcW w:w="610" w:type="pct"/>
            <w:tcBorders>
              <w:top w:val="nil"/>
              <w:left w:val="single" w:sz="8" w:space="0" w:color="434343"/>
              <w:bottom w:val="single" w:sz="8" w:space="0" w:color="434343"/>
              <w:right w:val="single" w:sz="8" w:space="0" w:color="434343"/>
            </w:tcBorders>
            <w:vAlign w:val="center"/>
          </w:tcPr>
          <w:p w14:paraId="3274786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393AF8C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2665E3F3"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2DE6A0F8" w14:textId="77777777" w:rsidR="00794EB9" w:rsidRPr="00794EB9" w:rsidRDefault="00794EB9" w:rsidP="00C307FB">
            <w:pPr>
              <w:rPr>
                <w:rFonts w:ascii="Arial" w:hAnsi="Arial" w:cs="Arial"/>
                <w:b/>
                <w:bCs/>
                <w:sz w:val="22"/>
                <w:szCs w:val="22"/>
                <w:lang w:eastAsia="es-MX"/>
              </w:rPr>
            </w:pPr>
          </w:p>
        </w:tc>
      </w:tr>
      <w:tr w:rsidR="00794EB9" w:rsidRPr="00794EB9" w14:paraId="3CF9970A"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386419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Recreación accesible y de </w:t>
            </w:r>
            <w:r w:rsidRPr="00794EB9">
              <w:rPr>
                <w:rFonts w:ascii="Arial" w:hAnsi="Arial" w:cs="Arial"/>
                <w:sz w:val="22"/>
                <w:szCs w:val="22"/>
                <w:lang w:eastAsia="es-MX"/>
              </w:rPr>
              <w:lastRenderedPageBreak/>
              <w:t>calidad</w:t>
            </w:r>
          </w:p>
        </w:tc>
        <w:tc>
          <w:tcPr>
            <w:tcW w:w="541" w:type="pct"/>
            <w:tcBorders>
              <w:top w:val="nil"/>
              <w:left w:val="nil"/>
              <w:bottom w:val="single" w:sz="8" w:space="0" w:color="434343"/>
              <w:right w:val="single" w:sz="8" w:space="0" w:color="434343"/>
            </w:tcBorders>
            <w:shd w:val="clear" w:color="auto" w:fill="auto"/>
            <w:vAlign w:val="center"/>
            <w:hideMark/>
          </w:tcPr>
          <w:p w14:paraId="208EFC6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Ampliar la oferta de sitios y opciones de recreaci</w:t>
            </w:r>
            <w:r w:rsidRPr="00794EB9">
              <w:rPr>
                <w:rFonts w:ascii="Arial" w:hAnsi="Arial" w:cs="Arial"/>
                <w:sz w:val="22"/>
                <w:szCs w:val="22"/>
                <w:lang w:eastAsia="es-MX"/>
              </w:rPr>
              <w:lastRenderedPageBreak/>
              <w:t>ón y esparcimiento, con altos estándares de calidad, que sean accesibles para las y los leoneses y visitantes</w:t>
            </w:r>
          </w:p>
        </w:tc>
        <w:tc>
          <w:tcPr>
            <w:tcW w:w="459" w:type="pct"/>
            <w:tcBorders>
              <w:top w:val="nil"/>
              <w:left w:val="nil"/>
              <w:bottom w:val="single" w:sz="8" w:space="0" w:color="434343"/>
              <w:right w:val="single" w:sz="8" w:space="0" w:color="434343"/>
            </w:tcBorders>
            <w:shd w:val="clear" w:color="auto" w:fill="auto"/>
            <w:vAlign w:val="center"/>
            <w:hideMark/>
          </w:tcPr>
          <w:p w14:paraId="2876886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Promoción de la cultura y la identidad </w:t>
            </w:r>
            <w:r w:rsidRPr="00794EB9">
              <w:rPr>
                <w:rFonts w:ascii="Arial" w:hAnsi="Arial" w:cs="Arial"/>
                <w:sz w:val="22"/>
                <w:szCs w:val="22"/>
                <w:lang w:eastAsia="es-MX"/>
              </w:rPr>
              <w:lastRenderedPageBreak/>
              <w:t>leonesa</w:t>
            </w:r>
          </w:p>
        </w:tc>
        <w:tc>
          <w:tcPr>
            <w:tcW w:w="686" w:type="pct"/>
            <w:tcBorders>
              <w:top w:val="nil"/>
              <w:left w:val="nil"/>
              <w:bottom w:val="single" w:sz="8" w:space="0" w:color="434343"/>
              <w:right w:val="single" w:sz="8" w:space="0" w:color="434343"/>
            </w:tcBorders>
            <w:shd w:val="clear" w:color="auto" w:fill="auto"/>
            <w:vAlign w:val="center"/>
            <w:hideMark/>
          </w:tcPr>
          <w:p w14:paraId="665C016E"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 xml:space="preserve">Impulsar y consolidar el polígono Distrito León MX como </w:t>
            </w:r>
            <w:r w:rsidRPr="00794EB9">
              <w:rPr>
                <w:rFonts w:ascii="Arial" w:hAnsi="Arial" w:cs="Arial"/>
                <w:sz w:val="22"/>
                <w:szCs w:val="22"/>
                <w:lang w:eastAsia="es-MX"/>
              </w:rPr>
              <w:lastRenderedPageBreak/>
              <w:t>espacio para la promoción del desarrollo comercial, económico, cultural y turístico del municipio</w:t>
            </w:r>
          </w:p>
        </w:tc>
        <w:tc>
          <w:tcPr>
            <w:tcW w:w="610" w:type="pct"/>
            <w:tcBorders>
              <w:top w:val="nil"/>
              <w:left w:val="single" w:sz="8" w:space="0" w:color="434343"/>
              <w:bottom w:val="single" w:sz="8" w:space="0" w:color="434343"/>
              <w:right w:val="single" w:sz="8" w:space="0" w:color="434343"/>
            </w:tcBorders>
            <w:vAlign w:val="center"/>
          </w:tcPr>
          <w:p w14:paraId="72AFB84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Objetivo 8: Promover el crecimiento económi</w:t>
            </w:r>
            <w:r w:rsidRPr="00794EB9">
              <w:rPr>
                <w:rFonts w:ascii="Arial" w:hAnsi="Arial" w:cs="Arial"/>
                <w:b/>
                <w:bCs/>
                <w:sz w:val="22"/>
                <w:szCs w:val="22"/>
                <w:lang w:eastAsia="es-MX"/>
              </w:rPr>
              <w:lastRenderedPageBreak/>
              <w:t>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5A3D0AB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OBJETIVO 2.3.1 Consolidar el potencial turístico de Guanajuato e impulsarlo </w:t>
            </w:r>
            <w:r w:rsidRPr="00794EB9">
              <w:rPr>
                <w:rFonts w:ascii="Arial" w:hAnsi="Arial" w:cs="Arial"/>
                <w:b/>
                <w:bCs/>
                <w:sz w:val="22"/>
                <w:szCs w:val="22"/>
                <w:lang w:eastAsia="es-MX"/>
              </w:rPr>
              <w:lastRenderedPageBreak/>
              <w:t>a ser uno de los principales destinos turísticos a nivel nacional, con posicionamiento internacional</w:t>
            </w:r>
          </w:p>
        </w:tc>
        <w:tc>
          <w:tcPr>
            <w:tcW w:w="762" w:type="pct"/>
            <w:tcBorders>
              <w:top w:val="nil"/>
              <w:left w:val="single" w:sz="8" w:space="0" w:color="434343"/>
              <w:bottom w:val="single" w:sz="8" w:space="0" w:color="434343"/>
              <w:right w:val="single" w:sz="8" w:space="0" w:color="434343"/>
            </w:tcBorders>
            <w:vAlign w:val="center"/>
          </w:tcPr>
          <w:p w14:paraId="72D07AE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lastRenderedPageBreak/>
              <w:t xml:space="preserve">Estrategia 2.1.3.1 Diversificación de los productos, servicios y destinos </w:t>
            </w:r>
            <w:r w:rsidRPr="00794EB9">
              <w:rPr>
                <w:rFonts w:ascii="Arial" w:hAnsi="Arial" w:cs="Arial"/>
                <w:b/>
                <w:bCs/>
                <w:sz w:val="22"/>
                <w:szCs w:val="22"/>
                <w:lang w:eastAsia="es-MX"/>
              </w:rPr>
              <w:lastRenderedPageBreak/>
              <w:t>de exportación</w:t>
            </w:r>
          </w:p>
        </w:tc>
        <w:tc>
          <w:tcPr>
            <w:tcW w:w="736" w:type="pct"/>
            <w:vMerge/>
            <w:tcBorders>
              <w:top w:val="nil"/>
              <w:left w:val="single" w:sz="8" w:space="0" w:color="434343"/>
              <w:bottom w:val="single" w:sz="8" w:space="0" w:color="434343"/>
              <w:right w:val="single" w:sz="8" w:space="0" w:color="434343"/>
            </w:tcBorders>
            <w:vAlign w:val="center"/>
            <w:hideMark/>
          </w:tcPr>
          <w:p w14:paraId="4308A047" w14:textId="77777777" w:rsidR="00794EB9" w:rsidRPr="00794EB9" w:rsidRDefault="00794EB9" w:rsidP="00C307FB">
            <w:pPr>
              <w:rPr>
                <w:rFonts w:ascii="Arial" w:hAnsi="Arial" w:cs="Arial"/>
                <w:b/>
                <w:bCs/>
                <w:sz w:val="22"/>
                <w:szCs w:val="22"/>
                <w:lang w:eastAsia="es-MX"/>
              </w:rPr>
            </w:pPr>
          </w:p>
        </w:tc>
      </w:tr>
      <w:tr w:rsidR="00794EB9" w:rsidRPr="00794EB9" w14:paraId="7193829B"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E242CE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541" w:type="pct"/>
            <w:tcBorders>
              <w:top w:val="nil"/>
              <w:left w:val="nil"/>
              <w:bottom w:val="single" w:sz="8" w:space="0" w:color="434343"/>
              <w:right w:val="single" w:sz="8" w:space="0" w:color="434343"/>
            </w:tcBorders>
            <w:shd w:val="clear" w:color="auto" w:fill="auto"/>
            <w:vAlign w:val="center"/>
            <w:hideMark/>
          </w:tcPr>
          <w:p w14:paraId="5CDB84B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459" w:type="pct"/>
            <w:tcBorders>
              <w:top w:val="nil"/>
              <w:left w:val="nil"/>
              <w:bottom w:val="single" w:sz="8" w:space="0" w:color="434343"/>
              <w:right w:val="single" w:sz="8" w:space="0" w:color="434343"/>
            </w:tcBorders>
            <w:shd w:val="clear" w:color="auto" w:fill="auto"/>
            <w:vAlign w:val="center"/>
            <w:hideMark/>
          </w:tcPr>
          <w:p w14:paraId="6C7E4DE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Innovación en movilidad sustentable</w:t>
            </w:r>
          </w:p>
        </w:tc>
        <w:tc>
          <w:tcPr>
            <w:tcW w:w="686" w:type="pct"/>
            <w:tcBorders>
              <w:top w:val="nil"/>
              <w:left w:val="nil"/>
              <w:bottom w:val="single" w:sz="8" w:space="0" w:color="434343"/>
              <w:right w:val="single" w:sz="8" w:space="0" w:color="434343"/>
            </w:tcBorders>
            <w:shd w:val="clear" w:color="auto" w:fill="auto"/>
            <w:vAlign w:val="center"/>
            <w:hideMark/>
          </w:tcPr>
          <w:p w14:paraId="4480257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proyectos y acciones que fomenten la intermodalidad con la integración de los distintos medios de</w:t>
            </w:r>
            <w:r w:rsidRPr="00794EB9">
              <w:rPr>
                <w:rFonts w:ascii="Arial" w:hAnsi="Arial" w:cs="Arial"/>
                <w:sz w:val="22"/>
                <w:szCs w:val="22"/>
                <w:lang w:eastAsia="es-MX"/>
              </w:rPr>
              <w:br/>
              <w:t>movilidad municipal, realizando adecuaciones para la accesibilidad de las personas con diversidad funcional y</w:t>
            </w:r>
            <w:r w:rsidRPr="00794EB9">
              <w:rPr>
                <w:rFonts w:ascii="Arial" w:hAnsi="Arial" w:cs="Arial"/>
                <w:sz w:val="22"/>
                <w:szCs w:val="22"/>
                <w:lang w:eastAsia="es-MX"/>
              </w:rPr>
              <w:br/>
              <w:t>adultos mayores</w:t>
            </w:r>
          </w:p>
        </w:tc>
        <w:tc>
          <w:tcPr>
            <w:tcW w:w="610" w:type="pct"/>
            <w:tcBorders>
              <w:top w:val="nil"/>
              <w:left w:val="single" w:sz="8" w:space="0" w:color="434343"/>
              <w:bottom w:val="single" w:sz="8" w:space="0" w:color="434343"/>
              <w:right w:val="single" w:sz="8" w:space="0" w:color="434343"/>
            </w:tcBorders>
            <w:vAlign w:val="center"/>
          </w:tcPr>
          <w:p w14:paraId="032ADC4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1E51DF5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3.2.3 Asegurar una movilidad fluida, sostenible y segura para todas las y los guanajuatenses y visitantes a la entidad</w:t>
            </w:r>
          </w:p>
        </w:tc>
        <w:tc>
          <w:tcPr>
            <w:tcW w:w="762" w:type="pct"/>
            <w:tcBorders>
              <w:top w:val="nil"/>
              <w:left w:val="single" w:sz="8" w:space="0" w:color="434343"/>
              <w:bottom w:val="single" w:sz="8" w:space="0" w:color="434343"/>
              <w:right w:val="single" w:sz="8" w:space="0" w:color="434343"/>
            </w:tcBorders>
            <w:vAlign w:val="center"/>
          </w:tcPr>
          <w:p w14:paraId="45F2125B"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3.2.3.2 Implementación de un sistema de transporte multimodal, accesible, seguro y amigable con el medio ambiente</w:t>
            </w:r>
          </w:p>
        </w:tc>
        <w:tc>
          <w:tcPr>
            <w:tcW w:w="736" w:type="pct"/>
            <w:vMerge/>
            <w:tcBorders>
              <w:top w:val="nil"/>
              <w:left w:val="single" w:sz="8" w:space="0" w:color="434343"/>
              <w:bottom w:val="single" w:sz="8" w:space="0" w:color="434343"/>
              <w:right w:val="single" w:sz="8" w:space="0" w:color="434343"/>
            </w:tcBorders>
            <w:vAlign w:val="center"/>
            <w:hideMark/>
          </w:tcPr>
          <w:p w14:paraId="72B7004D" w14:textId="77777777" w:rsidR="00794EB9" w:rsidRPr="00794EB9" w:rsidRDefault="00794EB9" w:rsidP="00C307FB">
            <w:pPr>
              <w:rPr>
                <w:rFonts w:ascii="Arial" w:hAnsi="Arial" w:cs="Arial"/>
                <w:b/>
                <w:bCs/>
                <w:sz w:val="22"/>
                <w:szCs w:val="22"/>
                <w:lang w:eastAsia="es-MX"/>
              </w:rPr>
            </w:pPr>
          </w:p>
        </w:tc>
      </w:tr>
      <w:tr w:rsidR="00794EB9" w:rsidRPr="00794EB9" w14:paraId="29F45127"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3065F3B"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lastRenderedPageBreak/>
              <w:t>Equidad social</w:t>
            </w:r>
          </w:p>
        </w:tc>
        <w:tc>
          <w:tcPr>
            <w:tcW w:w="541" w:type="pct"/>
            <w:tcBorders>
              <w:top w:val="nil"/>
              <w:left w:val="nil"/>
              <w:bottom w:val="single" w:sz="8" w:space="0" w:color="434343"/>
              <w:right w:val="single" w:sz="8" w:space="0" w:color="434343"/>
            </w:tcBorders>
            <w:shd w:val="clear" w:color="auto" w:fill="auto"/>
            <w:vAlign w:val="center"/>
            <w:hideMark/>
          </w:tcPr>
          <w:p w14:paraId="66803C1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459" w:type="pct"/>
            <w:tcBorders>
              <w:top w:val="nil"/>
              <w:left w:val="nil"/>
              <w:bottom w:val="single" w:sz="8" w:space="0" w:color="434343"/>
              <w:right w:val="single" w:sz="8" w:space="0" w:color="434343"/>
            </w:tcBorders>
            <w:shd w:val="clear" w:color="auto" w:fill="auto"/>
            <w:vAlign w:val="center"/>
            <w:hideMark/>
          </w:tcPr>
          <w:p w14:paraId="608D25A6"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Atención a la población urbana en alguna condición de pobreza</w:t>
            </w:r>
          </w:p>
        </w:tc>
        <w:tc>
          <w:tcPr>
            <w:tcW w:w="686" w:type="pct"/>
            <w:tcBorders>
              <w:top w:val="nil"/>
              <w:left w:val="nil"/>
              <w:bottom w:val="single" w:sz="8" w:space="0" w:color="434343"/>
              <w:right w:val="single" w:sz="8" w:space="0" w:color="434343"/>
            </w:tcBorders>
            <w:shd w:val="clear" w:color="auto" w:fill="auto"/>
            <w:vAlign w:val="center"/>
            <w:hideMark/>
          </w:tcPr>
          <w:p w14:paraId="21EA4A77"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la cobertura y la calidad del servicio de internet gratuito en espacios públicos.</w:t>
            </w:r>
          </w:p>
        </w:tc>
        <w:tc>
          <w:tcPr>
            <w:tcW w:w="610" w:type="pct"/>
            <w:tcBorders>
              <w:top w:val="nil"/>
              <w:left w:val="single" w:sz="8" w:space="0" w:color="434343"/>
              <w:bottom w:val="single" w:sz="8" w:space="0" w:color="434343"/>
              <w:right w:val="single" w:sz="8" w:space="0" w:color="434343"/>
            </w:tcBorders>
            <w:vAlign w:val="center"/>
          </w:tcPr>
          <w:p w14:paraId="3437860E"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9: Construir infraestructuras resilientes, promover la industrialización sostenible y fomentar la innovación</w:t>
            </w:r>
          </w:p>
        </w:tc>
        <w:tc>
          <w:tcPr>
            <w:tcW w:w="837" w:type="pct"/>
            <w:tcBorders>
              <w:top w:val="nil"/>
              <w:left w:val="single" w:sz="8" w:space="0" w:color="434343"/>
              <w:bottom w:val="single" w:sz="8" w:space="0" w:color="434343"/>
              <w:right w:val="single" w:sz="8" w:space="0" w:color="434343"/>
            </w:tcBorders>
            <w:vAlign w:val="center"/>
          </w:tcPr>
          <w:p w14:paraId="511EA439"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2.5.1 Fortalecer el sistema de innovación de Guanajuato y su articulación con las demandas productivas y sociales</w:t>
            </w:r>
          </w:p>
        </w:tc>
        <w:tc>
          <w:tcPr>
            <w:tcW w:w="762" w:type="pct"/>
            <w:tcBorders>
              <w:top w:val="nil"/>
              <w:left w:val="single" w:sz="8" w:space="0" w:color="434343"/>
              <w:bottom w:val="single" w:sz="8" w:space="0" w:color="434343"/>
              <w:right w:val="single" w:sz="8" w:space="0" w:color="434343"/>
            </w:tcBorders>
            <w:vAlign w:val="center"/>
          </w:tcPr>
          <w:p w14:paraId="1F8EF01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2.5.1.6 Incremento de la cobertura y la accesibilidad de los servicios de internet, para incrementar la inclusión digital</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99D132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VM3.3 Conectividad para todos</w:t>
            </w:r>
          </w:p>
        </w:tc>
      </w:tr>
      <w:tr w:rsidR="00794EB9" w:rsidRPr="00794EB9" w14:paraId="04ACF994"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CDA0F6D"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Tecnología y conectividad digital</w:t>
            </w:r>
          </w:p>
        </w:tc>
        <w:tc>
          <w:tcPr>
            <w:tcW w:w="541" w:type="pct"/>
            <w:tcBorders>
              <w:top w:val="nil"/>
              <w:left w:val="nil"/>
              <w:bottom w:val="single" w:sz="8" w:space="0" w:color="434343"/>
              <w:right w:val="single" w:sz="8" w:space="0" w:color="434343"/>
            </w:tcBorders>
            <w:shd w:val="clear" w:color="auto" w:fill="auto"/>
            <w:vAlign w:val="center"/>
            <w:hideMark/>
          </w:tcPr>
          <w:p w14:paraId="748E7C4C"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Ampliar la cobertura de conectividad digital, favoreciendo la tele gestión y una mayor eficiencia de servicios públicos</w:t>
            </w:r>
          </w:p>
        </w:tc>
        <w:tc>
          <w:tcPr>
            <w:tcW w:w="459" w:type="pct"/>
            <w:tcBorders>
              <w:top w:val="nil"/>
              <w:left w:val="nil"/>
              <w:bottom w:val="single" w:sz="8" w:space="0" w:color="434343"/>
              <w:right w:val="single" w:sz="8" w:space="0" w:color="434343"/>
            </w:tcBorders>
            <w:shd w:val="clear" w:color="auto" w:fill="auto"/>
            <w:vAlign w:val="center"/>
            <w:hideMark/>
          </w:tcPr>
          <w:p w14:paraId="19435630"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 xml:space="preserve">Conectividad digital y tele gestión de servicios públicos </w:t>
            </w:r>
          </w:p>
        </w:tc>
        <w:tc>
          <w:tcPr>
            <w:tcW w:w="686" w:type="pct"/>
            <w:tcBorders>
              <w:top w:val="nil"/>
              <w:left w:val="nil"/>
              <w:bottom w:val="single" w:sz="8" w:space="0" w:color="434343"/>
              <w:right w:val="single" w:sz="8" w:space="0" w:color="434343"/>
            </w:tcBorders>
            <w:shd w:val="clear" w:color="auto" w:fill="auto"/>
            <w:vAlign w:val="center"/>
            <w:hideMark/>
          </w:tcPr>
          <w:p w14:paraId="474E3C8A"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Consolidar la infraestructura para la prestación y optimización de servicios públicos por medio la tele gestión</w:t>
            </w:r>
          </w:p>
        </w:tc>
        <w:tc>
          <w:tcPr>
            <w:tcW w:w="610" w:type="pct"/>
            <w:tcBorders>
              <w:top w:val="nil"/>
              <w:left w:val="single" w:sz="8" w:space="0" w:color="434343"/>
              <w:bottom w:val="single" w:sz="8" w:space="0" w:color="434343"/>
              <w:right w:val="single" w:sz="8" w:space="0" w:color="434343"/>
            </w:tcBorders>
            <w:vAlign w:val="center"/>
          </w:tcPr>
          <w:p w14:paraId="1F75507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729C2F3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4.1.1 Incrementar la eficiencia y la eficacia del sector público estatal,</w:t>
            </w:r>
          </w:p>
          <w:p w14:paraId="6CCBDF84"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con el involucramiento corresponsable de la sociedad</w:t>
            </w:r>
          </w:p>
        </w:tc>
        <w:tc>
          <w:tcPr>
            <w:tcW w:w="762" w:type="pct"/>
            <w:tcBorders>
              <w:top w:val="nil"/>
              <w:left w:val="single" w:sz="8" w:space="0" w:color="434343"/>
              <w:bottom w:val="single" w:sz="8" w:space="0" w:color="434343"/>
              <w:right w:val="single" w:sz="8" w:space="0" w:color="434343"/>
            </w:tcBorders>
            <w:vAlign w:val="center"/>
          </w:tcPr>
          <w:p w14:paraId="644AAE15"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 xml:space="preserve">Estrategia 4.1.1.6 Mejora de los procesos gubernamentales mediante la desregulación y el aprovechamiento de las tecnologías de información y comunicación, para que la ciudadanía </w:t>
            </w:r>
            <w:r w:rsidRPr="00794EB9">
              <w:rPr>
                <w:rFonts w:ascii="Arial" w:hAnsi="Arial" w:cs="Arial"/>
                <w:b/>
                <w:bCs/>
                <w:sz w:val="22"/>
                <w:szCs w:val="22"/>
                <w:lang w:eastAsia="es-MX"/>
              </w:rPr>
              <w:lastRenderedPageBreak/>
              <w:t>cuente con servicios más accesibles, ágiles y efectivos</w:t>
            </w:r>
          </w:p>
        </w:tc>
        <w:tc>
          <w:tcPr>
            <w:tcW w:w="736" w:type="pct"/>
            <w:vMerge/>
            <w:tcBorders>
              <w:top w:val="nil"/>
              <w:left w:val="single" w:sz="8" w:space="0" w:color="434343"/>
              <w:bottom w:val="single" w:sz="8" w:space="0" w:color="434343"/>
              <w:right w:val="single" w:sz="8" w:space="0" w:color="434343"/>
            </w:tcBorders>
            <w:vAlign w:val="center"/>
            <w:hideMark/>
          </w:tcPr>
          <w:p w14:paraId="20054175" w14:textId="77777777" w:rsidR="00794EB9" w:rsidRPr="00794EB9" w:rsidRDefault="00794EB9" w:rsidP="00C307FB">
            <w:pPr>
              <w:rPr>
                <w:rFonts w:ascii="Arial" w:hAnsi="Arial" w:cs="Arial"/>
                <w:b/>
                <w:bCs/>
                <w:sz w:val="22"/>
                <w:szCs w:val="22"/>
                <w:lang w:eastAsia="es-MX"/>
              </w:rPr>
            </w:pPr>
          </w:p>
        </w:tc>
      </w:tr>
      <w:tr w:rsidR="00794EB9" w:rsidRPr="00794EB9" w14:paraId="77E1A1E8" w14:textId="77777777" w:rsidTr="00C307FB">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7AEF4E98"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Equidad social</w:t>
            </w:r>
          </w:p>
        </w:tc>
        <w:tc>
          <w:tcPr>
            <w:tcW w:w="541" w:type="pct"/>
            <w:tcBorders>
              <w:top w:val="nil"/>
              <w:left w:val="nil"/>
              <w:bottom w:val="single" w:sz="8" w:space="0" w:color="434343"/>
              <w:right w:val="single" w:sz="8" w:space="0" w:color="434343"/>
            </w:tcBorders>
            <w:shd w:val="clear" w:color="auto" w:fill="auto"/>
            <w:vAlign w:val="center"/>
            <w:hideMark/>
          </w:tcPr>
          <w:p w14:paraId="49A72763"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459" w:type="pct"/>
            <w:tcBorders>
              <w:top w:val="nil"/>
              <w:left w:val="nil"/>
              <w:bottom w:val="single" w:sz="8" w:space="0" w:color="434343"/>
              <w:right w:val="single" w:sz="8" w:space="0" w:color="434343"/>
            </w:tcBorders>
            <w:shd w:val="clear" w:color="auto" w:fill="auto"/>
            <w:vAlign w:val="center"/>
            <w:hideMark/>
          </w:tcPr>
          <w:p w14:paraId="2C9ED8B5"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Atención a la población urbana en alguna condición de pobreza</w:t>
            </w:r>
          </w:p>
        </w:tc>
        <w:tc>
          <w:tcPr>
            <w:tcW w:w="686" w:type="pct"/>
            <w:tcBorders>
              <w:top w:val="nil"/>
              <w:left w:val="nil"/>
              <w:bottom w:val="single" w:sz="8" w:space="0" w:color="434343"/>
              <w:right w:val="single" w:sz="8" w:space="0" w:color="434343"/>
            </w:tcBorders>
            <w:shd w:val="clear" w:color="auto" w:fill="auto"/>
            <w:vAlign w:val="center"/>
            <w:hideMark/>
          </w:tcPr>
          <w:p w14:paraId="64EC6621" w14:textId="77777777" w:rsidR="00794EB9" w:rsidRPr="00794EB9" w:rsidRDefault="00794EB9" w:rsidP="00C307FB">
            <w:pPr>
              <w:rPr>
                <w:rFonts w:ascii="Arial" w:hAnsi="Arial" w:cs="Arial"/>
                <w:sz w:val="22"/>
                <w:szCs w:val="22"/>
                <w:lang w:eastAsia="es-MX"/>
              </w:rPr>
            </w:pPr>
            <w:r w:rsidRPr="00794EB9">
              <w:rPr>
                <w:rFonts w:ascii="Arial" w:hAnsi="Arial" w:cs="Arial"/>
                <w:sz w:val="22"/>
                <w:szCs w:val="22"/>
                <w:lang w:eastAsia="es-MX"/>
              </w:rPr>
              <w:t>Generar sitios de conectividad a través de alianzas con el sector social y privado que permitan a la ciudadanía acceder a servicios, información y comunicación digital</w:t>
            </w:r>
          </w:p>
        </w:tc>
        <w:tc>
          <w:tcPr>
            <w:tcW w:w="610" w:type="pct"/>
            <w:tcBorders>
              <w:top w:val="nil"/>
              <w:left w:val="single" w:sz="8" w:space="0" w:color="434343"/>
              <w:bottom w:val="single" w:sz="8" w:space="0" w:color="434343"/>
              <w:right w:val="single" w:sz="8" w:space="0" w:color="434343"/>
            </w:tcBorders>
            <w:vAlign w:val="center"/>
          </w:tcPr>
          <w:p w14:paraId="5C16D9AD"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9: Construir infraestructuras resilientes, promover la industrialización sostenible y fomentar la innovación</w:t>
            </w:r>
          </w:p>
        </w:tc>
        <w:tc>
          <w:tcPr>
            <w:tcW w:w="837" w:type="pct"/>
            <w:tcBorders>
              <w:top w:val="nil"/>
              <w:left w:val="single" w:sz="8" w:space="0" w:color="434343"/>
              <w:bottom w:val="single" w:sz="8" w:space="0" w:color="434343"/>
              <w:right w:val="single" w:sz="8" w:space="0" w:color="434343"/>
            </w:tcBorders>
            <w:vAlign w:val="center"/>
          </w:tcPr>
          <w:p w14:paraId="73A9ABF1"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OBJETIVO 2.5.1 Fortalecer el sistema de innovación de Guanajuato y su articulación con las demandas productivas y sociales</w:t>
            </w:r>
          </w:p>
        </w:tc>
        <w:tc>
          <w:tcPr>
            <w:tcW w:w="762" w:type="pct"/>
            <w:tcBorders>
              <w:top w:val="nil"/>
              <w:left w:val="single" w:sz="8" w:space="0" w:color="434343"/>
              <w:bottom w:val="single" w:sz="8" w:space="0" w:color="434343"/>
              <w:right w:val="single" w:sz="8" w:space="0" w:color="434343"/>
            </w:tcBorders>
            <w:vAlign w:val="center"/>
          </w:tcPr>
          <w:p w14:paraId="4F36448C" w14:textId="77777777" w:rsidR="00794EB9" w:rsidRPr="00794EB9" w:rsidRDefault="00794EB9" w:rsidP="00C307FB">
            <w:pPr>
              <w:rPr>
                <w:rFonts w:ascii="Arial" w:hAnsi="Arial" w:cs="Arial"/>
                <w:b/>
                <w:bCs/>
                <w:sz w:val="22"/>
                <w:szCs w:val="22"/>
                <w:lang w:eastAsia="es-MX"/>
              </w:rPr>
            </w:pPr>
            <w:r w:rsidRPr="00794EB9">
              <w:rPr>
                <w:rFonts w:ascii="Arial" w:hAnsi="Arial" w:cs="Arial"/>
                <w:b/>
                <w:bCs/>
                <w:sz w:val="22"/>
                <w:szCs w:val="22"/>
                <w:lang w:eastAsia="es-MX"/>
              </w:rPr>
              <w:t>Estrategia 2.5.1.6 Incremento de la cobertura y la accesibilidad de los servicios de internet, para incrementar la inclusión digital</w:t>
            </w:r>
          </w:p>
        </w:tc>
        <w:tc>
          <w:tcPr>
            <w:tcW w:w="736" w:type="pct"/>
            <w:vMerge/>
            <w:tcBorders>
              <w:top w:val="nil"/>
              <w:left w:val="single" w:sz="8" w:space="0" w:color="434343"/>
              <w:bottom w:val="single" w:sz="8" w:space="0" w:color="434343"/>
              <w:right w:val="single" w:sz="8" w:space="0" w:color="434343"/>
            </w:tcBorders>
            <w:vAlign w:val="center"/>
            <w:hideMark/>
          </w:tcPr>
          <w:p w14:paraId="6FF07C68" w14:textId="77777777" w:rsidR="00794EB9" w:rsidRPr="00794EB9" w:rsidRDefault="00794EB9" w:rsidP="00C307FB">
            <w:pPr>
              <w:rPr>
                <w:rFonts w:ascii="Arial" w:hAnsi="Arial" w:cs="Arial"/>
                <w:b/>
                <w:bCs/>
                <w:sz w:val="22"/>
                <w:szCs w:val="22"/>
                <w:lang w:eastAsia="es-MX"/>
              </w:rPr>
            </w:pPr>
          </w:p>
        </w:tc>
      </w:tr>
    </w:tbl>
    <w:p w14:paraId="260D3280" w14:textId="77777777" w:rsidR="00794EB9" w:rsidRPr="00794EB9" w:rsidRDefault="00794EB9" w:rsidP="00794EB9">
      <w:pPr>
        <w:pStyle w:val="INormal"/>
        <w:rPr>
          <w:rFonts w:ascii="Arial" w:hAnsi="Arial"/>
          <w:sz w:val="22"/>
        </w:rPr>
      </w:pPr>
    </w:p>
    <w:p w14:paraId="63571DA8" w14:textId="77777777" w:rsidR="00794EB9" w:rsidRPr="00794EB9" w:rsidRDefault="00794EB9" w:rsidP="00794EB9">
      <w:pPr>
        <w:pStyle w:val="INormal"/>
        <w:textDirection w:val="btLr"/>
        <w:rPr>
          <w:rFonts w:ascii="Arial" w:hAnsi="Arial"/>
          <w:sz w:val="22"/>
        </w:rPr>
      </w:pPr>
    </w:p>
    <w:p w14:paraId="2019A8F9" w14:textId="77777777" w:rsidR="00794EB9" w:rsidRPr="00794EB9" w:rsidRDefault="00794EB9" w:rsidP="00794EB9">
      <w:pPr>
        <w:ind w:hanging="2"/>
        <w:jc w:val="both"/>
        <w:rPr>
          <w:rFonts w:ascii="Arial" w:hAnsi="Arial" w:cs="Arial"/>
          <w:sz w:val="22"/>
          <w:szCs w:val="22"/>
        </w:rPr>
      </w:pPr>
    </w:p>
    <w:p w14:paraId="40ADD776" w14:textId="77777777" w:rsidR="00D17B9E" w:rsidRPr="00794EB9" w:rsidRDefault="00D17B9E" w:rsidP="00CA64D7">
      <w:pPr>
        <w:spacing w:line="276" w:lineRule="auto"/>
        <w:ind w:left="-284"/>
        <w:jc w:val="both"/>
        <w:rPr>
          <w:rFonts w:ascii="Arial" w:eastAsia="Calibri" w:hAnsi="Arial" w:cs="Arial"/>
          <w:b/>
          <w:sz w:val="22"/>
          <w:szCs w:val="22"/>
          <w:lang w:val="es-MX" w:eastAsia="en-US"/>
        </w:rPr>
      </w:pPr>
    </w:p>
    <w:p w14:paraId="682FAE45" w14:textId="77777777" w:rsidR="00D17B9E" w:rsidRPr="00794EB9" w:rsidRDefault="00D17B9E" w:rsidP="00CA64D7">
      <w:pPr>
        <w:spacing w:line="276" w:lineRule="auto"/>
        <w:ind w:left="-284"/>
        <w:jc w:val="both"/>
        <w:rPr>
          <w:rFonts w:ascii="Arial" w:eastAsia="Calibri" w:hAnsi="Arial" w:cs="Arial"/>
          <w:b/>
          <w:sz w:val="22"/>
          <w:szCs w:val="22"/>
          <w:lang w:val="es-MX" w:eastAsia="en-US"/>
        </w:rPr>
      </w:pPr>
    </w:p>
    <w:p w14:paraId="083D7632" w14:textId="18163E47" w:rsidR="006C1689" w:rsidRPr="00794EB9" w:rsidRDefault="006C1689" w:rsidP="00CA64D7">
      <w:pPr>
        <w:spacing w:line="276" w:lineRule="auto"/>
        <w:ind w:left="-284"/>
        <w:jc w:val="both"/>
        <w:rPr>
          <w:rFonts w:ascii="Arial" w:eastAsia="Calibri" w:hAnsi="Arial" w:cs="Arial"/>
          <w:sz w:val="22"/>
          <w:szCs w:val="22"/>
          <w:lang w:val="es-MX" w:eastAsia="en-US"/>
        </w:rPr>
      </w:pPr>
      <w:r w:rsidRPr="00794EB9">
        <w:rPr>
          <w:rFonts w:ascii="Arial" w:eastAsia="Calibri" w:hAnsi="Arial" w:cs="Arial"/>
          <w:b/>
          <w:sz w:val="22"/>
          <w:szCs w:val="22"/>
          <w:lang w:val="es-MX" w:eastAsia="en-US"/>
        </w:rPr>
        <w:t>SEGUNDO.</w:t>
      </w:r>
      <w:r w:rsidRPr="00794EB9">
        <w:rPr>
          <w:rFonts w:ascii="Arial" w:eastAsia="Calibri" w:hAnsi="Arial" w:cs="Arial"/>
          <w:sz w:val="22"/>
          <w:szCs w:val="22"/>
          <w:lang w:val="es-MX" w:eastAsia="en-US"/>
        </w:rPr>
        <w:t xml:space="preserve"> </w:t>
      </w:r>
      <w:r w:rsidRPr="00794EB9">
        <w:rPr>
          <w:rFonts w:ascii="Arial" w:eastAsia="Calibri" w:hAnsi="Arial" w:cs="Arial"/>
          <w:b/>
          <w:i/>
          <w:sz w:val="22"/>
          <w:szCs w:val="22"/>
          <w:lang w:val="es-MX" w:eastAsia="en-US"/>
        </w:rPr>
        <w:t>Publíquese</w:t>
      </w:r>
      <w:r w:rsidRPr="00794EB9">
        <w:rPr>
          <w:rFonts w:ascii="Arial" w:eastAsia="Calibri" w:hAnsi="Arial" w:cs="Arial"/>
          <w:sz w:val="22"/>
          <w:szCs w:val="22"/>
          <w:lang w:val="es-MX" w:eastAsia="en-US"/>
        </w:rPr>
        <w:t xml:space="preserve"> el presente acuerdo en el Periódico Oficial del Gobierno del Estado de Guanajuato, y en su caso en un periódico de circulación de este Municipio, para los efectos del artículo 103 de la Ley Orgánica Municipal para el Estado de Guanajuato</w:t>
      </w:r>
      <w:r w:rsidR="00535989" w:rsidRPr="00794EB9">
        <w:rPr>
          <w:rFonts w:ascii="Arial" w:eastAsia="Calibri" w:hAnsi="Arial" w:cs="Arial"/>
          <w:sz w:val="22"/>
          <w:szCs w:val="22"/>
          <w:lang w:val="es-MX" w:eastAsia="en-US"/>
        </w:rPr>
        <w:t xml:space="preserve"> y 36 de la Ley de Planeación para el Estado de Guanajuato.</w:t>
      </w:r>
    </w:p>
    <w:p w14:paraId="38EC0992" w14:textId="77777777" w:rsidR="006C1689" w:rsidRPr="00794EB9" w:rsidRDefault="006C1689" w:rsidP="00CA64D7">
      <w:pPr>
        <w:spacing w:line="276" w:lineRule="auto"/>
        <w:jc w:val="both"/>
        <w:rPr>
          <w:rFonts w:ascii="Arial" w:eastAsia="Calibri" w:hAnsi="Arial" w:cs="Arial"/>
          <w:sz w:val="22"/>
          <w:szCs w:val="22"/>
          <w:lang w:val="es-MX" w:eastAsia="en-US"/>
        </w:rPr>
      </w:pPr>
    </w:p>
    <w:p w14:paraId="7D8CD6E5" w14:textId="1F1D0056" w:rsidR="00535989" w:rsidRPr="00794EB9" w:rsidRDefault="00535989" w:rsidP="00794EB9">
      <w:pPr>
        <w:spacing w:line="276" w:lineRule="auto"/>
        <w:jc w:val="both"/>
        <w:rPr>
          <w:rFonts w:ascii="Arial" w:hAnsi="Arial" w:cs="Arial"/>
          <w:b/>
          <w:bCs/>
          <w:caps/>
          <w:sz w:val="22"/>
          <w:szCs w:val="22"/>
        </w:rPr>
      </w:pPr>
    </w:p>
    <w:p w14:paraId="36A2A182" w14:textId="77777777" w:rsidR="00535989" w:rsidRPr="00794EB9" w:rsidRDefault="00535989" w:rsidP="00535989">
      <w:pPr>
        <w:spacing w:line="276" w:lineRule="auto"/>
        <w:ind w:left="-284"/>
        <w:jc w:val="both"/>
        <w:rPr>
          <w:rFonts w:ascii="Arial" w:hAnsi="Arial" w:cs="Arial"/>
          <w:b/>
          <w:bCs/>
          <w:caps/>
          <w:sz w:val="22"/>
          <w:szCs w:val="22"/>
        </w:rPr>
      </w:pPr>
    </w:p>
    <w:p w14:paraId="20F3EAB4" w14:textId="12C98885" w:rsidR="00F844E0" w:rsidRPr="00794EB9" w:rsidRDefault="00222A91" w:rsidP="00535989">
      <w:pPr>
        <w:spacing w:line="276" w:lineRule="auto"/>
        <w:ind w:left="-284"/>
        <w:jc w:val="both"/>
        <w:rPr>
          <w:rFonts w:ascii="Arial" w:hAnsi="Arial" w:cs="Arial"/>
          <w:b/>
          <w:bCs/>
          <w:caps/>
          <w:sz w:val="22"/>
          <w:szCs w:val="22"/>
        </w:rPr>
      </w:pPr>
      <w:r w:rsidRPr="00794EB9">
        <w:rPr>
          <w:rFonts w:ascii="Arial" w:hAnsi="Arial" w:cs="Arial"/>
          <w:b/>
          <w:bCs/>
          <w:caps/>
          <w:sz w:val="22"/>
          <w:szCs w:val="22"/>
        </w:rPr>
        <w:lastRenderedPageBreak/>
        <w:t xml:space="preserve">Dado en la casa municipal de León, Guanajuato, el día </w:t>
      </w:r>
      <w:r w:rsidR="00794EB9">
        <w:rPr>
          <w:rFonts w:ascii="Arial" w:hAnsi="Arial" w:cs="Arial"/>
          <w:b/>
          <w:bCs/>
          <w:caps/>
          <w:sz w:val="22"/>
          <w:szCs w:val="22"/>
        </w:rPr>
        <w:t>23</w:t>
      </w:r>
      <w:r w:rsidRPr="00794EB9">
        <w:rPr>
          <w:rFonts w:ascii="Arial" w:hAnsi="Arial" w:cs="Arial"/>
          <w:b/>
          <w:bCs/>
          <w:caps/>
          <w:sz w:val="22"/>
          <w:szCs w:val="22"/>
        </w:rPr>
        <w:t xml:space="preserve"> DE </w:t>
      </w:r>
      <w:r w:rsidR="00535989" w:rsidRPr="00794EB9">
        <w:rPr>
          <w:rFonts w:ascii="Arial" w:hAnsi="Arial" w:cs="Arial"/>
          <w:b/>
          <w:bCs/>
          <w:caps/>
          <w:sz w:val="22"/>
          <w:szCs w:val="22"/>
        </w:rPr>
        <w:t>DICI</w:t>
      </w:r>
      <w:r w:rsidR="0059632C" w:rsidRPr="00794EB9">
        <w:rPr>
          <w:rFonts w:ascii="Arial" w:hAnsi="Arial" w:cs="Arial"/>
          <w:b/>
          <w:bCs/>
          <w:caps/>
          <w:sz w:val="22"/>
          <w:szCs w:val="22"/>
        </w:rPr>
        <w:t>EMB</w:t>
      </w:r>
      <w:r w:rsidRPr="00794EB9">
        <w:rPr>
          <w:rFonts w:ascii="Arial" w:hAnsi="Arial" w:cs="Arial"/>
          <w:b/>
          <w:bCs/>
          <w:caps/>
          <w:sz w:val="22"/>
          <w:szCs w:val="22"/>
        </w:rPr>
        <w:t>RE DE 20</w:t>
      </w:r>
      <w:r w:rsidR="00535989" w:rsidRPr="00794EB9">
        <w:rPr>
          <w:rFonts w:ascii="Arial" w:hAnsi="Arial" w:cs="Arial"/>
          <w:b/>
          <w:bCs/>
          <w:caps/>
          <w:sz w:val="22"/>
          <w:szCs w:val="22"/>
        </w:rPr>
        <w:t>21</w:t>
      </w:r>
      <w:r w:rsidRPr="00794EB9">
        <w:rPr>
          <w:rFonts w:ascii="Arial" w:hAnsi="Arial" w:cs="Arial"/>
          <w:b/>
          <w:bCs/>
          <w:caps/>
          <w:sz w:val="22"/>
          <w:szCs w:val="22"/>
        </w:rPr>
        <w:t>.</w:t>
      </w:r>
    </w:p>
    <w:p w14:paraId="487FB469" w14:textId="77777777" w:rsidR="00F844E0" w:rsidRPr="00794EB9" w:rsidRDefault="00F844E0" w:rsidP="00535989">
      <w:pPr>
        <w:spacing w:line="276" w:lineRule="auto"/>
        <w:ind w:left="-284"/>
        <w:jc w:val="both"/>
        <w:rPr>
          <w:rFonts w:ascii="Arial" w:hAnsi="Arial" w:cs="Arial"/>
          <w:b/>
          <w:bCs/>
          <w:sz w:val="22"/>
          <w:szCs w:val="22"/>
          <w:lang w:val="es-MX"/>
        </w:rPr>
      </w:pPr>
    </w:p>
    <w:p w14:paraId="663902C0" w14:textId="77777777" w:rsidR="00F844E0" w:rsidRPr="00794EB9" w:rsidRDefault="00F844E0" w:rsidP="00535989">
      <w:pPr>
        <w:spacing w:line="276" w:lineRule="auto"/>
        <w:ind w:left="-284"/>
        <w:jc w:val="both"/>
        <w:rPr>
          <w:rFonts w:ascii="Arial" w:hAnsi="Arial" w:cs="Arial"/>
          <w:b/>
          <w:bCs/>
          <w:sz w:val="22"/>
          <w:szCs w:val="22"/>
          <w:lang w:val="es-MX"/>
        </w:rPr>
      </w:pPr>
    </w:p>
    <w:p w14:paraId="342B5B17" w14:textId="77777777" w:rsidR="00F844E0" w:rsidRPr="00794EB9" w:rsidRDefault="00F844E0" w:rsidP="00535989">
      <w:pPr>
        <w:spacing w:line="276" w:lineRule="auto"/>
        <w:ind w:left="-284"/>
        <w:jc w:val="both"/>
        <w:rPr>
          <w:rFonts w:ascii="Arial" w:hAnsi="Arial" w:cs="Arial"/>
          <w:b/>
          <w:bCs/>
          <w:sz w:val="22"/>
          <w:szCs w:val="22"/>
          <w:lang w:val="es-MX"/>
        </w:rPr>
      </w:pPr>
    </w:p>
    <w:p w14:paraId="7E5244F0" w14:textId="77777777" w:rsidR="00F844E0" w:rsidRPr="00794EB9" w:rsidRDefault="00F844E0" w:rsidP="00535989">
      <w:pPr>
        <w:spacing w:line="276" w:lineRule="auto"/>
        <w:ind w:left="-284"/>
        <w:jc w:val="both"/>
        <w:rPr>
          <w:rFonts w:ascii="Arial" w:hAnsi="Arial" w:cs="Arial"/>
          <w:b/>
          <w:bCs/>
          <w:sz w:val="22"/>
          <w:szCs w:val="22"/>
          <w:lang w:val="es-MX"/>
        </w:rPr>
      </w:pPr>
    </w:p>
    <w:p w14:paraId="352BA53F" w14:textId="77777777" w:rsidR="00F844E0" w:rsidRPr="00794EB9" w:rsidRDefault="00F844E0" w:rsidP="00535989">
      <w:pPr>
        <w:spacing w:line="276" w:lineRule="auto"/>
        <w:ind w:left="-284"/>
        <w:jc w:val="both"/>
        <w:rPr>
          <w:rFonts w:ascii="Arial" w:hAnsi="Arial" w:cs="Arial"/>
          <w:b/>
          <w:bCs/>
          <w:sz w:val="22"/>
          <w:szCs w:val="22"/>
          <w:lang w:val="es-MX"/>
        </w:rPr>
      </w:pPr>
    </w:p>
    <w:p w14:paraId="666F37AD" w14:textId="77F3061D" w:rsidR="00F844E0" w:rsidRPr="00794EB9" w:rsidRDefault="00222A91" w:rsidP="00535989">
      <w:pPr>
        <w:spacing w:line="276" w:lineRule="auto"/>
        <w:ind w:left="-284"/>
        <w:jc w:val="both"/>
        <w:rPr>
          <w:rFonts w:ascii="Arial" w:hAnsi="Arial" w:cs="Arial"/>
          <w:b/>
          <w:bCs/>
          <w:sz w:val="22"/>
          <w:szCs w:val="22"/>
          <w:lang w:val="es-MX"/>
        </w:rPr>
      </w:pPr>
      <w:r w:rsidRPr="00794EB9">
        <w:rPr>
          <w:rFonts w:ascii="Arial" w:hAnsi="Arial" w:cs="Arial"/>
          <w:b/>
          <w:bCs/>
          <w:sz w:val="22"/>
          <w:szCs w:val="22"/>
          <w:lang w:val="es-MX"/>
        </w:rPr>
        <w:t xml:space="preserve">C. </w:t>
      </w:r>
      <w:r w:rsidR="00535989" w:rsidRPr="00794EB9">
        <w:rPr>
          <w:rFonts w:ascii="Arial" w:hAnsi="Arial" w:cs="Arial"/>
          <w:b/>
          <w:bCs/>
          <w:sz w:val="22"/>
          <w:szCs w:val="22"/>
          <w:lang w:val="es-MX"/>
        </w:rPr>
        <w:t>MTRA</w:t>
      </w:r>
      <w:r w:rsidRPr="00794EB9">
        <w:rPr>
          <w:rFonts w:ascii="Arial" w:hAnsi="Arial" w:cs="Arial"/>
          <w:b/>
          <w:bCs/>
          <w:sz w:val="22"/>
          <w:szCs w:val="22"/>
          <w:lang w:val="es-MX"/>
        </w:rPr>
        <w:t xml:space="preserve">. </w:t>
      </w:r>
      <w:r w:rsidR="00535989" w:rsidRPr="00794EB9">
        <w:rPr>
          <w:rFonts w:ascii="Arial" w:hAnsi="Arial" w:cs="Arial"/>
          <w:b/>
          <w:bCs/>
          <w:sz w:val="22"/>
          <w:szCs w:val="22"/>
          <w:lang w:val="es-MX"/>
        </w:rPr>
        <w:t>ALEJANDRA GUTIÉRREZ CAMPOS</w:t>
      </w:r>
    </w:p>
    <w:p w14:paraId="53B7E73A" w14:textId="68D6B564" w:rsidR="00222A91" w:rsidRPr="00794EB9" w:rsidRDefault="00222A91" w:rsidP="00535989">
      <w:pPr>
        <w:spacing w:line="276" w:lineRule="auto"/>
        <w:ind w:left="-284"/>
        <w:jc w:val="both"/>
        <w:rPr>
          <w:rFonts w:ascii="Arial" w:hAnsi="Arial" w:cs="Arial"/>
          <w:b/>
          <w:bCs/>
          <w:caps/>
          <w:sz w:val="22"/>
          <w:szCs w:val="22"/>
          <w:lang w:val="es-MX"/>
        </w:rPr>
      </w:pPr>
      <w:r w:rsidRPr="00794EB9">
        <w:rPr>
          <w:rFonts w:ascii="Arial" w:hAnsi="Arial" w:cs="Arial"/>
          <w:b/>
          <w:bCs/>
          <w:sz w:val="22"/>
          <w:szCs w:val="22"/>
          <w:lang w:val="es-MX"/>
        </w:rPr>
        <w:t>PRESIDENT</w:t>
      </w:r>
      <w:r w:rsidR="00535989" w:rsidRPr="00794EB9">
        <w:rPr>
          <w:rFonts w:ascii="Arial" w:hAnsi="Arial" w:cs="Arial"/>
          <w:b/>
          <w:bCs/>
          <w:sz w:val="22"/>
          <w:szCs w:val="22"/>
          <w:lang w:val="es-MX"/>
        </w:rPr>
        <w:t>A</w:t>
      </w:r>
      <w:r w:rsidRPr="00794EB9">
        <w:rPr>
          <w:rFonts w:ascii="Arial" w:hAnsi="Arial" w:cs="Arial"/>
          <w:b/>
          <w:bCs/>
          <w:sz w:val="22"/>
          <w:szCs w:val="22"/>
          <w:lang w:val="es-MX"/>
        </w:rPr>
        <w:t xml:space="preserve"> MUNICIPAL </w:t>
      </w:r>
    </w:p>
    <w:p w14:paraId="512E6DD1" w14:textId="77777777" w:rsidR="00222A91" w:rsidRPr="00794EB9" w:rsidRDefault="00222A91" w:rsidP="00535989">
      <w:pPr>
        <w:spacing w:line="276" w:lineRule="auto"/>
        <w:ind w:right="-342"/>
        <w:rPr>
          <w:rFonts w:ascii="Arial" w:hAnsi="Arial" w:cs="Arial"/>
          <w:b/>
          <w:bCs/>
          <w:sz w:val="22"/>
          <w:szCs w:val="22"/>
          <w:lang w:val="es-MX"/>
        </w:rPr>
      </w:pPr>
    </w:p>
    <w:p w14:paraId="7D37CB48" w14:textId="77777777" w:rsidR="00222A91" w:rsidRPr="00794EB9" w:rsidRDefault="00222A91" w:rsidP="00535989">
      <w:pPr>
        <w:spacing w:line="276" w:lineRule="auto"/>
        <w:ind w:right="-342" w:hanging="567"/>
        <w:rPr>
          <w:rFonts w:ascii="Arial" w:hAnsi="Arial" w:cs="Arial"/>
          <w:b/>
          <w:bCs/>
          <w:sz w:val="22"/>
          <w:szCs w:val="22"/>
          <w:lang w:val="es-MX"/>
        </w:rPr>
      </w:pPr>
    </w:p>
    <w:p w14:paraId="607E799F" w14:textId="77777777" w:rsidR="00222A91" w:rsidRPr="00794EB9" w:rsidRDefault="00222A91" w:rsidP="00535989">
      <w:pPr>
        <w:spacing w:line="276" w:lineRule="auto"/>
        <w:ind w:right="-342" w:hanging="567"/>
        <w:rPr>
          <w:rFonts w:ascii="Arial" w:hAnsi="Arial" w:cs="Arial"/>
          <w:b/>
          <w:bCs/>
          <w:sz w:val="22"/>
          <w:szCs w:val="22"/>
          <w:lang w:val="es-MX"/>
        </w:rPr>
      </w:pPr>
    </w:p>
    <w:p w14:paraId="6F0CBB53" w14:textId="77777777" w:rsidR="00222A91" w:rsidRPr="00794EB9" w:rsidRDefault="00222A91" w:rsidP="00535989">
      <w:pPr>
        <w:spacing w:line="276" w:lineRule="auto"/>
        <w:ind w:right="-342" w:hanging="567"/>
        <w:rPr>
          <w:rFonts w:ascii="Arial" w:hAnsi="Arial" w:cs="Arial"/>
          <w:b/>
          <w:bCs/>
          <w:sz w:val="22"/>
          <w:szCs w:val="22"/>
          <w:lang w:val="es-MX"/>
        </w:rPr>
      </w:pPr>
    </w:p>
    <w:p w14:paraId="567B54F0" w14:textId="77777777" w:rsidR="00222A91" w:rsidRPr="00794EB9" w:rsidRDefault="00222A91" w:rsidP="00535989">
      <w:pPr>
        <w:spacing w:line="276" w:lineRule="auto"/>
        <w:ind w:right="-342" w:hanging="567"/>
        <w:jc w:val="right"/>
        <w:rPr>
          <w:rFonts w:ascii="Arial" w:hAnsi="Arial" w:cs="Arial"/>
          <w:b/>
          <w:bCs/>
          <w:sz w:val="22"/>
          <w:szCs w:val="22"/>
          <w:lang w:val="es-MX"/>
        </w:rPr>
      </w:pPr>
    </w:p>
    <w:p w14:paraId="547669B5" w14:textId="77777777" w:rsidR="00222A91" w:rsidRPr="00794EB9" w:rsidRDefault="00222A91" w:rsidP="00535989">
      <w:pPr>
        <w:spacing w:line="276" w:lineRule="auto"/>
        <w:ind w:right="-342" w:hanging="567"/>
        <w:jc w:val="right"/>
        <w:rPr>
          <w:rFonts w:ascii="Arial" w:hAnsi="Arial" w:cs="Arial"/>
          <w:b/>
          <w:bCs/>
          <w:sz w:val="22"/>
          <w:szCs w:val="22"/>
          <w:lang w:val="es-MX"/>
        </w:rPr>
      </w:pPr>
    </w:p>
    <w:p w14:paraId="5DC21B85" w14:textId="0F2C9F14" w:rsidR="00222A91" w:rsidRPr="00794EB9" w:rsidRDefault="00222A91" w:rsidP="00535989">
      <w:pPr>
        <w:spacing w:line="276" w:lineRule="auto"/>
        <w:ind w:hanging="567"/>
        <w:jc w:val="right"/>
        <w:rPr>
          <w:rFonts w:ascii="Arial" w:hAnsi="Arial" w:cs="Arial"/>
          <w:b/>
          <w:bCs/>
          <w:caps/>
          <w:sz w:val="22"/>
          <w:szCs w:val="22"/>
        </w:rPr>
      </w:pPr>
      <w:r w:rsidRPr="00794EB9">
        <w:rPr>
          <w:rFonts w:ascii="Arial" w:hAnsi="Arial" w:cs="Arial"/>
          <w:b/>
          <w:bCs/>
          <w:sz w:val="22"/>
          <w:szCs w:val="22"/>
          <w:lang w:val="es-MX"/>
        </w:rPr>
        <w:t xml:space="preserve">C. </w:t>
      </w:r>
      <w:r w:rsidR="00535989" w:rsidRPr="00794EB9">
        <w:rPr>
          <w:rFonts w:ascii="Arial" w:hAnsi="Arial" w:cs="Arial"/>
          <w:b/>
          <w:bCs/>
          <w:sz w:val="22"/>
          <w:szCs w:val="22"/>
          <w:lang w:val="es-MX"/>
        </w:rPr>
        <w:t>MTRO. JORGE DANIEL JIMÉNEZ LONA</w:t>
      </w:r>
    </w:p>
    <w:p w14:paraId="7AA6A431" w14:textId="1BD25E59" w:rsidR="004E2D29" w:rsidRPr="00794EB9" w:rsidRDefault="00222A91" w:rsidP="00535989">
      <w:pPr>
        <w:spacing w:line="276" w:lineRule="auto"/>
        <w:ind w:hanging="567"/>
        <w:jc w:val="right"/>
        <w:rPr>
          <w:rFonts w:ascii="Arial" w:hAnsi="Arial" w:cs="Arial"/>
          <w:b/>
          <w:bCs/>
          <w:sz w:val="22"/>
          <w:szCs w:val="22"/>
        </w:rPr>
      </w:pPr>
      <w:r w:rsidRPr="00794EB9">
        <w:rPr>
          <w:rFonts w:ascii="Arial" w:hAnsi="Arial" w:cs="Arial"/>
          <w:b/>
          <w:bCs/>
          <w:sz w:val="22"/>
          <w:szCs w:val="22"/>
        </w:rPr>
        <w:t>SECRETARIO DEL H. AYUNTAMIENTO</w:t>
      </w:r>
    </w:p>
    <w:p w14:paraId="525B3AC7" w14:textId="77777777" w:rsidR="003E2406" w:rsidRDefault="003E2406" w:rsidP="003E2406">
      <w:pPr>
        <w:spacing w:line="276" w:lineRule="auto"/>
        <w:jc w:val="both"/>
        <w:rPr>
          <w:rFonts w:ascii="Arial" w:hAnsi="Arial" w:cs="Arial"/>
          <w:b/>
          <w:i/>
          <w:sz w:val="18"/>
          <w:szCs w:val="18"/>
        </w:rPr>
      </w:pPr>
    </w:p>
    <w:p w14:paraId="0E1D53A7" w14:textId="77777777" w:rsidR="003E2406" w:rsidRDefault="003E2406" w:rsidP="003E2406">
      <w:pPr>
        <w:spacing w:line="276" w:lineRule="auto"/>
        <w:ind w:left="-284"/>
        <w:jc w:val="both"/>
        <w:rPr>
          <w:rFonts w:ascii="Arial" w:hAnsi="Arial" w:cs="Arial"/>
          <w:b/>
          <w:i/>
          <w:sz w:val="18"/>
          <w:szCs w:val="18"/>
        </w:rPr>
      </w:pPr>
    </w:p>
    <w:p w14:paraId="4748E3E2" w14:textId="5C346F9F" w:rsidR="003E2406" w:rsidRDefault="003E2406" w:rsidP="003E2406">
      <w:pPr>
        <w:spacing w:line="276" w:lineRule="auto"/>
        <w:ind w:left="-284"/>
        <w:jc w:val="both"/>
        <w:rPr>
          <w:rFonts w:ascii="Arial" w:hAnsi="Arial" w:cs="Arial"/>
          <w:b/>
          <w:i/>
          <w:sz w:val="18"/>
          <w:szCs w:val="18"/>
        </w:rPr>
      </w:pPr>
      <w:r w:rsidRPr="003E2406">
        <w:rPr>
          <w:rFonts w:ascii="Arial" w:hAnsi="Arial" w:cs="Arial"/>
          <w:b/>
          <w:i/>
          <w:sz w:val="18"/>
          <w:szCs w:val="18"/>
        </w:rPr>
        <w:t xml:space="preserve">Publicado en el Periódico Oficial del Gobierno del </w:t>
      </w:r>
      <w:r w:rsidR="005712E5">
        <w:rPr>
          <w:rFonts w:ascii="Arial" w:hAnsi="Arial" w:cs="Arial"/>
          <w:b/>
          <w:i/>
          <w:sz w:val="18"/>
          <w:szCs w:val="18"/>
        </w:rPr>
        <w:t>Estado de Guanajuato, número 260</w:t>
      </w:r>
      <w:r w:rsidRPr="003E2406">
        <w:rPr>
          <w:rFonts w:ascii="Arial" w:hAnsi="Arial" w:cs="Arial"/>
          <w:b/>
          <w:i/>
          <w:sz w:val="18"/>
          <w:szCs w:val="18"/>
        </w:rPr>
        <w:t xml:space="preserve">, </w:t>
      </w:r>
      <w:r>
        <w:rPr>
          <w:rFonts w:ascii="Arial" w:hAnsi="Arial" w:cs="Arial"/>
          <w:b/>
          <w:i/>
          <w:sz w:val="18"/>
          <w:szCs w:val="18"/>
        </w:rPr>
        <w:t>quincuagésima segunda parte, d</w:t>
      </w:r>
      <w:r w:rsidRPr="003E2406">
        <w:rPr>
          <w:rFonts w:ascii="Arial" w:hAnsi="Arial" w:cs="Arial"/>
          <w:b/>
          <w:i/>
          <w:sz w:val="18"/>
          <w:szCs w:val="18"/>
        </w:rPr>
        <w:t>e f</w:t>
      </w:r>
      <w:r w:rsidR="006C7EB7">
        <w:rPr>
          <w:rFonts w:ascii="Arial" w:hAnsi="Arial" w:cs="Arial"/>
          <w:b/>
          <w:i/>
          <w:sz w:val="18"/>
          <w:szCs w:val="18"/>
        </w:rPr>
        <w:t>echa 30</w:t>
      </w:r>
      <w:r w:rsidRPr="003E2406">
        <w:rPr>
          <w:rFonts w:ascii="Arial" w:hAnsi="Arial" w:cs="Arial"/>
          <w:b/>
          <w:i/>
          <w:sz w:val="18"/>
          <w:szCs w:val="18"/>
        </w:rPr>
        <w:t xml:space="preserve"> de diciembre </w:t>
      </w:r>
      <w:r>
        <w:rPr>
          <w:rFonts w:ascii="Arial" w:hAnsi="Arial" w:cs="Arial"/>
          <w:b/>
          <w:i/>
          <w:sz w:val="18"/>
          <w:szCs w:val="18"/>
        </w:rPr>
        <w:t>de 2021</w:t>
      </w:r>
      <w:r w:rsidRPr="003E2406">
        <w:rPr>
          <w:rFonts w:ascii="Arial" w:hAnsi="Arial" w:cs="Arial"/>
          <w:b/>
          <w:i/>
          <w:sz w:val="18"/>
          <w:szCs w:val="18"/>
        </w:rPr>
        <w:t>.</w:t>
      </w:r>
    </w:p>
    <w:p w14:paraId="161EED82" w14:textId="77777777" w:rsidR="003E2406" w:rsidRDefault="003E2406" w:rsidP="003E2406">
      <w:pPr>
        <w:spacing w:line="276" w:lineRule="auto"/>
        <w:ind w:left="-284"/>
        <w:jc w:val="both"/>
        <w:rPr>
          <w:rFonts w:ascii="Arial" w:hAnsi="Arial" w:cs="Arial"/>
          <w:b/>
          <w:i/>
          <w:sz w:val="18"/>
          <w:szCs w:val="18"/>
        </w:rPr>
      </w:pPr>
    </w:p>
    <w:p w14:paraId="6FE85C33" w14:textId="77777777" w:rsidR="003E2406" w:rsidRDefault="003E2406" w:rsidP="003E2406">
      <w:pPr>
        <w:spacing w:line="276" w:lineRule="auto"/>
        <w:ind w:left="-284"/>
        <w:jc w:val="both"/>
        <w:rPr>
          <w:rFonts w:ascii="Arial" w:hAnsi="Arial" w:cs="Arial"/>
          <w:b/>
          <w:i/>
          <w:sz w:val="18"/>
          <w:szCs w:val="18"/>
        </w:rPr>
      </w:pPr>
    </w:p>
    <w:p w14:paraId="22156FB9" w14:textId="54F828FB" w:rsidR="00D46D1B" w:rsidRPr="00C51006" w:rsidRDefault="003E2406" w:rsidP="00C51006">
      <w:pPr>
        <w:spacing w:line="276" w:lineRule="auto"/>
        <w:ind w:left="-284"/>
        <w:jc w:val="both"/>
        <w:rPr>
          <w:rFonts w:ascii="Arial" w:hAnsi="Arial" w:cs="Arial"/>
          <w:b/>
          <w:i/>
          <w:sz w:val="18"/>
          <w:szCs w:val="18"/>
        </w:rPr>
      </w:pPr>
      <w:r w:rsidRPr="003E2406">
        <w:rPr>
          <w:rFonts w:ascii="Arial" w:hAnsi="Arial" w:cs="Arial"/>
          <w:b/>
          <w:i/>
          <w:sz w:val="18"/>
          <w:szCs w:val="18"/>
        </w:rPr>
        <w:t xml:space="preserve">Publicado en el Periódico Oficial del Gobierno del </w:t>
      </w:r>
      <w:r w:rsidR="005712E5">
        <w:rPr>
          <w:rFonts w:ascii="Arial" w:hAnsi="Arial" w:cs="Arial"/>
          <w:b/>
          <w:i/>
          <w:sz w:val="18"/>
          <w:szCs w:val="18"/>
        </w:rPr>
        <w:t>Estado de Guanajuato, número 257</w:t>
      </w:r>
      <w:bookmarkStart w:id="2" w:name="_GoBack"/>
      <w:bookmarkEnd w:id="2"/>
      <w:r w:rsidRPr="003E2406">
        <w:rPr>
          <w:rFonts w:ascii="Arial" w:hAnsi="Arial" w:cs="Arial"/>
          <w:b/>
          <w:i/>
          <w:sz w:val="18"/>
          <w:szCs w:val="18"/>
        </w:rPr>
        <w:t>, segunda parte</w:t>
      </w:r>
      <w:r>
        <w:rPr>
          <w:rFonts w:ascii="Arial" w:hAnsi="Arial" w:cs="Arial"/>
          <w:b/>
          <w:i/>
          <w:sz w:val="18"/>
          <w:szCs w:val="18"/>
        </w:rPr>
        <w:t>,</w:t>
      </w:r>
      <w:r w:rsidRPr="003E2406">
        <w:rPr>
          <w:rFonts w:ascii="Arial" w:hAnsi="Arial" w:cs="Arial"/>
          <w:b/>
          <w:i/>
          <w:sz w:val="18"/>
          <w:szCs w:val="18"/>
        </w:rPr>
        <w:t xml:space="preserve"> de fecha 27 de diciembre de 2022.</w:t>
      </w:r>
    </w:p>
    <w:p w14:paraId="660FE000" w14:textId="5AF93321" w:rsidR="00D46D1B" w:rsidRPr="0069081C" w:rsidRDefault="00D46D1B" w:rsidP="00C51006">
      <w:pPr>
        <w:spacing w:line="276" w:lineRule="auto"/>
        <w:ind w:left="-284"/>
        <w:jc w:val="both"/>
        <w:rPr>
          <w:rFonts w:ascii="Arial" w:hAnsi="Arial" w:cs="Arial"/>
          <w:i/>
          <w:sz w:val="18"/>
          <w:szCs w:val="18"/>
        </w:rPr>
      </w:pPr>
      <w:r w:rsidRPr="0069081C">
        <w:rPr>
          <w:rFonts w:ascii="Arial" w:eastAsia="Arial" w:hAnsi="Arial" w:cs="Arial"/>
          <w:i/>
          <w:color w:val="000000"/>
          <w:sz w:val="18"/>
          <w:szCs w:val="18"/>
        </w:rPr>
        <w:t xml:space="preserve">PRIMERO. Se incrementan las metas y en su caso se modifica el cumplimiento anual de las mismas, </w:t>
      </w:r>
      <w:r w:rsidR="00C51006" w:rsidRPr="0069081C">
        <w:rPr>
          <w:rFonts w:ascii="Arial" w:eastAsia="Arial" w:hAnsi="Arial" w:cs="Arial"/>
          <w:i/>
          <w:color w:val="000000"/>
          <w:sz w:val="18"/>
          <w:szCs w:val="18"/>
        </w:rPr>
        <w:t>para los siguientes indicadores:</w:t>
      </w:r>
    </w:p>
    <w:p w14:paraId="6C96093A" w14:textId="0214F1FE" w:rsidR="00D46D1B" w:rsidRPr="0069081C" w:rsidRDefault="00D46D1B" w:rsidP="00C51006">
      <w:pPr>
        <w:pStyle w:val="Prrafodelista"/>
        <w:numPr>
          <w:ilvl w:val="0"/>
          <w:numId w:val="30"/>
        </w:numPr>
        <w:spacing w:line="276" w:lineRule="auto"/>
        <w:ind w:left="0" w:hanging="284"/>
        <w:jc w:val="both"/>
        <w:rPr>
          <w:rFonts w:ascii="Arial" w:hAnsi="Arial" w:cs="Arial"/>
          <w:i/>
          <w:sz w:val="18"/>
          <w:szCs w:val="18"/>
        </w:rPr>
      </w:pPr>
      <w:r w:rsidRPr="0069081C">
        <w:rPr>
          <w:rFonts w:ascii="Arial" w:eastAsia="Arial" w:hAnsi="Arial" w:cs="Arial"/>
          <w:i/>
          <w:color w:val="000000"/>
          <w:sz w:val="18"/>
          <w:szCs w:val="18"/>
        </w:rPr>
        <w:t xml:space="preserve">Indicadores </w:t>
      </w:r>
      <w:r w:rsidRPr="0069081C">
        <w:rPr>
          <w:rFonts w:ascii="Arial" w:hAnsi="Arial" w:cs="Arial"/>
          <w:i/>
          <w:color w:val="000000"/>
          <w:sz w:val="18"/>
          <w:szCs w:val="18"/>
        </w:rPr>
        <w:t>VT. 2.1.6, VT. 2.1.7, VT. 2.2.1, VT. 2.5.6 y VT. 2.5.11, establecidos en la Bandera. Vivir Tranquilo, Estrategia 1. Estado de Derecho y Seguridad Pública, Programa VT.2 Movilidad Segura;</w:t>
      </w:r>
    </w:p>
    <w:p w14:paraId="5D109294" w14:textId="447F4CCB" w:rsidR="00D46D1B" w:rsidRPr="0069081C" w:rsidRDefault="00D46D1B" w:rsidP="00C51006">
      <w:pPr>
        <w:pStyle w:val="Prrafodelista"/>
        <w:numPr>
          <w:ilvl w:val="0"/>
          <w:numId w:val="30"/>
        </w:numPr>
        <w:pBdr>
          <w:top w:val="nil"/>
          <w:left w:val="nil"/>
          <w:bottom w:val="nil"/>
          <w:right w:val="nil"/>
          <w:between w:val="nil"/>
        </w:pBdr>
        <w:ind w:left="0" w:hanging="284"/>
        <w:jc w:val="both"/>
        <w:rPr>
          <w:rFonts w:ascii="Arial" w:eastAsia="Arial" w:hAnsi="Arial" w:cs="Arial"/>
          <w:i/>
          <w:color w:val="000000"/>
          <w:sz w:val="18"/>
          <w:szCs w:val="18"/>
        </w:rPr>
      </w:pPr>
      <w:r w:rsidRPr="0069081C">
        <w:rPr>
          <w:rFonts w:ascii="Arial" w:eastAsia="Arial" w:hAnsi="Arial" w:cs="Arial"/>
          <w:i/>
          <w:color w:val="000000"/>
          <w:sz w:val="18"/>
          <w:szCs w:val="18"/>
        </w:rPr>
        <w:t>Indicador VS. 1.5.9, establecido en la Bandera. Vivir Sano, Estrategia 3. Medio Ambiente y Sustentabilidad, Programa VS1. León Verde;</w:t>
      </w:r>
    </w:p>
    <w:p w14:paraId="789460A1" w14:textId="73A7FE95" w:rsidR="00D46D1B" w:rsidRPr="0069081C" w:rsidRDefault="00D46D1B" w:rsidP="00C51006">
      <w:pPr>
        <w:pStyle w:val="Prrafodelista"/>
        <w:numPr>
          <w:ilvl w:val="0"/>
          <w:numId w:val="30"/>
        </w:numPr>
        <w:spacing w:line="276" w:lineRule="auto"/>
        <w:ind w:left="0" w:hanging="284"/>
        <w:jc w:val="both"/>
        <w:rPr>
          <w:rFonts w:ascii="Arial" w:hAnsi="Arial" w:cs="Arial"/>
          <w:i/>
          <w:sz w:val="18"/>
          <w:szCs w:val="18"/>
        </w:rPr>
      </w:pPr>
      <w:r w:rsidRPr="0069081C">
        <w:rPr>
          <w:rFonts w:ascii="Arial" w:eastAsia="Arial" w:hAnsi="Arial" w:cs="Arial"/>
          <w:i/>
          <w:color w:val="000000"/>
          <w:sz w:val="18"/>
          <w:szCs w:val="18"/>
        </w:rPr>
        <w:t>Indicador VS. 4.3.15, establecida en la Bandera. Vivir Sano, Estrategia 4. Bienestar para la Población, Programa VS4. León para Todos;</w:t>
      </w:r>
    </w:p>
    <w:p w14:paraId="0EDE9936" w14:textId="5DDBE28E" w:rsidR="00D46D1B" w:rsidRPr="0069081C" w:rsidRDefault="00D46D1B" w:rsidP="00C51006">
      <w:pPr>
        <w:pStyle w:val="Prrafodelista"/>
        <w:numPr>
          <w:ilvl w:val="0"/>
          <w:numId w:val="30"/>
        </w:numPr>
        <w:spacing w:line="276" w:lineRule="auto"/>
        <w:ind w:left="0" w:hanging="284"/>
        <w:jc w:val="both"/>
        <w:rPr>
          <w:rFonts w:ascii="Arial" w:hAnsi="Arial" w:cs="Arial"/>
          <w:i/>
          <w:sz w:val="18"/>
          <w:szCs w:val="18"/>
        </w:rPr>
      </w:pPr>
      <w:r w:rsidRPr="0069081C">
        <w:rPr>
          <w:rFonts w:ascii="Arial" w:eastAsia="Arial" w:hAnsi="Arial" w:cs="Arial"/>
          <w:i/>
          <w:color w:val="000000"/>
          <w:sz w:val="18"/>
          <w:szCs w:val="18"/>
        </w:rPr>
        <w:t>Indicador</w:t>
      </w:r>
      <w:r w:rsidRPr="0069081C">
        <w:rPr>
          <w:rFonts w:ascii="Arial" w:hAnsi="Arial" w:cs="Arial"/>
          <w:i/>
          <w:color w:val="000000"/>
          <w:sz w:val="18"/>
          <w:szCs w:val="18"/>
        </w:rPr>
        <w:t>es VM. 1.4.2, VM. 1.6.2 y VM. 1.6.4, establecidos en la Bandera. Vivir Mejor, Estrategia 5. Economía y Emprendimiento, Programa VM1. Salir Adelante;</w:t>
      </w:r>
    </w:p>
    <w:p w14:paraId="578F5619" w14:textId="41649408" w:rsidR="00D46D1B" w:rsidRPr="0069081C" w:rsidRDefault="00D46D1B" w:rsidP="00C51006">
      <w:pPr>
        <w:pStyle w:val="Prrafodelista"/>
        <w:numPr>
          <w:ilvl w:val="0"/>
          <w:numId w:val="30"/>
        </w:numPr>
        <w:spacing w:line="276" w:lineRule="auto"/>
        <w:ind w:left="0" w:hanging="284"/>
        <w:jc w:val="both"/>
        <w:rPr>
          <w:rFonts w:ascii="Arial" w:hAnsi="Arial" w:cs="Arial"/>
          <w:i/>
          <w:sz w:val="18"/>
          <w:szCs w:val="18"/>
        </w:rPr>
      </w:pPr>
      <w:r w:rsidRPr="0069081C">
        <w:rPr>
          <w:rFonts w:ascii="Arial" w:eastAsia="Arial" w:hAnsi="Arial" w:cs="Arial"/>
          <w:i/>
          <w:color w:val="000000"/>
          <w:sz w:val="18"/>
          <w:szCs w:val="18"/>
        </w:rPr>
        <w:t>Indicador VM. 2.5.3, establecido en la Bandera. Vivir Mejor, Estrategia 5. Economía y Emprendimiento, Programa VM2. León de Oportunidades</w:t>
      </w:r>
      <w:r w:rsidR="00C51006" w:rsidRPr="0069081C">
        <w:rPr>
          <w:rFonts w:ascii="Arial" w:eastAsia="Arial" w:hAnsi="Arial" w:cs="Arial"/>
          <w:i/>
          <w:color w:val="000000"/>
          <w:sz w:val="18"/>
          <w:szCs w:val="18"/>
        </w:rPr>
        <w:t>, y</w:t>
      </w:r>
    </w:p>
    <w:p w14:paraId="5BE50F9B" w14:textId="7070D607" w:rsidR="00D46D1B" w:rsidRPr="0069081C" w:rsidRDefault="00C51006" w:rsidP="00C51006">
      <w:pPr>
        <w:pStyle w:val="Prrafodelista"/>
        <w:numPr>
          <w:ilvl w:val="0"/>
          <w:numId w:val="30"/>
        </w:numPr>
        <w:pBdr>
          <w:top w:val="nil"/>
          <w:left w:val="nil"/>
          <w:bottom w:val="nil"/>
          <w:right w:val="nil"/>
          <w:between w:val="nil"/>
        </w:pBdr>
        <w:ind w:left="0" w:right="49" w:hanging="284"/>
        <w:jc w:val="both"/>
        <w:rPr>
          <w:rFonts w:ascii="Arial" w:eastAsia="Arial" w:hAnsi="Arial" w:cs="Arial"/>
          <w:i/>
          <w:color w:val="000000"/>
          <w:sz w:val="18"/>
          <w:szCs w:val="18"/>
        </w:rPr>
      </w:pPr>
      <w:r w:rsidRPr="0069081C">
        <w:rPr>
          <w:rFonts w:ascii="Arial" w:eastAsia="Arial" w:hAnsi="Arial" w:cs="Arial"/>
          <w:i/>
          <w:color w:val="000000"/>
          <w:sz w:val="18"/>
          <w:szCs w:val="18"/>
        </w:rPr>
        <w:t>Indicador VM. 3.3.1, establecido en la Bandera. Vivir Mejor, Estrategia 6. Infraestructura para el Futuro, Programa VM3. León 450.</w:t>
      </w:r>
    </w:p>
    <w:p w14:paraId="7DC5DF01" w14:textId="70BF2D93" w:rsidR="00C51006" w:rsidRPr="0069081C" w:rsidRDefault="00C51006" w:rsidP="00C51006">
      <w:pPr>
        <w:spacing w:line="276" w:lineRule="auto"/>
        <w:ind w:left="-284"/>
        <w:jc w:val="both"/>
        <w:rPr>
          <w:rFonts w:ascii="Arial" w:eastAsia="Arial" w:hAnsi="Arial" w:cs="Arial"/>
          <w:i/>
          <w:color w:val="000000"/>
          <w:sz w:val="18"/>
          <w:szCs w:val="18"/>
        </w:rPr>
      </w:pPr>
      <w:r w:rsidRPr="0069081C">
        <w:rPr>
          <w:rFonts w:ascii="Arial" w:eastAsia="Arial" w:hAnsi="Arial" w:cs="Arial"/>
          <w:i/>
          <w:color w:val="000000"/>
          <w:sz w:val="18"/>
          <w:szCs w:val="18"/>
        </w:rPr>
        <w:t>SEGUNDO. Se ajusta la redacción de metas y en su caso se modifica el cumplimiento anual de las mismas, para los siguientes indicadores:</w:t>
      </w:r>
    </w:p>
    <w:p w14:paraId="71444FD1" w14:textId="6CDA0121" w:rsidR="00C51006" w:rsidRPr="0069081C" w:rsidRDefault="00C51006" w:rsidP="00C51006">
      <w:pPr>
        <w:pStyle w:val="Prrafodelista"/>
        <w:numPr>
          <w:ilvl w:val="0"/>
          <w:numId w:val="32"/>
        </w:numPr>
        <w:spacing w:line="276" w:lineRule="auto"/>
        <w:ind w:left="0" w:hanging="284"/>
        <w:jc w:val="both"/>
        <w:rPr>
          <w:rFonts w:ascii="Arial" w:hAnsi="Arial" w:cs="Arial"/>
          <w:i/>
          <w:sz w:val="18"/>
          <w:szCs w:val="18"/>
        </w:rPr>
      </w:pPr>
      <w:r w:rsidRPr="0069081C">
        <w:rPr>
          <w:rFonts w:ascii="Arial" w:eastAsia="Arial" w:hAnsi="Arial" w:cs="Arial"/>
          <w:i/>
          <w:color w:val="000000"/>
          <w:sz w:val="18"/>
          <w:szCs w:val="18"/>
        </w:rPr>
        <w:t>Indicador VM. 2.4.1 establecido en la Bandera. Vivir Mejor, Estrategia 5. Economía y Emprendimiento, Programa VM2. León de Oportunidades, y</w:t>
      </w:r>
    </w:p>
    <w:p w14:paraId="470271DD" w14:textId="78A66C22" w:rsidR="00C51006" w:rsidRPr="0069081C" w:rsidRDefault="00C51006" w:rsidP="00C51006">
      <w:pPr>
        <w:pStyle w:val="Prrafodelista"/>
        <w:numPr>
          <w:ilvl w:val="0"/>
          <w:numId w:val="32"/>
        </w:numPr>
        <w:spacing w:line="276" w:lineRule="auto"/>
        <w:ind w:left="0" w:hanging="284"/>
        <w:jc w:val="both"/>
        <w:rPr>
          <w:rFonts w:ascii="Arial" w:hAnsi="Arial" w:cs="Arial"/>
          <w:i/>
          <w:sz w:val="18"/>
          <w:szCs w:val="18"/>
        </w:rPr>
      </w:pPr>
      <w:r w:rsidRPr="0069081C">
        <w:rPr>
          <w:rFonts w:ascii="Arial" w:eastAsia="Arial" w:hAnsi="Arial" w:cs="Arial"/>
          <w:i/>
          <w:color w:val="000000"/>
          <w:sz w:val="18"/>
          <w:szCs w:val="18"/>
        </w:rPr>
        <w:t>Indicador VM. 1.4.1 establecido en la Bandera. Vivir Mejor, Estrategia 5. Economía y Emprendimiento, Programa VM.1 Salir Adelante.</w:t>
      </w:r>
    </w:p>
    <w:p w14:paraId="03CA0EF4" w14:textId="33CFB9F6" w:rsidR="00C51006" w:rsidRPr="0069081C" w:rsidRDefault="00C51006" w:rsidP="00C51006">
      <w:pPr>
        <w:pBdr>
          <w:top w:val="nil"/>
          <w:left w:val="nil"/>
          <w:bottom w:val="nil"/>
          <w:right w:val="nil"/>
          <w:between w:val="nil"/>
        </w:pBdr>
        <w:ind w:left="-284" w:right="49"/>
        <w:jc w:val="both"/>
        <w:rPr>
          <w:rFonts w:ascii="Arial" w:eastAsia="Arial" w:hAnsi="Arial" w:cs="Arial"/>
          <w:i/>
          <w:color w:val="000000"/>
          <w:sz w:val="18"/>
          <w:szCs w:val="18"/>
        </w:rPr>
      </w:pPr>
      <w:r w:rsidRPr="0069081C">
        <w:rPr>
          <w:rFonts w:ascii="Arial" w:eastAsia="Arial" w:hAnsi="Arial" w:cs="Arial"/>
          <w:i/>
          <w:color w:val="000000"/>
          <w:sz w:val="18"/>
          <w:szCs w:val="18"/>
        </w:rPr>
        <w:t>TERCERO. Se disminuyen las metas y en su caso se modifica el cumplimiento anual de las mismas, para los siguientes indicadores:</w:t>
      </w:r>
    </w:p>
    <w:p w14:paraId="2B5B4CE2" w14:textId="79AC680D" w:rsidR="00C51006" w:rsidRPr="0069081C" w:rsidRDefault="00C51006" w:rsidP="00C51006">
      <w:pPr>
        <w:pStyle w:val="Prrafodelista"/>
        <w:numPr>
          <w:ilvl w:val="0"/>
          <w:numId w:val="33"/>
        </w:numPr>
        <w:pBdr>
          <w:top w:val="nil"/>
          <w:left w:val="nil"/>
          <w:bottom w:val="nil"/>
          <w:right w:val="nil"/>
          <w:between w:val="nil"/>
        </w:pBdr>
        <w:ind w:left="0" w:right="49" w:hanging="284"/>
        <w:jc w:val="both"/>
        <w:rPr>
          <w:rFonts w:ascii="Arial" w:eastAsia="Arial" w:hAnsi="Arial" w:cs="Arial"/>
          <w:i/>
          <w:color w:val="000000"/>
          <w:sz w:val="18"/>
          <w:szCs w:val="18"/>
        </w:rPr>
      </w:pPr>
      <w:r w:rsidRPr="0069081C">
        <w:rPr>
          <w:rFonts w:ascii="Arial" w:eastAsia="Arial" w:hAnsi="Arial" w:cs="Arial"/>
          <w:i/>
          <w:color w:val="000000"/>
          <w:sz w:val="18"/>
          <w:szCs w:val="18"/>
        </w:rPr>
        <w:t>Indicador VT. 1.4 establecido en la Bandera. Vivir Tranquilo, Estrategia 1. Estado de Derecho y Seguridad Pública, Programa VT.1 Gobierno Cercano 24/7;</w:t>
      </w:r>
    </w:p>
    <w:p w14:paraId="6620AA83" w14:textId="0CCA0774" w:rsidR="00C51006" w:rsidRPr="0069081C" w:rsidRDefault="00C51006" w:rsidP="00C51006">
      <w:pPr>
        <w:pStyle w:val="Prrafodelista"/>
        <w:numPr>
          <w:ilvl w:val="0"/>
          <w:numId w:val="33"/>
        </w:numPr>
        <w:pBdr>
          <w:top w:val="nil"/>
          <w:left w:val="nil"/>
          <w:bottom w:val="nil"/>
          <w:right w:val="nil"/>
          <w:between w:val="nil"/>
        </w:pBdr>
        <w:ind w:left="0" w:right="49" w:hanging="284"/>
        <w:jc w:val="both"/>
        <w:rPr>
          <w:rFonts w:ascii="Arial" w:eastAsia="Arial" w:hAnsi="Arial" w:cs="Arial"/>
          <w:i/>
          <w:color w:val="000000"/>
          <w:sz w:val="18"/>
          <w:szCs w:val="18"/>
        </w:rPr>
      </w:pPr>
      <w:r w:rsidRPr="0069081C">
        <w:rPr>
          <w:rFonts w:ascii="Arial" w:eastAsia="Arial" w:hAnsi="Arial" w:cs="Arial"/>
          <w:i/>
          <w:color w:val="000000"/>
          <w:sz w:val="18"/>
          <w:szCs w:val="18"/>
        </w:rPr>
        <w:t>Indicadores VT. 2.1.5 y 2.3.3 establecidos en la Bandera. Vivir Tranquilo, Estrategia 1. Estado de Derecho y Seguridad Pública, Programa VT.2 Movilidad Segura;</w:t>
      </w:r>
    </w:p>
    <w:p w14:paraId="3D8CB1C7" w14:textId="6E90F833" w:rsidR="00C51006" w:rsidRPr="0069081C" w:rsidRDefault="00C51006" w:rsidP="006C7EB7">
      <w:pPr>
        <w:pStyle w:val="Prrafodelista"/>
        <w:numPr>
          <w:ilvl w:val="0"/>
          <w:numId w:val="33"/>
        </w:numPr>
        <w:pBdr>
          <w:top w:val="nil"/>
          <w:left w:val="nil"/>
          <w:bottom w:val="nil"/>
          <w:right w:val="nil"/>
          <w:between w:val="nil"/>
        </w:pBdr>
        <w:ind w:left="0" w:right="49" w:hanging="284"/>
        <w:jc w:val="both"/>
        <w:rPr>
          <w:rFonts w:ascii="Arial" w:eastAsia="Arial" w:hAnsi="Arial" w:cs="Arial"/>
          <w:i/>
          <w:color w:val="000000"/>
          <w:sz w:val="18"/>
          <w:szCs w:val="18"/>
        </w:rPr>
      </w:pPr>
      <w:r w:rsidRPr="0069081C">
        <w:rPr>
          <w:rFonts w:ascii="Arial" w:eastAsia="Arial" w:hAnsi="Arial" w:cs="Arial"/>
          <w:i/>
          <w:color w:val="000000"/>
          <w:sz w:val="18"/>
          <w:szCs w:val="18"/>
        </w:rPr>
        <w:lastRenderedPageBreak/>
        <w:t xml:space="preserve">Indicadores VS. 1.5.5 </w:t>
      </w:r>
      <w:r w:rsidRPr="0069081C">
        <w:rPr>
          <w:rFonts w:ascii="Arial" w:eastAsia="Arial" w:hAnsi="Arial" w:cs="Arial"/>
          <w:bCs/>
          <w:i/>
          <w:color w:val="000000"/>
          <w:sz w:val="18"/>
          <w:szCs w:val="18"/>
        </w:rPr>
        <w:t xml:space="preserve">y </w:t>
      </w:r>
      <w:r w:rsidRPr="0069081C">
        <w:rPr>
          <w:rFonts w:ascii="Arial" w:eastAsia="Arial" w:hAnsi="Arial" w:cs="Arial"/>
          <w:i/>
          <w:color w:val="000000"/>
          <w:sz w:val="18"/>
          <w:szCs w:val="18"/>
        </w:rPr>
        <w:t>1.5.8 establecido en la Bandera Vivir Sano, Estrategia 3. Medio Ambiente y Sustentabilidad, Programa VS1. León Verde, y</w:t>
      </w:r>
    </w:p>
    <w:p w14:paraId="4CB03B81" w14:textId="63466A7D" w:rsidR="00C51006" w:rsidRPr="0069081C" w:rsidRDefault="00C51006" w:rsidP="006C7EB7">
      <w:pPr>
        <w:pStyle w:val="Prrafodelista"/>
        <w:numPr>
          <w:ilvl w:val="0"/>
          <w:numId w:val="33"/>
        </w:numPr>
        <w:pBdr>
          <w:top w:val="nil"/>
          <w:left w:val="nil"/>
          <w:bottom w:val="nil"/>
          <w:right w:val="nil"/>
          <w:between w:val="nil"/>
        </w:pBdr>
        <w:ind w:left="0" w:right="49" w:hanging="284"/>
        <w:jc w:val="both"/>
        <w:rPr>
          <w:rFonts w:ascii="Arial" w:eastAsia="Arial" w:hAnsi="Arial" w:cs="Arial"/>
          <w:i/>
          <w:color w:val="000000"/>
          <w:sz w:val="18"/>
          <w:szCs w:val="18"/>
        </w:rPr>
      </w:pPr>
      <w:r w:rsidRPr="0069081C">
        <w:rPr>
          <w:rFonts w:ascii="Arial" w:eastAsia="Arial" w:hAnsi="Arial" w:cs="Arial"/>
          <w:i/>
          <w:color w:val="000000"/>
          <w:sz w:val="18"/>
          <w:szCs w:val="18"/>
        </w:rPr>
        <w:t>Indicador VS. 4.3.14 establecido en la Bandera. Vivir Sano, Estrategia 4. Bienestar para la Población, Programa VS4. León para todos.</w:t>
      </w:r>
    </w:p>
    <w:p w14:paraId="52BF313E" w14:textId="77777777" w:rsidR="00C51006" w:rsidRPr="0069081C" w:rsidRDefault="00C51006" w:rsidP="006C7EB7">
      <w:pPr>
        <w:ind w:left="-284"/>
        <w:jc w:val="both"/>
        <w:rPr>
          <w:rFonts w:ascii="Arial" w:hAnsi="Arial" w:cs="Arial"/>
          <w:i/>
          <w:sz w:val="18"/>
          <w:szCs w:val="18"/>
        </w:rPr>
      </w:pPr>
      <w:r w:rsidRPr="0069081C">
        <w:rPr>
          <w:rFonts w:ascii="Arial" w:hAnsi="Arial" w:cs="Arial"/>
          <w:i/>
          <w:sz w:val="18"/>
          <w:szCs w:val="18"/>
        </w:rPr>
        <w:t>TRANSITORIOS</w:t>
      </w:r>
    </w:p>
    <w:p w14:paraId="4FD22A5E" w14:textId="1FE79829" w:rsidR="00C51006" w:rsidRPr="0069081C" w:rsidRDefault="00C51006" w:rsidP="006C7EB7">
      <w:pPr>
        <w:ind w:left="-284"/>
        <w:jc w:val="both"/>
        <w:rPr>
          <w:rFonts w:ascii="Arial" w:hAnsi="Arial" w:cs="Arial"/>
          <w:i/>
          <w:sz w:val="18"/>
          <w:szCs w:val="18"/>
        </w:rPr>
      </w:pPr>
      <w:r w:rsidRPr="0069081C">
        <w:rPr>
          <w:rFonts w:ascii="Arial" w:hAnsi="Arial" w:cs="Arial"/>
          <w:i/>
          <w:sz w:val="18"/>
          <w:szCs w:val="18"/>
        </w:rPr>
        <w:t>Artículo Primero: Las presentes disposiciones entrarán en vigor al día siguiente al de su publicación en el Periódico Oficial del Gobierno del Estado de Guanajuato.</w:t>
      </w:r>
    </w:p>
    <w:p w14:paraId="158E6204" w14:textId="4DABB882" w:rsidR="00C51006" w:rsidRPr="0069081C" w:rsidRDefault="00C51006" w:rsidP="006C7EB7">
      <w:pPr>
        <w:ind w:left="-284"/>
        <w:jc w:val="both"/>
        <w:rPr>
          <w:rFonts w:ascii="Arial" w:hAnsi="Arial" w:cs="Arial"/>
          <w:i/>
          <w:sz w:val="18"/>
          <w:szCs w:val="18"/>
        </w:rPr>
      </w:pPr>
      <w:r w:rsidRPr="0069081C">
        <w:rPr>
          <w:rFonts w:ascii="Arial" w:hAnsi="Arial" w:cs="Arial"/>
          <w:i/>
          <w:sz w:val="18"/>
          <w:szCs w:val="18"/>
        </w:rPr>
        <w:t xml:space="preserve">Artículo Segundo: Las referencias a las acciones del Programa de Gobierno Municipal 2021 – 2024, previstas en los </w:t>
      </w:r>
      <w:r w:rsidRPr="0069081C">
        <w:rPr>
          <w:rFonts w:ascii="Arial" w:eastAsia="Arial" w:hAnsi="Arial" w:cs="Arial"/>
          <w:i/>
          <w:color w:val="000000"/>
          <w:sz w:val="18"/>
          <w:szCs w:val="18"/>
        </w:rPr>
        <w:t xml:space="preserve">indicadores: VS. 4.3.15, establecida en la Bandera. Vivir Sano, Estrategia 4. Bienestar para la Población, Programa VS4. León para Todos; VM. 2.4.1 establecido en la Bandera. Vivir Mejor, Estrategia 5. Economía y Emprendimiento, Programa VM2. León de Oportunidades; VM. 1.4.1 establecido en la Bandera. Vivir Mejor, Estrategia 5. Economía y Emprendimiento, Programa VM.1 Salir Adelante; y VT. 2.1.5 y 2.3.3 establecidos en la Bandera. Vivir Tranquilo, Estrategia 1. Estado de Derecho y Seguridad Pública, Programa VT.2 Movilidad Segura, </w:t>
      </w:r>
      <w:r w:rsidRPr="0069081C">
        <w:rPr>
          <w:rFonts w:ascii="Arial" w:hAnsi="Arial" w:cs="Arial"/>
          <w:i/>
          <w:sz w:val="18"/>
          <w:szCs w:val="18"/>
        </w:rPr>
        <w:t>se ajustarán atendiendo a lo establecido en el presente acuerdo.</w:t>
      </w:r>
    </w:p>
    <w:p w14:paraId="2516B52C" w14:textId="77777777" w:rsidR="00C51006" w:rsidRPr="0069081C" w:rsidRDefault="00C51006" w:rsidP="00C51006">
      <w:pPr>
        <w:pBdr>
          <w:top w:val="nil"/>
          <w:left w:val="nil"/>
          <w:bottom w:val="nil"/>
          <w:right w:val="nil"/>
          <w:between w:val="nil"/>
        </w:pBdr>
        <w:ind w:left="-284" w:right="49"/>
        <w:jc w:val="both"/>
        <w:rPr>
          <w:rFonts w:ascii="Arial" w:eastAsia="Arial" w:hAnsi="Arial" w:cs="Arial"/>
          <w:i/>
          <w:color w:val="000000"/>
          <w:sz w:val="24"/>
          <w:szCs w:val="24"/>
        </w:rPr>
      </w:pPr>
    </w:p>
    <w:p w14:paraId="09613DA9" w14:textId="77777777" w:rsidR="003E2406" w:rsidRPr="0069081C" w:rsidRDefault="003E2406" w:rsidP="009135FE">
      <w:pPr>
        <w:spacing w:line="276" w:lineRule="auto"/>
        <w:jc w:val="both"/>
        <w:rPr>
          <w:rFonts w:ascii="Arial" w:hAnsi="Arial" w:cs="Arial"/>
          <w:i/>
          <w:sz w:val="18"/>
          <w:szCs w:val="18"/>
        </w:rPr>
      </w:pPr>
    </w:p>
    <w:sectPr w:rsidR="003E2406" w:rsidRPr="0069081C">
      <w:headerReference w:type="even" r:id="rId104"/>
      <w:headerReference w:type="default" r:id="rId105"/>
      <w:headerReference w:type="first" r:id="rId106"/>
      <w:footerReference w:type="first" r:id="rId10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25E885" w14:textId="77777777" w:rsidR="00E90E8F" w:rsidRDefault="00E90E8F" w:rsidP="00D17B9E">
      <w:r>
        <w:separator/>
      </w:r>
    </w:p>
  </w:endnote>
  <w:endnote w:type="continuationSeparator" w:id="0">
    <w:p w14:paraId="5B921B6F" w14:textId="77777777" w:rsidR="00E90E8F" w:rsidRDefault="00E90E8F" w:rsidP="00D17B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Helvetica">
    <w:panose1 w:val="020B060402020202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yriad">
    <w:altName w:val="Calibri"/>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Gotham Book">
    <w:altName w:val="Gotham Book"/>
    <w:panose1 w:val="00000000000000000000"/>
    <w:charset w:val="00"/>
    <w:family w:val="swiss"/>
    <w:notTrueType/>
    <w:pitch w:val="default"/>
    <w:sig w:usb0="00000003" w:usb1="00000000" w:usb2="00000000" w:usb3="00000000" w:csb0="00000001" w:csb1="00000000"/>
  </w:font>
  <w:font w:name="ChaletComprime-CologneSixty">
    <w:altName w:val="Arial"/>
    <w:panose1 w:val="00000000000000000000"/>
    <w:charset w:val="00"/>
    <w:family w:val="modern"/>
    <w:notTrueType/>
    <w:pitch w:val="variable"/>
    <w:sig w:usb0="00000001" w:usb1="5000204A" w:usb2="00000000" w:usb3="00000000" w:csb0="00000009" w:csb1="00000000"/>
  </w:font>
  <w:font w:name="Mangal">
    <w:panose1 w:val="00000400000000000000"/>
    <w:charset w:val="01"/>
    <w:family w:val="roman"/>
    <w:notTrueType/>
    <w:pitch w:val="variable"/>
    <w:sig w:usb0="00002000" w:usb1="00000000" w:usb2="00000000" w:usb3="00000000" w:csb0="00000000" w:csb1="00000000"/>
  </w:font>
  <w:font w:name="Lucida Grande">
    <w:charset w:val="00"/>
    <w:family w:val="swiss"/>
    <w:pitch w:val="variable"/>
    <w:sig w:usb0="E1000AEF" w:usb1="5000A1FF" w:usb2="00000000" w:usb3="00000000" w:csb0="000001BF" w:csb1="00000000"/>
  </w:font>
  <w:font w:name="ヒラギノ角ゴ Pro W3">
    <w:charset w:val="00"/>
    <w:family w:val="roman"/>
    <w:pitch w:val="default"/>
  </w:font>
  <w:font w:name="Helvetica Neue">
    <w:charset w:val="00"/>
    <w:family w:val="auto"/>
    <w:pitch w:val="variable"/>
    <w:sig w:usb0="E50002FF" w:usb1="500079DB" w:usb2="00000010" w:usb3="00000000" w:csb0="00000001" w:csb1="00000000"/>
  </w:font>
  <w:font w:name="Avenir Book">
    <w:charset w:val="00"/>
    <w:family w:val="auto"/>
    <w:pitch w:val="variable"/>
    <w:sig w:usb0="800000AF" w:usb1="5000204A" w:usb2="00000000" w:usb3="00000000" w:csb0="0000009B"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7D7789" w14:textId="77777777" w:rsidR="00FB4DF0" w:rsidRPr="00766BC5" w:rsidRDefault="00FB4DF0" w:rsidP="0038289A">
    <w:pPr>
      <w:pStyle w:val="Piedepgina"/>
      <w:pBdr>
        <w:top w:val="single" w:sz="4" w:space="1" w:color="A6A6A6" w:themeColor="background1" w:themeShade="A6"/>
      </w:pBdr>
      <w:jc w:val="center"/>
      <w:rPr>
        <w:rFonts w:ascii="Cambria" w:hAnsi="Cambria"/>
        <w:caps/>
        <w:color w:val="808080" w:themeColor="background1" w:themeShade="80"/>
        <w:sz w:val="16"/>
        <w:szCs w:val="16"/>
      </w:rPr>
    </w:pPr>
  </w:p>
  <w:p w14:paraId="645F9A5C" w14:textId="77777777" w:rsidR="00FB4DF0" w:rsidRDefault="00FB4DF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359E68" w14:textId="77777777" w:rsidR="00E90E8F" w:rsidRDefault="00E90E8F" w:rsidP="00D17B9E">
      <w:r>
        <w:separator/>
      </w:r>
    </w:p>
  </w:footnote>
  <w:footnote w:type="continuationSeparator" w:id="0">
    <w:p w14:paraId="1FDDFE0C" w14:textId="77777777" w:rsidR="00E90E8F" w:rsidRDefault="00E90E8F" w:rsidP="00D17B9E">
      <w:r>
        <w:continuationSeparator/>
      </w:r>
    </w:p>
  </w:footnote>
  <w:footnote w:id="1">
    <w:p w14:paraId="78F6C37D" w14:textId="77777777" w:rsidR="00FB4DF0" w:rsidRPr="00487EE7" w:rsidRDefault="00FB4DF0" w:rsidP="00794EB9">
      <w:pPr>
        <w:pStyle w:val="Textonotapie"/>
        <w:ind w:hanging="2"/>
        <w:rPr>
          <w:rFonts w:ascii="Arial" w:hAnsi="Arial" w:cs="Arial"/>
          <w:color w:val="7F7F7F" w:themeColor="text1" w:themeTint="80"/>
          <w:sz w:val="16"/>
          <w:szCs w:val="16"/>
        </w:rPr>
      </w:pPr>
    </w:p>
  </w:footnote>
  <w:footnote w:id="2">
    <w:p w14:paraId="2DB694C9" w14:textId="77777777" w:rsidR="00FB4DF0" w:rsidRPr="00487EE7" w:rsidRDefault="00FB4DF0" w:rsidP="00794EB9">
      <w:pPr>
        <w:pStyle w:val="Textonotapie"/>
        <w:ind w:hanging="2"/>
        <w:rPr>
          <w:rFonts w:ascii="Arial" w:hAnsi="Arial" w:cs="Arial"/>
          <w:color w:val="7F7F7F" w:themeColor="text1" w:themeTint="80"/>
          <w:sz w:val="16"/>
          <w:szCs w:val="16"/>
        </w:rPr>
      </w:pPr>
      <w:r w:rsidRPr="00487EE7">
        <w:rPr>
          <w:rStyle w:val="Refdenotaalpie"/>
          <w:rFonts w:ascii="Arial" w:hAnsi="Arial" w:cs="Arial"/>
          <w:color w:val="7F7F7F" w:themeColor="text1" w:themeTint="80"/>
          <w:sz w:val="16"/>
          <w:szCs w:val="16"/>
        </w:rPr>
        <w:t>p</w:t>
      </w:r>
    </w:p>
  </w:footnote>
  <w:footnote w:id="3">
    <w:p w14:paraId="5076BEF5" w14:textId="77777777" w:rsidR="00FB4DF0" w:rsidRPr="00C637AA" w:rsidRDefault="00FB4DF0" w:rsidP="00794EB9">
      <w:pPr>
        <w:pStyle w:val="Textonotapie"/>
        <w:ind w:hanging="2"/>
        <w:jc w:val="both"/>
        <w:rPr>
          <w:rFonts w:ascii="Arial" w:hAnsi="Arial" w:cs="Arial"/>
          <w:sz w:val="16"/>
          <w:szCs w:val="16"/>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1A7F00" w14:textId="1A39891C" w:rsidR="00FB4DF0" w:rsidRDefault="00E90E8F">
    <w:pPr>
      <w:pStyle w:val="Encabezado"/>
    </w:pPr>
    <w:r>
      <w:rPr>
        <w:noProof/>
        <w:lang w:eastAsia="es-MX"/>
      </w:rPr>
      <w:pict w14:anchorId="2C4DAD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64005" o:spid="_x0000_s2050" type="#_x0000_t75" style="position:absolute;margin-left:0;margin-top:0;width:411.7pt;height:650.25pt;z-index:-251655168;mso-position-horizontal:center;mso-position-horizontal-relative:margin;mso-position-vertical:center;mso-position-vertical-relative:margin" o:allowincell="f">
          <v:imagedata r:id="rId1" o:title="Logo de Leò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6B2118" w14:textId="09CEAC7E" w:rsidR="00FB4DF0" w:rsidRPr="00041CE4" w:rsidRDefault="00FB4DF0" w:rsidP="00C307FB">
    <w:pPr>
      <w:tabs>
        <w:tab w:val="center" w:pos="4419"/>
        <w:tab w:val="right" w:pos="8838"/>
      </w:tabs>
      <w:spacing w:line="240" w:lineRule="exact"/>
      <w:ind w:left="425" w:hanging="284"/>
      <w:rPr>
        <w:rFonts w:ascii="Arial" w:hAnsi="Arial" w:cs="Arial"/>
      </w:rPr>
    </w:pPr>
    <w:r w:rsidRPr="00041CE4">
      <w:rPr>
        <w:rFonts w:ascii="Arial" w:hAnsi="Arial" w:cs="Arial"/>
        <w:noProof/>
        <w:lang w:val="es-MX" w:eastAsia="es-MX"/>
      </w:rPr>
      <w:drawing>
        <wp:anchor distT="0" distB="0" distL="114300" distR="114300" simplePos="0" relativeHeight="251663360" behindDoc="0" locked="0" layoutInCell="1" allowOverlap="1" wp14:anchorId="15BA6213" wp14:editId="2A511DEA">
          <wp:simplePos x="0" y="0"/>
          <wp:positionH relativeFrom="margin">
            <wp:posOffset>-121285</wp:posOffset>
          </wp:positionH>
          <wp:positionV relativeFrom="paragraph">
            <wp:posOffset>-180975</wp:posOffset>
          </wp:positionV>
          <wp:extent cx="371475" cy="587375"/>
          <wp:effectExtent l="0" t="0" r="9525" b="317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1">
                    <a:duotone>
                      <a:prstClr val="black"/>
                      <a:schemeClr val="accent1">
                        <a:tint val="45000"/>
                        <a:satMod val="400000"/>
                      </a:schemeClr>
                    </a:duotone>
                    <a:extLst>
                      <a:ext uri="{28A0092B-C50C-407E-A947-70E740481C1C}">
                        <a14:useLocalDpi xmlns:a14="http://schemas.microsoft.com/office/drawing/2010/main" val="0"/>
                      </a:ext>
                    </a:extLst>
                  </a:blip>
                  <a:srcRect l="74623" t="8948" b="16791"/>
                  <a:stretch/>
                </pic:blipFill>
                <pic:spPr bwMode="auto">
                  <a:xfrm>
                    <a:off x="0" y="0"/>
                    <a:ext cx="371475" cy="58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0E8F">
      <w:rPr>
        <w:rFonts w:ascii="Arial" w:hAnsi="Arial" w:cs="Arial"/>
        <w:noProof/>
        <w:lang w:eastAsia="es-MX"/>
      </w:rPr>
      <w:pict w14:anchorId="2653C2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817627" o:spid="_x0000_s2052" type="#_x0000_t75" style="position:absolute;left:0;text-align:left;margin-left:0;margin-top:0;width:424.95pt;height:671.15pt;z-index:-251652096;mso-position-horizontal:center;mso-position-horizontal-relative:margin;mso-position-vertical:center;mso-position-vertical-relative:margin" o:allowincell="f">
          <v:imagedata r:id="rId2" o:title="escudo"/>
          <w10:wrap anchorx="margin" anchory="margin"/>
        </v:shape>
      </w:pict>
    </w:r>
    <w:r w:rsidRPr="00041CE4">
      <w:rPr>
        <w:rFonts w:ascii="Arial" w:hAnsi="Arial" w:cs="Arial"/>
        <w:b/>
        <w:bCs/>
        <w:color w:val="1F2C4E"/>
      </w:rPr>
      <w:t>Presidencia Municipal de León</w:t>
    </w:r>
    <w:r w:rsidRPr="00041CE4">
      <w:rPr>
        <w:rFonts w:ascii="Arial" w:hAnsi="Arial" w:cs="Arial"/>
      </w:rPr>
      <w:tab/>
    </w:r>
    <w:r w:rsidRPr="00041CE4">
      <w:rPr>
        <w:rFonts w:ascii="Arial" w:hAnsi="Arial" w:cs="Arial"/>
        <w:color w:val="123A65"/>
      </w:rPr>
      <w:tab/>
    </w:r>
    <w:r w:rsidRPr="00041CE4">
      <w:rPr>
        <w:rFonts w:ascii="Arial" w:hAnsi="Arial" w:cs="Arial"/>
        <w:b/>
        <w:bCs/>
        <w:color w:val="1F2C4E"/>
        <w:sz w:val="18"/>
        <w:szCs w:val="18"/>
      </w:rPr>
      <w:t>Publicación</w:t>
    </w:r>
    <w:r w:rsidRPr="00041CE4">
      <w:rPr>
        <w:rFonts w:ascii="Arial" w:hAnsi="Arial" w:cs="Arial"/>
        <w:b/>
        <w:bCs/>
        <w:color w:val="123A65"/>
        <w:sz w:val="18"/>
        <w:szCs w:val="18"/>
      </w:rPr>
      <w:t xml:space="preserve">: </w:t>
    </w:r>
    <w:r w:rsidRPr="00041CE4">
      <w:rPr>
        <w:rFonts w:ascii="Arial" w:hAnsi="Arial" w:cs="Arial"/>
        <w:sz w:val="18"/>
        <w:szCs w:val="18"/>
      </w:rPr>
      <w:t>P.O.</w:t>
    </w:r>
    <w:r w:rsidRPr="00041CE4">
      <w:rPr>
        <w:rFonts w:ascii="Arial" w:hAnsi="Arial" w:cs="Arial"/>
        <w:color w:val="123A65"/>
        <w:sz w:val="18"/>
        <w:szCs w:val="18"/>
      </w:rPr>
      <w:t xml:space="preserve"> </w:t>
    </w:r>
    <w:r>
      <w:rPr>
        <w:rFonts w:ascii="Arial" w:hAnsi="Arial" w:cs="Arial"/>
        <w:sz w:val="18"/>
        <w:szCs w:val="18"/>
      </w:rPr>
      <w:t>30</w:t>
    </w:r>
    <w:r w:rsidRPr="00041CE4">
      <w:rPr>
        <w:rFonts w:ascii="Arial" w:hAnsi="Arial" w:cs="Arial"/>
        <w:sz w:val="18"/>
        <w:szCs w:val="18"/>
      </w:rPr>
      <w:t xml:space="preserve"> de </w:t>
    </w:r>
    <w:r>
      <w:rPr>
        <w:rFonts w:ascii="Arial" w:hAnsi="Arial" w:cs="Arial"/>
        <w:sz w:val="18"/>
        <w:szCs w:val="18"/>
      </w:rPr>
      <w:t>diciembre</w:t>
    </w:r>
    <w:r w:rsidRPr="00041CE4">
      <w:rPr>
        <w:rFonts w:ascii="Arial" w:hAnsi="Arial" w:cs="Arial"/>
        <w:sz w:val="18"/>
        <w:szCs w:val="18"/>
      </w:rPr>
      <w:t xml:space="preserve"> </w:t>
    </w:r>
    <w:r>
      <w:rPr>
        <w:rFonts w:ascii="Arial" w:hAnsi="Arial" w:cs="Arial"/>
        <w:sz w:val="18"/>
        <w:szCs w:val="18"/>
      </w:rPr>
      <w:t>de 2021</w:t>
    </w:r>
  </w:p>
  <w:p w14:paraId="1D1E88CA" w14:textId="5C35EEB4" w:rsidR="00FB4DF0" w:rsidRPr="00C307FB" w:rsidRDefault="00FB4DF0" w:rsidP="00C307FB">
    <w:pPr>
      <w:tabs>
        <w:tab w:val="center" w:pos="4419"/>
        <w:tab w:val="right" w:pos="8838"/>
      </w:tabs>
      <w:spacing w:line="240" w:lineRule="exact"/>
      <w:ind w:left="284"/>
      <w:rPr>
        <w:rFonts w:ascii="Arial" w:hAnsi="Arial" w:cs="Arial"/>
        <w:sz w:val="10"/>
        <w:szCs w:val="10"/>
      </w:rPr>
    </w:pPr>
    <w:r w:rsidRPr="00041CE4">
      <w:rPr>
        <w:rFonts w:ascii="Arial" w:hAnsi="Arial" w:cs="Arial"/>
        <w:sz w:val="8"/>
        <w:szCs w:val="8"/>
      </w:rPr>
      <w:t xml:space="preserve"> </w:t>
    </w:r>
    <w:r w:rsidRPr="00C307FB">
      <w:rPr>
        <w:rFonts w:ascii="Arial" w:hAnsi="Arial" w:cs="Arial"/>
        <w:sz w:val="10"/>
        <w:szCs w:val="10"/>
      </w:rPr>
      <w:t xml:space="preserve">Programa de Gobierno Municipal 2021 </w:t>
    </w:r>
    <w:r>
      <w:rPr>
        <w:rFonts w:ascii="Arial" w:hAnsi="Arial" w:cs="Arial"/>
        <w:sz w:val="10"/>
        <w:szCs w:val="10"/>
      </w:rPr>
      <w:t>–</w:t>
    </w:r>
    <w:r w:rsidRPr="00C307FB">
      <w:rPr>
        <w:rFonts w:ascii="Arial" w:hAnsi="Arial" w:cs="Arial"/>
        <w:sz w:val="10"/>
        <w:szCs w:val="10"/>
      </w:rPr>
      <w:t xml:space="preserve"> 2024</w:t>
    </w:r>
    <w:r>
      <w:rPr>
        <w:rFonts w:ascii="Arial" w:hAnsi="Arial" w:cs="Arial"/>
        <w:sz w:val="10"/>
        <w:szCs w:val="10"/>
      </w:rPr>
      <w:t xml:space="preserve">                                                                     </w:t>
    </w:r>
    <w:r w:rsidRPr="00C307FB">
      <w:rPr>
        <w:rFonts w:ascii="Arial" w:hAnsi="Arial" w:cs="Arial"/>
        <w:b/>
        <w:bCs/>
        <w:color w:val="1F2C4E"/>
        <w:sz w:val="18"/>
        <w:szCs w:val="18"/>
      </w:rPr>
      <w:t>Última actualización:</w:t>
    </w:r>
    <w:r>
      <w:rPr>
        <w:rFonts w:ascii="Arial" w:hAnsi="Arial" w:cs="Arial"/>
        <w:sz w:val="10"/>
        <w:szCs w:val="10"/>
      </w:rPr>
      <w:t xml:space="preserve"> </w:t>
    </w:r>
    <w:r w:rsidRPr="003E2406">
      <w:rPr>
        <w:rFonts w:ascii="Arial" w:hAnsi="Arial" w:cs="Arial"/>
        <w:sz w:val="18"/>
        <w:szCs w:val="18"/>
      </w:rPr>
      <w:t>P.O.</w:t>
    </w:r>
    <w:r>
      <w:rPr>
        <w:rFonts w:ascii="Arial" w:hAnsi="Arial" w:cs="Arial"/>
        <w:sz w:val="18"/>
        <w:szCs w:val="18"/>
      </w:rPr>
      <w:t xml:space="preserve"> 27 de d</w:t>
    </w:r>
    <w:r w:rsidRPr="003E2406">
      <w:rPr>
        <w:rFonts w:ascii="Arial" w:hAnsi="Arial" w:cs="Arial"/>
        <w:sz w:val="18"/>
        <w:szCs w:val="18"/>
      </w:rPr>
      <w:t>iciembre de 2022</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DC253B" w14:textId="1377EA6A" w:rsidR="00FB4DF0" w:rsidRPr="00766BC5" w:rsidRDefault="00E90E8F" w:rsidP="0038289A">
    <w:pPr>
      <w:pStyle w:val="Encabezado"/>
      <w:pBdr>
        <w:bottom w:val="single" w:sz="4" w:space="1" w:color="767171" w:themeColor="background2" w:themeShade="80"/>
      </w:pBdr>
      <w:jc w:val="center"/>
      <w:rPr>
        <w:rFonts w:ascii="Cambria" w:hAnsi="Cambria"/>
        <w:color w:val="808080" w:themeColor="background1" w:themeShade="80"/>
        <w:sz w:val="16"/>
      </w:rPr>
    </w:pPr>
    <w:r>
      <w:rPr>
        <w:rFonts w:ascii="Cambria" w:hAnsi="Cambria"/>
        <w:noProof/>
        <w:color w:val="808080" w:themeColor="background1" w:themeShade="80"/>
        <w:sz w:val="16"/>
        <w:lang w:eastAsia="es-MX"/>
      </w:rPr>
      <w:pict w14:anchorId="7A689C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64004" o:spid="_x0000_s2049" type="#_x0000_t75" style="position:absolute;left:0;text-align:left;margin-left:0;margin-top:0;width:411.7pt;height:650.25pt;z-index:-251656192;mso-position-horizontal:center;mso-position-horizontal-relative:margin;mso-position-vertical:center;mso-position-vertical-relative:margin" o:allowincell="f">
          <v:imagedata r:id="rId1" o:title="Logo de Leòn"/>
          <w10:wrap anchorx="margin" anchory="margin"/>
        </v:shape>
      </w:pict>
    </w:r>
    <w:r w:rsidR="00FB4DF0" w:rsidRPr="00766BC5">
      <w:rPr>
        <w:rFonts w:ascii="Cambria" w:hAnsi="Cambria"/>
        <w:color w:val="808080" w:themeColor="background1" w:themeShade="80"/>
        <w:sz w:val="16"/>
      </w:rPr>
      <w:t>Proyecto de Programa de Gobierno 2018-2021</w:t>
    </w:r>
  </w:p>
  <w:p w14:paraId="328D3B26" w14:textId="77777777" w:rsidR="00FB4DF0" w:rsidRPr="00766BC5" w:rsidRDefault="00FB4DF0" w:rsidP="0038289A">
    <w:pPr>
      <w:pStyle w:val="Encabezado"/>
      <w:pBdr>
        <w:bottom w:val="single" w:sz="4" w:space="1" w:color="767171" w:themeColor="background2" w:themeShade="80"/>
      </w:pBdr>
      <w:jc w:val="center"/>
      <w:rPr>
        <w:rFonts w:ascii="Cambria" w:hAnsi="Cambria"/>
        <w:color w:val="808080" w:themeColor="background1" w:themeShade="80"/>
        <w:sz w:val="16"/>
      </w:rPr>
    </w:pPr>
    <w:r w:rsidRPr="00766BC5">
      <w:rPr>
        <w:rFonts w:ascii="Cambria" w:hAnsi="Cambria"/>
        <w:color w:val="808080" w:themeColor="background1" w:themeShade="80"/>
        <w:sz w:val="16"/>
      </w:rPr>
      <w:t>León, Guanajuato</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31AF1"/>
    <w:multiLevelType w:val="hybridMultilevel"/>
    <w:tmpl w:val="A6DE2FD4"/>
    <w:lvl w:ilvl="0" w:tplc="080A001B">
      <w:start w:val="1"/>
      <w:numFmt w:val="lowerRoman"/>
      <w:lvlText w:val="%1."/>
      <w:lvlJc w:val="righ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 w15:restartNumberingAfterBreak="0">
    <w:nsid w:val="03B56EF2"/>
    <w:multiLevelType w:val="hybridMultilevel"/>
    <w:tmpl w:val="21C847E2"/>
    <w:styleLink w:val="Estiloimportado2"/>
    <w:lvl w:ilvl="0" w:tplc="2ADED5E0">
      <w:start w:val="1"/>
      <w:numFmt w:val="decimal"/>
      <w:lvlText w:val="%1."/>
      <w:lvlJc w:val="left"/>
      <w:pPr>
        <w:ind w:left="1134" w:hanging="283"/>
      </w:pPr>
      <w:rPr>
        <w:rFonts w:ascii="Helvetica" w:eastAsia="Helvetica" w:hAnsi="Helvetica" w:cs="Helvetica"/>
        <w:b w:val="0"/>
        <w:bCs w:val="0"/>
        <w:i w:val="0"/>
        <w:iCs w:val="0"/>
        <w:caps w:val="0"/>
        <w:smallCaps w:val="0"/>
        <w:strike w:val="0"/>
        <w:dstrike w:val="0"/>
        <w:color w:val="000000"/>
        <w:spacing w:val="0"/>
        <w:w w:val="100"/>
        <w:kern w:val="0"/>
        <w:position w:val="0"/>
        <w:sz w:val="22"/>
        <w:szCs w:val="2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47CE600">
      <w:start w:val="1"/>
      <w:numFmt w:val="lowerLetter"/>
      <w:lvlText w:val="%2."/>
      <w:lvlJc w:val="left"/>
      <w:pPr>
        <w:ind w:left="1854" w:hanging="283"/>
      </w:pPr>
      <w:rPr>
        <w:rFonts w:ascii="Helvetica" w:eastAsia="Helvetica" w:hAnsi="Helvetica" w:cs="Helvetic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C3C7254">
      <w:start w:val="1"/>
      <w:numFmt w:val="lowerRoman"/>
      <w:lvlText w:val="%3."/>
      <w:lvlJc w:val="left"/>
      <w:pPr>
        <w:ind w:left="2574" w:hanging="236"/>
      </w:pPr>
      <w:rPr>
        <w:rFonts w:ascii="Helvetica" w:eastAsia="Helvetica" w:hAnsi="Helvetica" w:cs="Helvetic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FC48836">
      <w:start w:val="1"/>
      <w:numFmt w:val="decimal"/>
      <w:lvlText w:val="%4."/>
      <w:lvlJc w:val="left"/>
      <w:pPr>
        <w:ind w:left="3294" w:hanging="283"/>
      </w:pPr>
      <w:rPr>
        <w:rFonts w:ascii="Helvetica" w:eastAsia="Helvetica" w:hAnsi="Helvetica" w:cs="Helvetic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19AE872">
      <w:start w:val="1"/>
      <w:numFmt w:val="lowerLetter"/>
      <w:lvlText w:val="%5."/>
      <w:lvlJc w:val="left"/>
      <w:pPr>
        <w:ind w:left="4014" w:hanging="283"/>
      </w:pPr>
      <w:rPr>
        <w:rFonts w:ascii="Helvetica" w:eastAsia="Helvetica" w:hAnsi="Helvetica" w:cs="Helvetic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A685ACE">
      <w:start w:val="1"/>
      <w:numFmt w:val="lowerRoman"/>
      <w:lvlText w:val="%6."/>
      <w:lvlJc w:val="left"/>
      <w:pPr>
        <w:ind w:left="4734" w:hanging="236"/>
      </w:pPr>
      <w:rPr>
        <w:rFonts w:ascii="Helvetica" w:eastAsia="Helvetica" w:hAnsi="Helvetica" w:cs="Helvetic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480EC1A">
      <w:start w:val="1"/>
      <w:numFmt w:val="decimal"/>
      <w:lvlText w:val="%7."/>
      <w:lvlJc w:val="left"/>
      <w:pPr>
        <w:ind w:left="5454" w:hanging="283"/>
      </w:pPr>
      <w:rPr>
        <w:rFonts w:ascii="Helvetica" w:eastAsia="Helvetica" w:hAnsi="Helvetica" w:cs="Helvetic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A4A0F36">
      <w:start w:val="1"/>
      <w:numFmt w:val="lowerLetter"/>
      <w:lvlText w:val="%8."/>
      <w:lvlJc w:val="left"/>
      <w:pPr>
        <w:ind w:left="6174" w:hanging="283"/>
      </w:pPr>
      <w:rPr>
        <w:rFonts w:ascii="Helvetica" w:eastAsia="Helvetica" w:hAnsi="Helvetica" w:cs="Helvetic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124D364">
      <w:start w:val="1"/>
      <w:numFmt w:val="lowerRoman"/>
      <w:lvlText w:val="%9."/>
      <w:lvlJc w:val="left"/>
      <w:pPr>
        <w:ind w:left="6894" w:hanging="236"/>
      </w:pPr>
      <w:rPr>
        <w:rFonts w:ascii="Helvetica" w:eastAsia="Helvetica" w:hAnsi="Helvetica" w:cs="Helvetic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0AF46217"/>
    <w:multiLevelType w:val="hybridMultilevel"/>
    <w:tmpl w:val="E6B8A9FC"/>
    <w:lvl w:ilvl="0" w:tplc="2FE2784A">
      <w:start w:val="1"/>
      <w:numFmt w:val="bullet"/>
      <w:pStyle w:val="IPG6Acciones"/>
      <w:lvlText w:val=""/>
      <w:lvlJc w:val="left"/>
      <w:pPr>
        <w:ind w:left="720" w:hanging="360"/>
      </w:pPr>
      <w:rPr>
        <w:rFonts w:ascii="Symbol" w:hAnsi="Symbol" w:hint="default"/>
      </w:rPr>
    </w:lvl>
    <w:lvl w:ilvl="1" w:tplc="B9AC7B54">
      <w:start w:val="1"/>
      <w:numFmt w:val="bullet"/>
      <w:pStyle w:val="IPG7AccSub"/>
      <w:lvlText w:val="o"/>
      <w:lvlJc w:val="left"/>
      <w:pPr>
        <w:ind w:left="1637"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B624FED"/>
    <w:multiLevelType w:val="hybridMultilevel"/>
    <w:tmpl w:val="44C6B37E"/>
    <w:lvl w:ilvl="0" w:tplc="080A0001">
      <w:start w:val="1"/>
      <w:numFmt w:val="bullet"/>
      <w:lvlText w:val=""/>
      <w:lvlJc w:val="left"/>
      <w:pPr>
        <w:ind w:left="719" w:hanging="360"/>
      </w:pPr>
      <w:rPr>
        <w:rFonts w:ascii="Symbol" w:hAnsi="Symbol" w:hint="default"/>
      </w:rPr>
    </w:lvl>
    <w:lvl w:ilvl="1" w:tplc="080A0003">
      <w:start w:val="1"/>
      <w:numFmt w:val="bullet"/>
      <w:lvlText w:val="o"/>
      <w:lvlJc w:val="left"/>
      <w:pPr>
        <w:ind w:left="1439" w:hanging="360"/>
      </w:pPr>
      <w:rPr>
        <w:rFonts w:ascii="Courier New" w:hAnsi="Courier New" w:cs="Courier New" w:hint="default"/>
      </w:rPr>
    </w:lvl>
    <w:lvl w:ilvl="2" w:tplc="080A0005" w:tentative="1">
      <w:start w:val="1"/>
      <w:numFmt w:val="bullet"/>
      <w:lvlText w:val=""/>
      <w:lvlJc w:val="left"/>
      <w:pPr>
        <w:ind w:left="2159" w:hanging="360"/>
      </w:pPr>
      <w:rPr>
        <w:rFonts w:ascii="Wingdings" w:hAnsi="Wingdings" w:hint="default"/>
      </w:rPr>
    </w:lvl>
    <w:lvl w:ilvl="3" w:tplc="080A0001" w:tentative="1">
      <w:start w:val="1"/>
      <w:numFmt w:val="bullet"/>
      <w:lvlText w:val=""/>
      <w:lvlJc w:val="left"/>
      <w:pPr>
        <w:ind w:left="2879" w:hanging="360"/>
      </w:pPr>
      <w:rPr>
        <w:rFonts w:ascii="Symbol" w:hAnsi="Symbol" w:hint="default"/>
      </w:rPr>
    </w:lvl>
    <w:lvl w:ilvl="4" w:tplc="080A0003" w:tentative="1">
      <w:start w:val="1"/>
      <w:numFmt w:val="bullet"/>
      <w:lvlText w:val="o"/>
      <w:lvlJc w:val="left"/>
      <w:pPr>
        <w:ind w:left="3599" w:hanging="360"/>
      </w:pPr>
      <w:rPr>
        <w:rFonts w:ascii="Courier New" w:hAnsi="Courier New" w:cs="Courier New" w:hint="default"/>
      </w:rPr>
    </w:lvl>
    <w:lvl w:ilvl="5" w:tplc="080A0005" w:tentative="1">
      <w:start w:val="1"/>
      <w:numFmt w:val="bullet"/>
      <w:lvlText w:val=""/>
      <w:lvlJc w:val="left"/>
      <w:pPr>
        <w:ind w:left="4319" w:hanging="360"/>
      </w:pPr>
      <w:rPr>
        <w:rFonts w:ascii="Wingdings" w:hAnsi="Wingdings" w:hint="default"/>
      </w:rPr>
    </w:lvl>
    <w:lvl w:ilvl="6" w:tplc="080A0001" w:tentative="1">
      <w:start w:val="1"/>
      <w:numFmt w:val="bullet"/>
      <w:lvlText w:val=""/>
      <w:lvlJc w:val="left"/>
      <w:pPr>
        <w:ind w:left="5039" w:hanging="360"/>
      </w:pPr>
      <w:rPr>
        <w:rFonts w:ascii="Symbol" w:hAnsi="Symbol" w:hint="default"/>
      </w:rPr>
    </w:lvl>
    <w:lvl w:ilvl="7" w:tplc="080A0003" w:tentative="1">
      <w:start w:val="1"/>
      <w:numFmt w:val="bullet"/>
      <w:lvlText w:val="o"/>
      <w:lvlJc w:val="left"/>
      <w:pPr>
        <w:ind w:left="5759" w:hanging="360"/>
      </w:pPr>
      <w:rPr>
        <w:rFonts w:ascii="Courier New" w:hAnsi="Courier New" w:cs="Courier New" w:hint="default"/>
      </w:rPr>
    </w:lvl>
    <w:lvl w:ilvl="8" w:tplc="080A0005" w:tentative="1">
      <w:start w:val="1"/>
      <w:numFmt w:val="bullet"/>
      <w:lvlText w:val=""/>
      <w:lvlJc w:val="left"/>
      <w:pPr>
        <w:ind w:left="6479" w:hanging="360"/>
      </w:pPr>
      <w:rPr>
        <w:rFonts w:ascii="Wingdings" w:hAnsi="Wingdings" w:hint="default"/>
      </w:rPr>
    </w:lvl>
  </w:abstractNum>
  <w:abstractNum w:abstractNumId="4" w15:restartNumberingAfterBreak="0">
    <w:nsid w:val="0F2C2DE6"/>
    <w:multiLevelType w:val="hybridMultilevel"/>
    <w:tmpl w:val="34506AC6"/>
    <w:lvl w:ilvl="0" w:tplc="080A0001">
      <w:start w:val="1"/>
      <w:numFmt w:val="bullet"/>
      <w:lvlText w:val=""/>
      <w:lvlJc w:val="left"/>
      <w:pPr>
        <w:ind w:left="718" w:hanging="360"/>
      </w:pPr>
      <w:rPr>
        <w:rFonts w:ascii="Symbol" w:hAnsi="Symbol" w:hint="default"/>
      </w:rPr>
    </w:lvl>
    <w:lvl w:ilvl="1" w:tplc="080A0003" w:tentative="1">
      <w:start w:val="1"/>
      <w:numFmt w:val="bullet"/>
      <w:lvlText w:val="o"/>
      <w:lvlJc w:val="left"/>
      <w:pPr>
        <w:ind w:left="1438" w:hanging="360"/>
      </w:pPr>
      <w:rPr>
        <w:rFonts w:ascii="Courier New" w:hAnsi="Courier New" w:cs="Courier New" w:hint="default"/>
      </w:rPr>
    </w:lvl>
    <w:lvl w:ilvl="2" w:tplc="080A0005" w:tentative="1">
      <w:start w:val="1"/>
      <w:numFmt w:val="bullet"/>
      <w:lvlText w:val=""/>
      <w:lvlJc w:val="left"/>
      <w:pPr>
        <w:ind w:left="2158" w:hanging="360"/>
      </w:pPr>
      <w:rPr>
        <w:rFonts w:ascii="Wingdings" w:hAnsi="Wingdings" w:hint="default"/>
      </w:rPr>
    </w:lvl>
    <w:lvl w:ilvl="3" w:tplc="080A0001" w:tentative="1">
      <w:start w:val="1"/>
      <w:numFmt w:val="bullet"/>
      <w:lvlText w:val=""/>
      <w:lvlJc w:val="left"/>
      <w:pPr>
        <w:ind w:left="2878" w:hanging="360"/>
      </w:pPr>
      <w:rPr>
        <w:rFonts w:ascii="Symbol" w:hAnsi="Symbol" w:hint="default"/>
      </w:rPr>
    </w:lvl>
    <w:lvl w:ilvl="4" w:tplc="080A0003" w:tentative="1">
      <w:start w:val="1"/>
      <w:numFmt w:val="bullet"/>
      <w:lvlText w:val="o"/>
      <w:lvlJc w:val="left"/>
      <w:pPr>
        <w:ind w:left="3598" w:hanging="360"/>
      </w:pPr>
      <w:rPr>
        <w:rFonts w:ascii="Courier New" w:hAnsi="Courier New" w:cs="Courier New" w:hint="default"/>
      </w:rPr>
    </w:lvl>
    <w:lvl w:ilvl="5" w:tplc="080A0005" w:tentative="1">
      <w:start w:val="1"/>
      <w:numFmt w:val="bullet"/>
      <w:lvlText w:val=""/>
      <w:lvlJc w:val="left"/>
      <w:pPr>
        <w:ind w:left="4318" w:hanging="360"/>
      </w:pPr>
      <w:rPr>
        <w:rFonts w:ascii="Wingdings" w:hAnsi="Wingdings" w:hint="default"/>
      </w:rPr>
    </w:lvl>
    <w:lvl w:ilvl="6" w:tplc="080A0001" w:tentative="1">
      <w:start w:val="1"/>
      <w:numFmt w:val="bullet"/>
      <w:lvlText w:val=""/>
      <w:lvlJc w:val="left"/>
      <w:pPr>
        <w:ind w:left="5038" w:hanging="360"/>
      </w:pPr>
      <w:rPr>
        <w:rFonts w:ascii="Symbol" w:hAnsi="Symbol" w:hint="default"/>
      </w:rPr>
    </w:lvl>
    <w:lvl w:ilvl="7" w:tplc="080A0003" w:tentative="1">
      <w:start w:val="1"/>
      <w:numFmt w:val="bullet"/>
      <w:lvlText w:val="o"/>
      <w:lvlJc w:val="left"/>
      <w:pPr>
        <w:ind w:left="5758" w:hanging="360"/>
      </w:pPr>
      <w:rPr>
        <w:rFonts w:ascii="Courier New" w:hAnsi="Courier New" w:cs="Courier New" w:hint="default"/>
      </w:rPr>
    </w:lvl>
    <w:lvl w:ilvl="8" w:tplc="080A0005" w:tentative="1">
      <w:start w:val="1"/>
      <w:numFmt w:val="bullet"/>
      <w:lvlText w:val=""/>
      <w:lvlJc w:val="left"/>
      <w:pPr>
        <w:ind w:left="6478" w:hanging="360"/>
      </w:pPr>
      <w:rPr>
        <w:rFonts w:ascii="Wingdings" w:hAnsi="Wingdings" w:hint="default"/>
      </w:rPr>
    </w:lvl>
  </w:abstractNum>
  <w:abstractNum w:abstractNumId="5" w15:restartNumberingAfterBreak="0">
    <w:nsid w:val="1486021F"/>
    <w:multiLevelType w:val="hybridMultilevel"/>
    <w:tmpl w:val="53007668"/>
    <w:lvl w:ilvl="0" w:tplc="83921546">
      <w:start w:val="1"/>
      <w:numFmt w:val="bullet"/>
      <w:lvlText w:val=""/>
      <w:lvlJc w:val="left"/>
      <w:pPr>
        <w:ind w:left="360" w:hanging="360"/>
      </w:pPr>
      <w:rPr>
        <w:rFonts w:ascii="Symbol" w:hAnsi="Symbol" w:hint="default"/>
      </w:rPr>
    </w:lvl>
    <w:lvl w:ilvl="1" w:tplc="570E1720">
      <w:start w:val="1"/>
      <w:numFmt w:val="bullet"/>
      <w:lvlText w:val=""/>
      <w:lvlJc w:val="left"/>
      <w:pPr>
        <w:ind w:left="1080" w:hanging="360"/>
      </w:pPr>
      <w:rPr>
        <w:rFonts w:ascii="Symbol" w:hAnsi="Symbol" w:hint="default"/>
        <w:sz w:val="22"/>
        <w:szCs w:val="22"/>
      </w:rPr>
    </w:lvl>
    <w:lvl w:ilvl="2" w:tplc="A7E217DE">
      <w:start w:val="1"/>
      <w:numFmt w:val="bullet"/>
      <w:pStyle w:val="IPGOyAE"/>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6" w15:restartNumberingAfterBreak="0">
    <w:nsid w:val="1CE00047"/>
    <w:multiLevelType w:val="hybridMultilevel"/>
    <w:tmpl w:val="92B82BF8"/>
    <w:lvl w:ilvl="0" w:tplc="080A000F">
      <w:start w:val="1"/>
      <w:numFmt w:val="decimal"/>
      <w:lvlText w:val="%1."/>
      <w:lvlJc w:val="left"/>
      <w:pPr>
        <w:ind w:left="719" w:hanging="360"/>
      </w:pPr>
    </w:lvl>
    <w:lvl w:ilvl="1" w:tplc="080A0019" w:tentative="1">
      <w:start w:val="1"/>
      <w:numFmt w:val="lowerLetter"/>
      <w:lvlText w:val="%2."/>
      <w:lvlJc w:val="left"/>
      <w:pPr>
        <w:ind w:left="1439" w:hanging="360"/>
      </w:pPr>
    </w:lvl>
    <w:lvl w:ilvl="2" w:tplc="080A001B" w:tentative="1">
      <w:start w:val="1"/>
      <w:numFmt w:val="lowerRoman"/>
      <w:lvlText w:val="%3."/>
      <w:lvlJc w:val="right"/>
      <w:pPr>
        <w:ind w:left="2159" w:hanging="180"/>
      </w:pPr>
    </w:lvl>
    <w:lvl w:ilvl="3" w:tplc="080A000F" w:tentative="1">
      <w:start w:val="1"/>
      <w:numFmt w:val="decimal"/>
      <w:lvlText w:val="%4."/>
      <w:lvlJc w:val="left"/>
      <w:pPr>
        <w:ind w:left="2879" w:hanging="360"/>
      </w:pPr>
    </w:lvl>
    <w:lvl w:ilvl="4" w:tplc="080A0019" w:tentative="1">
      <w:start w:val="1"/>
      <w:numFmt w:val="lowerLetter"/>
      <w:lvlText w:val="%5."/>
      <w:lvlJc w:val="left"/>
      <w:pPr>
        <w:ind w:left="3599" w:hanging="360"/>
      </w:pPr>
    </w:lvl>
    <w:lvl w:ilvl="5" w:tplc="080A001B" w:tentative="1">
      <w:start w:val="1"/>
      <w:numFmt w:val="lowerRoman"/>
      <w:lvlText w:val="%6."/>
      <w:lvlJc w:val="right"/>
      <w:pPr>
        <w:ind w:left="4319" w:hanging="180"/>
      </w:pPr>
    </w:lvl>
    <w:lvl w:ilvl="6" w:tplc="080A000F" w:tentative="1">
      <w:start w:val="1"/>
      <w:numFmt w:val="decimal"/>
      <w:lvlText w:val="%7."/>
      <w:lvlJc w:val="left"/>
      <w:pPr>
        <w:ind w:left="5039" w:hanging="360"/>
      </w:pPr>
    </w:lvl>
    <w:lvl w:ilvl="7" w:tplc="080A0019" w:tentative="1">
      <w:start w:val="1"/>
      <w:numFmt w:val="lowerLetter"/>
      <w:lvlText w:val="%8."/>
      <w:lvlJc w:val="left"/>
      <w:pPr>
        <w:ind w:left="5759" w:hanging="360"/>
      </w:pPr>
    </w:lvl>
    <w:lvl w:ilvl="8" w:tplc="080A001B" w:tentative="1">
      <w:start w:val="1"/>
      <w:numFmt w:val="lowerRoman"/>
      <w:lvlText w:val="%9."/>
      <w:lvlJc w:val="right"/>
      <w:pPr>
        <w:ind w:left="6479" w:hanging="180"/>
      </w:pPr>
    </w:lvl>
  </w:abstractNum>
  <w:abstractNum w:abstractNumId="7" w15:restartNumberingAfterBreak="0">
    <w:nsid w:val="1D810AB9"/>
    <w:multiLevelType w:val="hybridMultilevel"/>
    <w:tmpl w:val="00840F56"/>
    <w:styleLink w:val="Guion"/>
    <w:lvl w:ilvl="0" w:tplc="C0341AB8">
      <w:start w:val="1"/>
      <w:numFmt w:val="bullet"/>
      <w:lvlText w:val="-"/>
      <w:lvlJc w:val="left"/>
      <w:pPr>
        <w:ind w:left="24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DA2CE4E">
      <w:start w:val="1"/>
      <w:numFmt w:val="bullet"/>
      <w:lvlText w:val="-"/>
      <w:lvlJc w:val="left"/>
      <w:pPr>
        <w:ind w:left="48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C927EF8">
      <w:start w:val="1"/>
      <w:numFmt w:val="bullet"/>
      <w:lvlText w:val="-"/>
      <w:lvlJc w:val="left"/>
      <w:pPr>
        <w:ind w:left="72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15EFB32">
      <w:start w:val="1"/>
      <w:numFmt w:val="bullet"/>
      <w:lvlText w:val="-"/>
      <w:lvlJc w:val="left"/>
      <w:pPr>
        <w:ind w:left="96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BC25112">
      <w:start w:val="1"/>
      <w:numFmt w:val="bullet"/>
      <w:lvlText w:val="-"/>
      <w:lvlJc w:val="left"/>
      <w:pPr>
        <w:ind w:left="120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762CB38">
      <w:start w:val="1"/>
      <w:numFmt w:val="bullet"/>
      <w:lvlText w:val="-"/>
      <w:lvlJc w:val="left"/>
      <w:pPr>
        <w:ind w:left="144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2D61282">
      <w:start w:val="1"/>
      <w:numFmt w:val="bullet"/>
      <w:lvlText w:val="-"/>
      <w:lvlJc w:val="left"/>
      <w:pPr>
        <w:ind w:left="168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48278CC">
      <w:start w:val="1"/>
      <w:numFmt w:val="bullet"/>
      <w:lvlText w:val="-"/>
      <w:lvlJc w:val="left"/>
      <w:pPr>
        <w:ind w:left="192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39CEDA4">
      <w:start w:val="1"/>
      <w:numFmt w:val="bullet"/>
      <w:lvlText w:val="-"/>
      <w:lvlJc w:val="left"/>
      <w:pPr>
        <w:ind w:left="216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 w15:restartNumberingAfterBreak="0">
    <w:nsid w:val="1EC824CB"/>
    <w:multiLevelType w:val="hybridMultilevel"/>
    <w:tmpl w:val="88C808A0"/>
    <w:lvl w:ilvl="0" w:tplc="3E989F8C">
      <w:start w:val="1"/>
      <w:numFmt w:val="decimal"/>
      <w:pStyle w:val="IProEst"/>
      <w:lvlText w:val="%1)"/>
      <w:lvlJc w:val="left"/>
      <w:pPr>
        <w:ind w:left="1428" w:hanging="360"/>
      </w:pPr>
      <w:rPr>
        <w:rFonts w:hint="default"/>
      </w:rPr>
    </w:lvl>
    <w:lvl w:ilvl="1" w:tplc="540A0003">
      <w:start w:val="1"/>
      <w:numFmt w:val="bullet"/>
      <w:lvlText w:val="o"/>
      <w:lvlJc w:val="left"/>
      <w:pPr>
        <w:ind w:left="2148" w:hanging="360"/>
      </w:pPr>
      <w:rPr>
        <w:rFonts w:ascii="Courier New" w:hAnsi="Courier New" w:cs="Courier New" w:hint="default"/>
      </w:rPr>
    </w:lvl>
    <w:lvl w:ilvl="2" w:tplc="540A0005">
      <w:start w:val="1"/>
      <w:numFmt w:val="bullet"/>
      <w:lvlText w:val=""/>
      <w:lvlJc w:val="left"/>
      <w:pPr>
        <w:ind w:left="2868" w:hanging="360"/>
      </w:pPr>
      <w:rPr>
        <w:rFonts w:ascii="Wingdings" w:hAnsi="Wingdings" w:hint="default"/>
      </w:rPr>
    </w:lvl>
    <w:lvl w:ilvl="3" w:tplc="540A0001">
      <w:start w:val="1"/>
      <w:numFmt w:val="bullet"/>
      <w:lvlText w:val=""/>
      <w:lvlJc w:val="left"/>
      <w:pPr>
        <w:ind w:left="3588" w:hanging="360"/>
      </w:pPr>
      <w:rPr>
        <w:rFonts w:ascii="Symbol" w:hAnsi="Symbol" w:hint="default"/>
      </w:rPr>
    </w:lvl>
    <w:lvl w:ilvl="4" w:tplc="540A0003" w:tentative="1">
      <w:start w:val="1"/>
      <w:numFmt w:val="bullet"/>
      <w:lvlText w:val="o"/>
      <w:lvlJc w:val="left"/>
      <w:pPr>
        <w:ind w:left="4308" w:hanging="360"/>
      </w:pPr>
      <w:rPr>
        <w:rFonts w:ascii="Courier New" w:hAnsi="Courier New" w:cs="Courier New" w:hint="default"/>
      </w:rPr>
    </w:lvl>
    <w:lvl w:ilvl="5" w:tplc="540A0005" w:tentative="1">
      <w:start w:val="1"/>
      <w:numFmt w:val="bullet"/>
      <w:lvlText w:val=""/>
      <w:lvlJc w:val="left"/>
      <w:pPr>
        <w:ind w:left="5028" w:hanging="360"/>
      </w:pPr>
      <w:rPr>
        <w:rFonts w:ascii="Wingdings" w:hAnsi="Wingdings" w:hint="default"/>
      </w:rPr>
    </w:lvl>
    <w:lvl w:ilvl="6" w:tplc="540A0001" w:tentative="1">
      <w:start w:val="1"/>
      <w:numFmt w:val="bullet"/>
      <w:lvlText w:val=""/>
      <w:lvlJc w:val="left"/>
      <w:pPr>
        <w:ind w:left="5748" w:hanging="360"/>
      </w:pPr>
      <w:rPr>
        <w:rFonts w:ascii="Symbol" w:hAnsi="Symbol" w:hint="default"/>
      </w:rPr>
    </w:lvl>
    <w:lvl w:ilvl="7" w:tplc="540A0003" w:tentative="1">
      <w:start w:val="1"/>
      <w:numFmt w:val="bullet"/>
      <w:lvlText w:val="o"/>
      <w:lvlJc w:val="left"/>
      <w:pPr>
        <w:ind w:left="6468" w:hanging="360"/>
      </w:pPr>
      <w:rPr>
        <w:rFonts w:ascii="Courier New" w:hAnsi="Courier New" w:cs="Courier New" w:hint="default"/>
      </w:rPr>
    </w:lvl>
    <w:lvl w:ilvl="8" w:tplc="540A0005" w:tentative="1">
      <w:start w:val="1"/>
      <w:numFmt w:val="bullet"/>
      <w:lvlText w:val=""/>
      <w:lvlJc w:val="left"/>
      <w:pPr>
        <w:ind w:left="7188" w:hanging="360"/>
      </w:pPr>
      <w:rPr>
        <w:rFonts w:ascii="Wingdings" w:hAnsi="Wingdings" w:hint="default"/>
      </w:rPr>
    </w:lvl>
  </w:abstractNum>
  <w:abstractNum w:abstractNumId="9" w15:restartNumberingAfterBreak="0">
    <w:nsid w:val="250E508B"/>
    <w:multiLevelType w:val="hybridMultilevel"/>
    <w:tmpl w:val="EEF4A7FE"/>
    <w:lvl w:ilvl="0" w:tplc="080A0001">
      <w:start w:val="1"/>
      <w:numFmt w:val="bullet"/>
      <w:lvlText w:val=""/>
      <w:lvlJc w:val="left"/>
      <w:pPr>
        <w:ind w:left="719" w:hanging="360"/>
      </w:pPr>
      <w:rPr>
        <w:rFonts w:ascii="Symbol" w:hAnsi="Symbol" w:hint="default"/>
      </w:rPr>
    </w:lvl>
    <w:lvl w:ilvl="1" w:tplc="080A0003">
      <w:start w:val="1"/>
      <w:numFmt w:val="bullet"/>
      <w:lvlText w:val="o"/>
      <w:lvlJc w:val="left"/>
      <w:pPr>
        <w:ind w:left="1439" w:hanging="360"/>
      </w:pPr>
      <w:rPr>
        <w:rFonts w:ascii="Courier New" w:hAnsi="Courier New" w:cs="Courier New" w:hint="default"/>
      </w:rPr>
    </w:lvl>
    <w:lvl w:ilvl="2" w:tplc="080A0005" w:tentative="1">
      <w:start w:val="1"/>
      <w:numFmt w:val="bullet"/>
      <w:lvlText w:val=""/>
      <w:lvlJc w:val="left"/>
      <w:pPr>
        <w:ind w:left="2159" w:hanging="360"/>
      </w:pPr>
      <w:rPr>
        <w:rFonts w:ascii="Wingdings" w:hAnsi="Wingdings" w:hint="default"/>
      </w:rPr>
    </w:lvl>
    <w:lvl w:ilvl="3" w:tplc="080A0001" w:tentative="1">
      <w:start w:val="1"/>
      <w:numFmt w:val="bullet"/>
      <w:lvlText w:val=""/>
      <w:lvlJc w:val="left"/>
      <w:pPr>
        <w:ind w:left="2879" w:hanging="360"/>
      </w:pPr>
      <w:rPr>
        <w:rFonts w:ascii="Symbol" w:hAnsi="Symbol" w:hint="default"/>
      </w:rPr>
    </w:lvl>
    <w:lvl w:ilvl="4" w:tplc="080A0003" w:tentative="1">
      <w:start w:val="1"/>
      <w:numFmt w:val="bullet"/>
      <w:lvlText w:val="o"/>
      <w:lvlJc w:val="left"/>
      <w:pPr>
        <w:ind w:left="3599" w:hanging="360"/>
      </w:pPr>
      <w:rPr>
        <w:rFonts w:ascii="Courier New" w:hAnsi="Courier New" w:cs="Courier New" w:hint="default"/>
      </w:rPr>
    </w:lvl>
    <w:lvl w:ilvl="5" w:tplc="080A0005" w:tentative="1">
      <w:start w:val="1"/>
      <w:numFmt w:val="bullet"/>
      <w:lvlText w:val=""/>
      <w:lvlJc w:val="left"/>
      <w:pPr>
        <w:ind w:left="4319" w:hanging="360"/>
      </w:pPr>
      <w:rPr>
        <w:rFonts w:ascii="Wingdings" w:hAnsi="Wingdings" w:hint="default"/>
      </w:rPr>
    </w:lvl>
    <w:lvl w:ilvl="6" w:tplc="080A0001" w:tentative="1">
      <w:start w:val="1"/>
      <w:numFmt w:val="bullet"/>
      <w:lvlText w:val=""/>
      <w:lvlJc w:val="left"/>
      <w:pPr>
        <w:ind w:left="5039" w:hanging="360"/>
      </w:pPr>
      <w:rPr>
        <w:rFonts w:ascii="Symbol" w:hAnsi="Symbol" w:hint="default"/>
      </w:rPr>
    </w:lvl>
    <w:lvl w:ilvl="7" w:tplc="080A0003" w:tentative="1">
      <w:start w:val="1"/>
      <w:numFmt w:val="bullet"/>
      <w:lvlText w:val="o"/>
      <w:lvlJc w:val="left"/>
      <w:pPr>
        <w:ind w:left="5759" w:hanging="360"/>
      </w:pPr>
      <w:rPr>
        <w:rFonts w:ascii="Courier New" w:hAnsi="Courier New" w:cs="Courier New" w:hint="default"/>
      </w:rPr>
    </w:lvl>
    <w:lvl w:ilvl="8" w:tplc="080A0005" w:tentative="1">
      <w:start w:val="1"/>
      <w:numFmt w:val="bullet"/>
      <w:lvlText w:val=""/>
      <w:lvlJc w:val="left"/>
      <w:pPr>
        <w:ind w:left="6479" w:hanging="360"/>
      </w:pPr>
      <w:rPr>
        <w:rFonts w:ascii="Wingdings" w:hAnsi="Wingdings" w:hint="default"/>
      </w:rPr>
    </w:lvl>
  </w:abstractNum>
  <w:abstractNum w:abstractNumId="10" w15:restartNumberingAfterBreak="0">
    <w:nsid w:val="274C4B6C"/>
    <w:multiLevelType w:val="hybridMultilevel"/>
    <w:tmpl w:val="9BB281D6"/>
    <w:lvl w:ilvl="0" w:tplc="67FA5B2C">
      <w:start w:val="1"/>
      <w:numFmt w:val="decimal"/>
      <w:pStyle w:val="Ttulo1"/>
      <w:lvlText w:val="%1)"/>
      <w:lvlJc w:val="left"/>
      <w:pPr>
        <w:ind w:left="720" w:hanging="360"/>
      </w:pPr>
    </w:lvl>
    <w:lvl w:ilvl="1" w:tplc="080A0003">
      <w:start w:val="1"/>
      <w:numFmt w:val="decimal"/>
      <w:lvlText w:val="%2.1"/>
      <w:lvlJc w:val="left"/>
      <w:pPr>
        <w:ind w:left="1440" w:hanging="360"/>
      </w:pPr>
      <w:rPr>
        <w:rFonts w:hint="default"/>
      </w:rPr>
    </w:lvl>
    <w:lvl w:ilvl="2" w:tplc="080A0005">
      <w:start w:val="1"/>
      <w:numFmt w:val="lowerLetter"/>
      <w:lvlText w:val="%3."/>
      <w:lvlJc w:val="right"/>
      <w:pPr>
        <w:ind w:left="2160" w:hanging="180"/>
      </w:pPr>
      <w:rPr>
        <w:rFonts w:hint="default"/>
      </w:rPr>
    </w:lvl>
    <w:lvl w:ilvl="3" w:tplc="080A0001" w:tentative="1">
      <w:start w:val="1"/>
      <w:numFmt w:val="decimal"/>
      <w:lvlText w:val="%4."/>
      <w:lvlJc w:val="left"/>
      <w:pPr>
        <w:ind w:left="2880" w:hanging="360"/>
      </w:pPr>
    </w:lvl>
    <w:lvl w:ilvl="4" w:tplc="080A0003" w:tentative="1">
      <w:start w:val="1"/>
      <w:numFmt w:val="lowerLetter"/>
      <w:lvlText w:val="%5."/>
      <w:lvlJc w:val="left"/>
      <w:pPr>
        <w:ind w:left="3600" w:hanging="360"/>
      </w:pPr>
    </w:lvl>
    <w:lvl w:ilvl="5" w:tplc="080A0005" w:tentative="1">
      <w:start w:val="1"/>
      <w:numFmt w:val="lowerRoman"/>
      <w:lvlText w:val="%6."/>
      <w:lvlJc w:val="right"/>
      <w:pPr>
        <w:ind w:left="4320" w:hanging="180"/>
      </w:pPr>
    </w:lvl>
    <w:lvl w:ilvl="6" w:tplc="080A0001" w:tentative="1">
      <w:start w:val="1"/>
      <w:numFmt w:val="decimal"/>
      <w:lvlText w:val="%7."/>
      <w:lvlJc w:val="left"/>
      <w:pPr>
        <w:ind w:left="5040" w:hanging="360"/>
      </w:pPr>
    </w:lvl>
    <w:lvl w:ilvl="7" w:tplc="080A0003" w:tentative="1">
      <w:start w:val="1"/>
      <w:numFmt w:val="lowerLetter"/>
      <w:lvlText w:val="%8."/>
      <w:lvlJc w:val="left"/>
      <w:pPr>
        <w:ind w:left="5760" w:hanging="360"/>
      </w:pPr>
    </w:lvl>
    <w:lvl w:ilvl="8" w:tplc="080A0005" w:tentative="1">
      <w:start w:val="1"/>
      <w:numFmt w:val="lowerRoman"/>
      <w:lvlText w:val="%9."/>
      <w:lvlJc w:val="right"/>
      <w:pPr>
        <w:ind w:left="6480" w:hanging="180"/>
      </w:pPr>
    </w:lvl>
  </w:abstractNum>
  <w:abstractNum w:abstractNumId="11" w15:restartNumberingAfterBreak="0">
    <w:nsid w:val="2B4B1A72"/>
    <w:multiLevelType w:val="hybridMultilevel"/>
    <w:tmpl w:val="2214DC0A"/>
    <w:lvl w:ilvl="0" w:tplc="4508A068">
      <w:numFmt w:val="bullet"/>
      <w:pStyle w:val="IPGProgramasHLS"/>
      <w:lvlText w:val="•"/>
      <w:lvlJc w:val="left"/>
      <w:pPr>
        <w:ind w:left="720" w:hanging="360"/>
      </w:pPr>
      <w:rPr>
        <w:rFonts w:ascii="Calibri" w:eastAsia="Batang" w:hAnsi="Calibri" w:cs="Aria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BE47961"/>
    <w:multiLevelType w:val="hybridMultilevel"/>
    <w:tmpl w:val="98241C64"/>
    <w:lvl w:ilvl="0" w:tplc="15EEA4A0">
      <w:start w:val="1"/>
      <w:numFmt w:val="bullet"/>
      <w:lvlText w:val="o"/>
      <w:lvlJc w:val="left"/>
      <w:pPr>
        <w:ind w:left="1068" w:hanging="360"/>
      </w:pPr>
      <w:rPr>
        <w:rFonts w:ascii="Courier New" w:hAnsi="Courier New" w:cs="Courier New" w:hint="default"/>
      </w:rPr>
    </w:lvl>
    <w:lvl w:ilvl="1" w:tplc="080A0003">
      <w:start w:val="1"/>
      <w:numFmt w:val="bullet"/>
      <w:lvlText w:val="o"/>
      <w:lvlJc w:val="left"/>
      <w:pPr>
        <w:ind w:left="1788" w:hanging="360"/>
      </w:pPr>
      <w:rPr>
        <w:rFonts w:ascii="Courier New" w:hAnsi="Courier New" w:cs="Courier New" w:hint="default"/>
      </w:rPr>
    </w:lvl>
    <w:lvl w:ilvl="2" w:tplc="9D626346">
      <w:start w:val="1"/>
      <w:numFmt w:val="bullet"/>
      <w:pStyle w:val="IPGAcc"/>
      <w:lvlText w:val=""/>
      <w:lvlJc w:val="left"/>
      <w:pPr>
        <w:ind w:left="2508" w:hanging="360"/>
      </w:pPr>
      <w:rPr>
        <w:rFonts w:ascii="Wingdings" w:hAnsi="Wingdings" w:hint="default"/>
      </w:rPr>
    </w:lvl>
    <w:lvl w:ilvl="3" w:tplc="31ECA282">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3" w15:restartNumberingAfterBreak="0">
    <w:nsid w:val="2FE93B4D"/>
    <w:multiLevelType w:val="hybridMultilevel"/>
    <w:tmpl w:val="6AEC5098"/>
    <w:lvl w:ilvl="0" w:tplc="FD2641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FC4097"/>
    <w:multiLevelType w:val="hybridMultilevel"/>
    <w:tmpl w:val="DBD054E2"/>
    <w:lvl w:ilvl="0" w:tplc="C9F8B5D0">
      <w:start w:val="1"/>
      <w:numFmt w:val="bullet"/>
      <w:pStyle w:val="IPG-Acciones"/>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B945C32"/>
    <w:multiLevelType w:val="hybridMultilevel"/>
    <w:tmpl w:val="696E310A"/>
    <w:lvl w:ilvl="0" w:tplc="DC96F6FE">
      <w:start w:val="1"/>
      <w:numFmt w:val="bullet"/>
      <w:pStyle w:val="INormal-Vietas"/>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E632470"/>
    <w:multiLevelType w:val="hybridMultilevel"/>
    <w:tmpl w:val="EA36DB8C"/>
    <w:lvl w:ilvl="0" w:tplc="125EF490">
      <w:start w:val="1"/>
      <w:numFmt w:val="decimal"/>
      <w:pStyle w:val="IProObj"/>
      <w:lvlText w:val="%1."/>
      <w:lvlJc w:val="left"/>
      <w:pPr>
        <w:ind w:left="152" w:hanging="360"/>
      </w:pPr>
      <w:rPr>
        <w:rFonts w:hint="default"/>
      </w:rPr>
    </w:lvl>
    <w:lvl w:ilvl="1" w:tplc="540A0019" w:tentative="1">
      <w:start w:val="1"/>
      <w:numFmt w:val="lowerLetter"/>
      <w:lvlText w:val="%2."/>
      <w:lvlJc w:val="left"/>
      <w:pPr>
        <w:ind w:left="872" w:hanging="360"/>
      </w:pPr>
    </w:lvl>
    <w:lvl w:ilvl="2" w:tplc="540A001B" w:tentative="1">
      <w:start w:val="1"/>
      <w:numFmt w:val="lowerRoman"/>
      <w:lvlText w:val="%3."/>
      <w:lvlJc w:val="right"/>
      <w:pPr>
        <w:ind w:left="1592" w:hanging="180"/>
      </w:pPr>
    </w:lvl>
    <w:lvl w:ilvl="3" w:tplc="540A000F" w:tentative="1">
      <w:start w:val="1"/>
      <w:numFmt w:val="decimal"/>
      <w:lvlText w:val="%4."/>
      <w:lvlJc w:val="left"/>
      <w:pPr>
        <w:ind w:left="2312" w:hanging="360"/>
      </w:pPr>
    </w:lvl>
    <w:lvl w:ilvl="4" w:tplc="540A0019" w:tentative="1">
      <w:start w:val="1"/>
      <w:numFmt w:val="lowerLetter"/>
      <w:lvlText w:val="%5."/>
      <w:lvlJc w:val="left"/>
      <w:pPr>
        <w:ind w:left="3032" w:hanging="360"/>
      </w:pPr>
    </w:lvl>
    <w:lvl w:ilvl="5" w:tplc="540A001B" w:tentative="1">
      <w:start w:val="1"/>
      <w:numFmt w:val="lowerRoman"/>
      <w:lvlText w:val="%6."/>
      <w:lvlJc w:val="right"/>
      <w:pPr>
        <w:ind w:left="3752" w:hanging="180"/>
      </w:pPr>
    </w:lvl>
    <w:lvl w:ilvl="6" w:tplc="540A000F" w:tentative="1">
      <w:start w:val="1"/>
      <w:numFmt w:val="decimal"/>
      <w:lvlText w:val="%7."/>
      <w:lvlJc w:val="left"/>
      <w:pPr>
        <w:ind w:left="4472" w:hanging="360"/>
      </w:pPr>
    </w:lvl>
    <w:lvl w:ilvl="7" w:tplc="540A0019" w:tentative="1">
      <w:start w:val="1"/>
      <w:numFmt w:val="lowerLetter"/>
      <w:lvlText w:val="%8."/>
      <w:lvlJc w:val="left"/>
      <w:pPr>
        <w:ind w:left="5192" w:hanging="360"/>
      </w:pPr>
    </w:lvl>
    <w:lvl w:ilvl="8" w:tplc="540A001B" w:tentative="1">
      <w:start w:val="1"/>
      <w:numFmt w:val="lowerRoman"/>
      <w:lvlText w:val="%9."/>
      <w:lvlJc w:val="right"/>
      <w:pPr>
        <w:ind w:left="5912" w:hanging="180"/>
      </w:pPr>
    </w:lvl>
  </w:abstractNum>
  <w:abstractNum w:abstractNumId="17" w15:restartNumberingAfterBreak="0">
    <w:nsid w:val="3FF255DB"/>
    <w:multiLevelType w:val="hybridMultilevel"/>
    <w:tmpl w:val="8FC029CE"/>
    <w:lvl w:ilvl="0" w:tplc="4A842822">
      <w:start w:val="1"/>
      <w:numFmt w:val="decimal"/>
      <w:pStyle w:val="Numeraci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04254AF"/>
    <w:multiLevelType w:val="hybridMultilevel"/>
    <w:tmpl w:val="0C7EC1E8"/>
    <w:styleLink w:val="Estiloimportado1"/>
    <w:lvl w:ilvl="0" w:tplc="873ED6D2">
      <w:start w:val="1"/>
      <w:numFmt w:val="decimal"/>
      <w:lvlText w:val="%1."/>
      <w:lvlJc w:val="left"/>
      <w:pPr>
        <w:ind w:left="121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5827F20">
      <w:start w:val="1"/>
      <w:numFmt w:val="lowerLetter"/>
      <w:lvlText w:val="%2."/>
      <w:lvlJc w:val="left"/>
      <w:pPr>
        <w:ind w:left="193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9AA3C84">
      <w:start w:val="1"/>
      <w:numFmt w:val="lowerRoman"/>
      <w:lvlText w:val="%3."/>
      <w:lvlJc w:val="left"/>
      <w:pPr>
        <w:ind w:left="2651"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7E8383C">
      <w:start w:val="1"/>
      <w:numFmt w:val="decimal"/>
      <w:lvlText w:val="%4."/>
      <w:lvlJc w:val="left"/>
      <w:pPr>
        <w:ind w:left="337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036892C">
      <w:start w:val="1"/>
      <w:numFmt w:val="lowerLetter"/>
      <w:lvlText w:val="%5."/>
      <w:lvlJc w:val="left"/>
      <w:pPr>
        <w:ind w:left="409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ED613D4">
      <w:start w:val="1"/>
      <w:numFmt w:val="lowerRoman"/>
      <w:lvlText w:val="%6."/>
      <w:lvlJc w:val="left"/>
      <w:pPr>
        <w:ind w:left="4811"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C1CBC0C">
      <w:start w:val="1"/>
      <w:numFmt w:val="decimal"/>
      <w:lvlText w:val="%7."/>
      <w:lvlJc w:val="left"/>
      <w:pPr>
        <w:ind w:left="553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6F87A4E">
      <w:start w:val="1"/>
      <w:numFmt w:val="lowerLetter"/>
      <w:lvlText w:val="%8."/>
      <w:lvlJc w:val="left"/>
      <w:pPr>
        <w:ind w:left="625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652BF82">
      <w:start w:val="1"/>
      <w:numFmt w:val="lowerRoman"/>
      <w:lvlText w:val="%9."/>
      <w:lvlJc w:val="left"/>
      <w:pPr>
        <w:ind w:left="6971"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 w15:restartNumberingAfterBreak="0">
    <w:nsid w:val="4394556D"/>
    <w:multiLevelType w:val="hybridMultilevel"/>
    <w:tmpl w:val="7D4EBA60"/>
    <w:lvl w:ilvl="0" w:tplc="8716FF8A">
      <w:start w:val="1"/>
      <w:numFmt w:val="lowerLetter"/>
      <w:lvlText w:val="%1)"/>
      <w:lvlJc w:val="left"/>
      <w:pPr>
        <w:ind w:left="76" w:hanging="360"/>
      </w:pPr>
      <w:rPr>
        <w:rFonts w:ascii="Arial" w:eastAsia="Arial" w:hAnsi="Arial" w:cs="Arial" w:hint="default"/>
        <w:b w:val="0"/>
        <w:i w:val="0"/>
        <w:color w:val="000000"/>
        <w:sz w:val="18"/>
        <w:szCs w:val="18"/>
      </w:rPr>
    </w:lvl>
    <w:lvl w:ilvl="1" w:tplc="080A0019" w:tentative="1">
      <w:start w:val="1"/>
      <w:numFmt w:val="lowerLetter"/>
      <w:lvlText w:val="%2."/>
      <w:lvlJc w:val="left"/>
      <w:pPr>
        <w:ind w:left="796" w:hanging="360"/>
      </w:pPr>
    </w:lvl>
    <w:lvl w:ilvl="2" w:tplc="080A001B" w:tentative="1">
      <w:start w:val="1"/>
      <w:numFmt w:val="lowerRoman"/>
      <w:lvlText w:val="%3."/>
      <w:lvlJc w:val="right"/>
      <w:pPr>
        <w:ind w:left="1516" w:hanging="180"/>
      </w:pPr>
    </w:lvl>
    <w:lvl w:ilvl="3" w:tplc="080A000F" w:tentative="1">
      <w:start w:val="1"/>
      <w:numFmt w:val="decimal"/>
      <w:lvlText w:val="%4."/>
      <w:lvlJc w:val="left"/>
      <w:pPr>
        <w:ind w:left="2236" w:hanging="360"/>
      </w:pPr>
    </w:lvl>
    <w:lvl w:ilvl="4" w:tplc="080A0019" w:tentative="1">
      <w:start w:val="1"/>
      <w:numFmt w:val="lowerLetter"/>
      <w:lvlText w:val="%5."/>
      <w:lvlJc w:val="left"/>
      <w:pPr>
        <w:ind w:left="2956" w:hanging="360"/>
      </w:pPr>
    </w:lvl>
    <w:lvl w:ilvl="5" w:tplc="080A001B" w:tentative="1">
      <w:start w:val="1"/>
      <w:numFmt w:val="lowerRoman"/>
      <w:lvlText w:val="%6."/>
      <w:lvlJc w:val="right"/>
      <w:pPr>
        <w:ind w:left="3676" w:hanging="180"/>
      </w:pPr>
    </w:lvl>
    <w:lvl w:ilvl="6" w:tplc="080A000F" w:tentative="1">
      <w:start w:val="1"/>
      <w:numFmt w:val="decimal"/>
      <w:lvlText w:val="%7."/>
      <w:lvlJc w:val="left"/>
      <w:pPr>
        <w:ind w:left="4396" w:hanging="360"/>
      </w:pPr>
    </w:lvl>
    <w:lvl w:ilvl="7" w:tplc="080A0019" w:tentative="1">
      <w:start w:val="1"/>
      <w:numFmt w:val="lowerLetter"/>
      <w:lvlText w:val="%8."/>
      <w:lvlJc w:val="left"/>
      <w:pPr>
        <w:ind w:left="5116" w:hanging="360"/>
      </w:pPr>
    </w:lvl>
    <w:lvl w:ilvl="8" w:tplc="080A001B" w:tentative="1">
      <w:start w:val="1"/>
      <w:numFmt w:val="lowerRoman"/>
      <w:lvlText w:val="%9."/>
      <w:lvlJc w:val="right"/>
      <w:pPr>
        <w:ind w:left="5836" w:hanging="180"/>
      </w:pPr>
    </w:lvl>
  </w:abstractNum>
  <w:abstractNum w:abstractNumId="20" w15:restartNumberingAfterBreak="0">
    <w:nsid w:val="4F912A60"/>
    <w:multiLevelType w:val="hybridMultilevel"/>
    <w:tmpl w:val="EAC0882E"/>
    <w:lvl w:ilvl="0" w:tplc="DA220102">
      <w:start w:val="1"/>
      <w:numFmt w:val="lowerLetter"/>
      <w:lvlText w:val="%1)"/>
      <w:lvlJc w:val="left"/>
      <w:pPr>
        <w:ind w:left="76" w:hanging="360"/>
      </w:pPr>
      <w:rPr>
        <w:rFonts w:ascii="Arial" w:eastAsia="Arial" w:hAnsi="Arial" w:cs="Arial" w:hint="default"/>
        <w:b w:val="0"/>
        <w:i w:val="0"/>
        <w:color w:val="000000"/>
        <w:sz w:val="18"/>
        <w:szCs w:val="18"/>
      </w:rPr>
    </w:lvl>
    <w:lvl w:ilvl="1" w:tplc="080A0019" w:tentative="1">
      <w:start w:val="1"/>
      <w:numFmt w:val="lowerLetter"/>
      <w:lvlText w:val="%2."/>
      <w:lvlJc w:val="left"/>
      <w:pPr>
        <w:ind w:left="796" w:hanging="360"/>
      </w:pPr>
    </w:lvl>
    <w:lvl w:ilvl="2" w:tplc="080A001B" w:tentative="1">
      <w:start w:val="1"/>
      <w:numFmt w:val="lowerRoman"/>
      <w:lvlText w:val="%3."/>
      <w:lvlJc w:val="right"/>
      <w:pPr>
        <w:ind w:left="1516" w:hanging="180"/>
      </w:pPr>
    </w:lvl>
    <w:lvl w:ilvl="3" w:tplc="080A000F" w:tentative="1">
      <w:start w:val="1"/>
      <w:numFmt w:val="decimal"/>
      <w:lvlText w:val="%4."/>
      <w:lvlJc w:val="left"/>
      <w:pPr>
        <w:ind w:left="2236" w:hanging="360"/>
      </w:pPr>
    </w:lvl>
    <w:lvl w:ilvl="4" w:tplc="080A0019" w:tentative="1">
      <w:start w:val="1"/>
      <w:numFmt w:val="lowerLetter"/>
      <w:lvlText w:val="%5."/>
      <w:lvlJc w:val="left"/>
      <w:pPr>
        <w:ind w:left="2956" w:hanging="360"/>
      </w:pPr>
    </w:lvl>
    <w:lvl w:ilvl="5" w:tplc="080A001B" w:tentative="1">
      <w:start w:val="1"/>
      <w:numFmt w:val="lowerRoman"/>
      <w:lvlText w:val="%6."/>
      <w:lvlJc w:val="right"/>
      <w:pPr>
        <w:ind w:left="3676" w:hanging="180"/>
      </w:pPr>
    </w:lvl>
    <w:lvl w:ilvl="6" w:tplc="080A000F" w:tentative="1">
      <w:start w:val="1"/>
      <w:numFmt w:val="decimal"/>
      <w:lvlText w:val="%7."/>
      <w:lvlJc w:val="left"/>
      <w:pPr>
        <w:ind w:left="4396" w:hanging="360"/>
      </w:pPr>
    </w:lvl>
    <w:lvl w:ilvl="7" w:tplc="080A0019" w:tentative="1">
      <w:start w:val="1"/>
      <w:numFmt w:val="lowerLetter"/>
      <w:lvlText w:val="%8."/>
      <w:lvlJc w:val="left"/>
      <w:pPr>
        <w:ind w:left="5116" w:hanging="360"/>
      </w:pPr>
    </w:lvl>
    <w:lvl w:ilvl="8" w:tplc="080A001B" w:tentative="1">
      <w:start w:val="1"/>
      <w:numFmt w:val="lowerRoman"/>
      <w:lvlText w:val="%9."/>
      <w:lvlJc w:val="right"/>
      <w:pPr>
        <w:ind w:left="5836" w:hanging="180"/>
      </w:pPr>
    </w:lvl>
  </w:abstractNum>
  <w:abstractNum w:abstractNumId="21" w15:restartNumberingAfterBreak="0">
    <w:nsid w:val="53C74511"/>
    <w:multiLevelType w:val="hybridMultilevel"/>
    <w:tmpl w:val="E180A654"/>
    <w:lvl w:ilvl="0" w:tplc="289EBF3A">
      <w:start w:val="1"/>
      <w:numFmt w:val="bullet"/>
      <w:pStyle w:val="INormalVi"/>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58590EFC"/>
    <w:multiLevelType w:val="hybridMultilevel"/>
    <w:tmpl w:val="A7ACF9D6"/>
    <w:lvl w:ilvl="0" w:tplc="40D23A5C">
      <w:start w:val="1"/>
      <w:numFmt w:val="bullet"/>
      <w:pStyle w:val="IPGIndic"/>
      <w:lvlText w:val="­"/>
      <w:lvlJc w:val="left"/>
      <w:pPr>
        <w:ind w:left="720" w:hanging="360"/>
      </w:pPr>
      <w:rPr>
        <w:rFonts w:ascii="Courier New" w:hAnsi="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EAC49C3"/>
    <w:multiLevelType w:val="hybridMultilevel"/>
    <w:tmpl w:val="253A6C52"/>
    <w:lvl w:ilvl="0" w:tplc="F98E5CD6">
      <w:start w:val="1"/>
      <w:numFmt w:val="bullet"/>
      <w:pStyle w:val="PGAcciones"/>
      <w:lvlText w:val=""/>
      <w:lvlJc w:val="left"/>
      <w:pPr>
        <w:ind w:left="294" w:hanging="360"/>
      </w:pPr>
      <w:rPr>
        <w:rFonts w:ascii="Symbol" w:hAnsi="Symbol" w:hint="default"/>
      </w:rPr>
    </w:lvl>
    <w:lvl w:ilvl="1" w:tplc="080A0003" w:tentative="1">
      <w:start w:val="1"/>
      <w:numFmt w:val="bullet"/>
      <w:lvlText w:val="o"/>
      <w:lvlJc w:val="left"/>
      <w:pPr>
        <w:ind w:left="1014" w:hanging="360"/>
      </w:pPr>
      <w:rPr>
        <w:rFonts w:ascii="Courier New" w:hAnsi="Courier New" w:cs="Courier New" w:hint="default"/>
      </w:rPr>
    </w:lvl>
    <w:lvl w:ilvl="2" w:tplc="080A0005" w:tentative="1">
      <w:start w:val="1"/>
      <w:numFmt w:val="bullet"/>
      <w:lvlText w:val=""/>
      <w:lvlJc w:val="left"/>
      <w:pPr>
        <w:ind w:left="1734" w:hanging="360"/>
      </w:pPr>
      <w:rPr>
        <w:rFonts w:ascii="Wingdings" w:hAnsi="Wingdings" w:hint="default"/>
      </w:rPr>
    </w:lvl>
    <w:lvl w:ilvl="3" w:tplc="080A0001" w:tentative="1">
      <w:start w:val="1"/>
      <w:numFmt w:val="bullet"/>
      <w:lvlText w:val=""/>
      <w:lvlJc w:val="left"/>
      <w:pPr>
        <w:ind w:left="2454" w:hanging="360"/>
      </w:pPr>
      <w:rPr>
        <w:rFonts w:ascii="Symbol" w:hAnsi="Symbol" w:hint="default"/>
      </w:rPr>
    </w:lvl>
    <w:lvl w:ilvl="4" w:tplc="080A0003" w:tentative="1">
      <w:start w:val="1"/>
      <w:numFmt w:val="bullet"/>
      <w:lvlText w:val="o"/>
      <w:lvlJc w:val="left"/>
      <w:pPr>
        <w:ind w:left="3174" w:hanging="360"/>
      </w:pPr>
      <w:rPr>
        <w:rFonts w:ascii="Courier New" w:hAnsi="Courier New" w:cs="Courier New" w:hint="default"/>
      </w:rPr>
    </w:lvl>
    <w:lvl w:ilvl="5" w:tplc="080A0005" w:tentative="1">
      <w:start w:val="1"/>
      <w:numFmt w:val="bullet"/>
      <w:lvlText w:val=""/>
      <w:lvlJc w:val="left"/>
      <w:pPr>
        <w:ind w:left="3894" w:hanging="360"/>
      </w:pPr>
      <w:rPr>
        <w:rFonts w:ascii="Wingdings" w:hAnsi="Wingdings" w:hint="default"/>
      </w:rPr>
    </w:lvl>
    <w:lvl w:ilvl="6" w:tplc="080A0001" w:tentative="1">
      <w:start w:val="1"/>
      <w:numFmt w:val="bullet"/>
      <w:lvlText w:val=""/>
      <w:lvlJc w:val="left"/>
      <w:pPr>
        <w:ind w:left="4614" w:hanging="360"/>
      </w:pPr>
      <w:rPr>
        <w:rFonts w:ascii="Symbol" w:hAnsi="Symbol" w:hint="default"/>
      </w:rPr>
    </w:lvl>
    <w:lvl w:ilvl="7" w:tplc="080A0003" w:tentative="1">
      <w:start w:val="1"/>
      <w:numFmt w:val="bullet"/>
      <w:lvlText w:val="o"/>
      <w:lvlJc w:val="left"/>
      <w:pPr>
        <w:ind w:left="5334" w:hanging="360"/>
      </w:pPr>
      <w:rPr>
        <w:rFonts w:ascii="Courier New" w:hAnsi="Courier New" w:cs="Courier New" w:hint="default"/>
      </w:rPr>
    </w:lvl>
    <w:lvl w:ilvl="8" w:tplc="080A0005" w:tentative="1">
      <w:start w:val="1"/>
      <w:numFmt w:val="bullet"/>
      <w:lvlText w:val=""/>
      <w:lvlJc w:val="left"/>
      <w:pPr>
        <w:ind w:left="6054" w:hanging="360"/>
      </w:pPr>
      <w:rPr>
        <w:rFonts w:ascii="Wingdings" w:hAnsi="Wingdings" w:hint="default"/>
      </w:rPr>
    </w:lvl>
  </w:abstractNum>
  <w:abstractNum w:abstractNumId="24" w15:restartNumberingAfterBreak="0">
    <w:nsid w:val="5FBF5A56"/>
    <w:multiLevelType w:val="hybridMultilevel"/>
    <w:tmpl w:val="B95A6A6A"/>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5" w15:restartNumberingAfterBreak="0">
    <w:nsid w:val="61CB74FB"/>
    <w:multiLevelType w:val="hybridMultilevel"/>
    <w:tmpl w:val="B324E31A"/>
    <w:lvl w:ilvl="0" w:tplc="08FAB5B8">
      <w:start w:val="1"/>
      <w:numFmt w:val="lowerLetter"/>
      <w:lvlText w:val="%1)"/>
      <w:lvlJc w:val="left"/>
      <w:pPr>
        <w:ind w:left="76" w:hanging="360"/>
      </w:pPr>
      <w:rPr>
        <w:rFonts w:hint="default"/>
        <w:b w:val="0"/>
      </w:rPr>
    </w:lvl>
    <w:lvl w:ilvl="1" w:tplc="080A0019" w:tentative="1">
      <w:start w:val="1"/>
      <w:numFmt w:val="lowerLetter"/>
      <w:lvlText w:val="%2."/>
      <w:lvlJc w:val="left"/>
      <w:pPr>
        <w:ind w:left="796" w:hanging="360"/>
      </w:pPr>
    </w:lvl>
    <w:lvl w:ilvl="2" w:tplc="080A001B" w:tentative="1">
      <w:start w:val="1"/>
      <w:numFmt w:val="lowerRoman"/>
      <w:lvlText w:val="%3."/>
      <w:lvlJc w:val="right"/>
      <w:pPr>
        <w:ind w:left="1516" w:hanging="180"/>
      </w:pPr>
    </w:lvl>
    <w:lvl w:ilvl="3" w:tplc="080A000F" w:tentative="1">
      <w:start w:val="1"/>
      <w:numFmt w:val="decimal"/>
      <w:lvlText w:val="%4."/>
      <w:lvlJc w:val="left"/>
      <w:pPr>
        <w:ind w:left="2236" w:hanging="360"/>
      </w:pPr>
    </w:lvl>
    <w:lvl w:ilvl="4" w:tplc="080A0019" w:tentative="1">
      <w:start w:val="1"/>
      <w:numFmt w:val="lowerLetter"/>
      <w:lvlText w:val="%5."/>
      <w:lvlJc w:val="left"/>
      <w:pPr>
        <w:ind w:left="2956" w:hanging="360"/>
      </w:pPr>
    </w:lvl>
    <w:lvl w:ilvl="5" w:tplc="080A001B" w:tentative="1">
      <w:start w:val="1"/>
      <w:numFmt w:val="lowerRoman"/>
      <w:lvlText w:val="%6."/>
      <w:lvlJc w:val="right"/>
      <w:pPr>
        <w:ind w:left="3676" w:hanging="180"/>
      </w:pPr>
    </w:lvl>
    <w:lvl w:ilvl="6" w:tplc="080A000F" w:tentative="1">
      <w:start w:val="1"/>
      <w:numFmt w:val="decimal"/>
      <w:lvlText w:val="%7."/>
      <w:lvlJc w:val="left"/>
      <w:pPr>
        <w:ind w:left="4396" w:hanging="360"/>
      </w:pPr>
    </w:lvl>
    <w:lvl w:ilvl="7" w:tplc="080A0019" w:tentative="1">
      <w:start w:val="1"/>
      <w:numFmt w:val="lowerLetter"/>
      <w:lvlText w:val="%8."/>
      <w:lvlJc w:val="left"/>
      <w:pPr>
        <w:ind w:left="5116" w:hanging="360"/>
      </w:pPr>
    </w:lvl>
    <w:lvl w:ilvl="8" w:tplc="080A001B" w:tentative="1">
      <w:start w:val="1"/>
      <w:numFmt w:val="lowerRoman"/>
      <w:lvlText w:val="%9."/>
      <w:lvlJc w:val="right"/>
      <w:pPr>
        <w:ind w:left="5836" w:hanging="180"/>
      </w:pPr>
    </w:lvl>
  </w:abstractNum>
  <w:abstractNum w:abstractNumId="26" w15:restartNumberingAfterBreak="0">
    <w:nsid w:val="64654FD0"/>
    <w:multiLevelType w:val="hybridMultilevel"/>
    <w:tmpl w:val="49C0C5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708207AD"/>
    <w:multiLevelType w:val="hybridMultilevel"/>
    <w:tmpl w:val="F7A630EE"/>
    <w:lvl w:ilvl="0" w:tplc="EFF299FC">
      <w:start w:val="1"/>
      <w:numFmt w:val="lowerLetter"/>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8" w15:restartNumberingAfterBreak="0">
    <w:nsid w:val="75CF4EB4"/>
    <w:multiLevelType w:val="hybridMultilevel"/>
    <w:tmpl w:val="A688473E"/>
    <w:lvl w:ilvl="0" w:tplc="9BA4512C">
      <w:start w:val="1"/>
      <w:numFmt w:val="bullet"/>
      <w:pStyle w:val="IPGaccEDU"/>
      <w:lvlText w:val="­"/>
      <w:lvlJc w:val="left"/>
      <w:pPr>
        <w:ind w:left="720" w:hanging="360"/>
      </w:pPr>
      <w:rPr>
        <w:rFonts w:ascii="Courier New" w:hAnsi="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77B81698"/>
    <w:multiLevelType w:val="hybridMultilevel"/>
    <w:tmpl w:val="E7FE82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7A1723A2"/>
    <w:multiLevelType w:val="hybridMultilevel"/>
    <w:tmpl w:val="83E0C0E0"/>
    <w:lvl w:ilvl="0" w:tplc="080A0001">
      <w:start w:val="1"/>
      <w:numFmt w:val="bullet"/>
      <w:lvlText w:val=""/>
      <w:lvlJc w:val="left"/>
      <w:pPr>
        <w:ind w:left="722" w:hanging="360"/>
      </w:pPr>
      <w:rPr>
        <w:rFonts w:ascii="Symbol" w:hAnsi="Symbol" w:hint="default"/>
      </w:rPr>
    </w:lvl>
    <w:lvl w:ilvl="1" w:tplc="080A0003">
      <w:start w:val="1"/>
      <w:numFmt w:val="bullet"/>
      <w:lvlText w:val="o"/>
      <w:lvlJc w:val="left"/>
      <w:pPr>
        <w:ind w:left="1442" w:hanging="360"/>
      </w:pPr>
      <w:rPr>
        <w:rFonts w:ascii="Courier New" w:hAnsi="Courier New" w:cs="Courier New" w:hint="default"/>
      </w:rPr>
    </w:lvl>
    <w:lvl w:ilvl="2" w:tplc="080A0005" w:tentative="1">
      <w:start w:val="1"/>
      <w:numFmt w:val="bullet"/>
      <w:lvlText w:val=""/>
      <w:lvlJc w:val="left"/>
      <w:pPr>
        <w:ind w:left="2162" w:hanging="360"/>
      </w:pPr>
      <w:rPr>
        <w:rFonts w:ascii="Wingdings" w:hAnsi="Wingdings" w:hint="default"/>
      </w:rPr>
    </w:lvl>
    <w:lvl w:ilvl="3" w:tplc="080A0001" w:tentative="1">
      <w:start w:val="1"/>
      <w:numFmt w:val="bullet"/>
      <w:lvlText w:val=""/>
      <w:lvlJc w:val="left"/>
      <w:pPr>
        <w:ind w:left="2882" w:hanging="360"/>
      </w:pPr>
      <w:rPr>
        <w:rFonts w:ascii="Symbol" w:hAnsi="Symbol" w:hint="default"/>
      </w:rPr>
    </w:lvl>
    <w:lvl w:ilvl="4" w:tplc="080A0003" w:tentative="1">
      <w:start w:val="1"/>
      <w:numFmt w:val="bullet"/>
      <w:lvlText w:val="o"/>
      <w:lvlJc w:val="left"/>
      <w:pPr>
        <w:ind w:left="3602" w:hanging="360"/>
      </w:pPr>
      <w:rPr>
        <w:rFonts w:ascii="Courier New" w:hAnsi="Courier New" w:cs="Courier New" w:hint="default"/>
      </w:rPr>
    </w:lvl>
    <w:lvl w:ilvl="5" w:tplc="080A0005" w:tentative="1">
      <w:start w:val="1"/>
      <w:numFmt w:val="bullet"/>
      <w:lvlText w:val=""/>
      <w:lvlJc w:val="left"/>
      <w:pPr>
        <w:ind w:left="4322" w:hanging="360"/>
      </w:pPr>
      <w:rPr>
        <w:rFonts w:ascii="Wingdings" w:hAnsi="Wingdings" w:hint="default"/>
      </w:rPr>
    </w:lvl>
    <w:lvl w:ilvl="6" w:tplc="080A0001" w:tentative="1">
      <w:start w:val="1"/>
      <w:numFmt w:val="bullet"/>
      <w:lvlText w:val=""/>
      <w:lvlJc w:val="left"/>
      <w:pPr>
        <w:ind w:left="5042" w:hanging="360"/>
      </w:pPr>
      <w:rPr>
        <w:rFonts w:ascii="Symbol" w:hAnsi="Symbol" w:hint="default"/>
      </w:rPr>
    </w:lvl>
    <w:lvl w:ilvl="7" w:tplc="080A0003" w:tentative="1">
      <w:start w:val="1"/>
      <w:numFmt w:val="bullet"/>
      <w:lvlText w:val="o"/>
      <w:lvlJc w:val="left"/>
      <w:pPr>
        <w:ind w:left="5762" w:hanging="360"/>
      </w:pPr>
      <w:rPr>
        <w:rFonts w:ascii="Courier New" w:hAnsi="Courier New" w:cs="Courier New" w:hint="default"/>
      </w:rPr>
    </w:lvl>
    <w:lvl w:ilvl="8" w:tplc="080A0005" w:tentative="1">
      <w:start w:val="1"/>
      <w:numFmt w:val="bullet"/>
      <w:lvlText w:val=""/>
      <w:lvlJc w:val="left"/>
      <w:pPr>
        <w:ind w:left="6482" w:hanging="360"/>
      </w:pPr>
      <w:rPr>
        <w:rFonts w:ascii="Wingdings" w:hAnsi="Wingdings" w:hint="default"/>
      </w:rPr>
    </w:lvl>
  </w:abstractNum>
  <w:abstractNum w:abstractNumId="31" w15:restartNumberingAfterBreak="0">
    <w:nsid w:val="7B0075C3"/>
    <w:multiLevelType w:val="hybridMultilevel"/>
    <w:tmpl w:val="1AE87880"/>
    <w:lvl w:ilvl="0" w:tplc="2444BA3A">
      <w:start w:val="1"/>
      <w:numFmt w:val="lowerLetter"/>
      <w:lvlText w:val="%1)"/>
      <w:lvlJc w:val="left"/>
      <w:pPr>
        <w:ind w:left="720" w:hanging="360"/>
      </w:pPr>
      <w:rPr>
        <w:rFonts w:hint="default"/>
        <w:b/>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C81366C"/>
    <w:multiLevelType w:val="hybridMultilevel"/>
    <w:tmpl w:val="014ADE8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16"/>
  </w:num>
  <w:num w:numId="4">
    <w:abstractNumId w:val="5"/>
  </w:num>
  <w:num w:numId="5">
    <w:abstractNumId w:val="12"/>
  </w:num>
  <w:num w:numId="6">
    <w:abstractNumId w:val="11"/>
  </w:num>
  <w:num w:numId="7">
    <w:abstractNumId w:val="15"/>
  </w:num>
  <w:num w:numId="8">
    <w:abstractNumId w:val="17"/>
  </w:num>
  <w:num w:numId="9">
    <w:abstractNumId w:val="2"/>
  </w:num>
  <w:num w:numId="10">
    <w:abstractNumId w:val="28"/>
  </w:num>
  <w:num w:numId="11">
    <w:abstractNumId w:val="7"/>
  </w:num>
  <w:num w:numId="12">
    <w:abstractNumId w:val="21"/>
  </w:num>
  <w:num w:numId="13">
    <w:abstractNumId w:val="14"/>
  </w:num>
  <w:num w:numId="14">
    <w:abstractNumId w:val="22"/>
  </w:num>
  <w:num w:numId="15">
    <w:abstractNumId w:val="18"/>
  </w:num>
  <w:num w:numId="16">
    <w:abstractNumId w:val="1"/>
  </w:num>
  <w:num w:numId="17">
    <w:abstractNumId w:val="29"/>
  </w:num>
  <w:num w:numId="18">
    <w:abstractNumId w:val="3"/>
  </w:num>
  <w:num w:numId="19">
    <w:abstractNumId w:val="9"/>
  </w:num>
  <w:num w:numId="20">
    <w:abstractNumId w:val="27"/>
  </w:num>
  <w:num w:numId="21">
    <w:abstractNumId w:val="32"/>
  </w:num>
  <w:num w:numId="22">
    <w:abstractNumId w:val="26"/>
  </w:num>
  <w:num w:numId="23">
    <w:abstractNumId w:val="4"/>
  </w:num>
  <w:num w:numId="24">
    <w:abstractNumId w:val="0"/>
  </w:num>
  <w:num w:numId="25">
    <w:abstractNumId w:val="30"/>
  </w:num>
  <w:num w:numId="26">
    <w:abstractNumId w:val="23"/>
  </w:num>
  <w:num w:numId="27">
    <w:abstractNumId w:val="6"/>
  </w:num>
  <w:num w:numId="28">
    <w:abstractNumId w:val="13"/>
  </w:num>
  <w:num w:numId="29">
    <w:abstractNumId w:val="24"/>
  </w:num>
  <w:num w:numId="30">
    <w:abstractNumId w:val="20"/>
  </w:num>
  <w:num w:numId="31">
    <w:abstractNumId w:val="31"/>
  </w:num>
  <w:num w:numId="32">
    <w:abstractNumId w:val="19"/>
  </w:num>
  <w:num w:numId="33">
    <w:abstractNumId w:val="2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40"/>
  <w:defaultTabStop w:val="708"/>
  <w:hyphenationZone w:val="425"/>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2A91"/>
    <w:rsid w:val="0001028F"/>
    <w:rsid w:val="00012274"/>
    <w:rsid w:val="00026C09"/>
    <w:rsid w:val="000563EE"/>
    <w:rsid w:val="00100897"/>
    <w:rsid w:val="0018463D"/>
    <w:rsid w:val="001D2A17"/>
    <w:rsid w:val="001F55D8"/>
    <w:rsid w:val="00202CC2"/>
    <w:rsid w:val="002208A5"/>
    <w:rsid w:val="00222A91"/>
    <w:rsid w:val="0024523C"/>
    <w:rsid w:val="00255030"/>
    <w:rsid w:val="002B47F3"/>
    <w:rsid w:val="002D2B53"/>
    <w:rsid w:val="00320CEA"/>
    <w:rsid w:val="0038289A"/>
    <w:rsid w:val="003A175C"/>
    <w:rsid w:val="003E2406"/>
    <w:rsid w:val="0040256E"/>
    <w:rsid w:val="0041258E"/>
    <w:rsid w:val="004522BD"/>
    <w:rsid w:val="0046746F"/>
    <w:rsid w:val="004E0074"/>
    <w:rsid w:val="004E2D29"/>
    <w:rsid w:val="00514BDA"/>
    <w:rsid w:val="00535989"/>
    <w:rsid w:val="005712E5"/>
    <w:rsid w:val="0059632C"/>
    <w:rsid w:val="005A7C5A"/>
    <w:rsid w:val="005F65D5"/>
    <w:rsid w:val="006071DA"/>
    <w:rsid w:val="0069081C"/>
    <w:rsid w:val="006C1689"/>
    <w:rsid w:val="006C7EB7"/>
    <w:rsid w:val="00794EB9"/>
    <w:rsid w:val="007B79F4"/>
    <w:rsid w:val="007E2371"/>
    <w:rsid w:val="007F7470"/>
    <w:rsid w:val="00811F6E"/>
    <w:rsid w:val="008C53C1"/>
    <w:rsid w:val="00900446"/>
    <w:rsid w:val="009135FE"/>
    <w:rsid w:val="0091699E"/>
    <w:rsid w:val="00927C0B"/>
    <w:rsid w:val="00993E4A"/>
    <w:rsid w:val="0099503D"/>
    <w:rsid w:val="009D73E1"/>
    <w:rsid w:val="009F47BA"/>
    <w:rsid w:val="00A0274C"/>
    <w:rsid w:val="00A504DA"/>
    <w:rsid w:val="00A50BDB"/>
    <w:rsid w:val="00A71AAF"/>
    <w:rsid w:val="00AD4E1E"/>
    <w:rsid w:val="00AF50D0"/>
    <w:rsid w:val="00B20273"/>
    <w:rsid w:val="00B45136"/>
    <w:rsid w:val="00B56D92"/>
    <w:rsid w:val="00B87FCE"/>
    <w:rsid w:val="00BD5347"/>
    <w:rsid w:val="00BF0DC1"/>
    <w:rsid w:val="00C10AC6"/>
    <w:rsid w:val="00C307FB"/>
    <w:rsid w:val="00C31682"/>
    <w:rsid w:val="00C51006"/>
    <w:rsid w:val="00C569BB"/>
    <w:rsid w:val="00CA295D"/>
    <w:rsid w:val="00CA64D7"/>
    <w:rsid w:val="00CC2317"/>
    <w:rsid w:val="00CF01D0"/>
    <w:rsid w:val="00D17B9E"/>
    <w:rsid w:val="00D46D1B"/>
    <w:rsid w:val="00D74213"/>
    <w:rsid w:val="00DA7CE9"/>
    <w:rsid w:val="00E8197F"/>
    <w:rsid w:val="00E90E8F"/>
    <w:rsid w:val="00ED5509"/>
    <w:rsid w:val="00ED58A8"/>
    <w:rsid w:val="00F12BEC"/>
    <w:rsid w:val="00F17E23"/>
    <w:rsid w:val="00F5631A"/>
    <w:rsid w:val="00F844E0"/>
    <w:rsid w:val="00F94CC4"/>
    <w:rsid w:val="00FB4DF0"/>
    <w:rsid w:val="00FF173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6E2EBE1F"/>
  <w15:docId w15:val="{D45F5FA2-0B73-5A47-B086-F71B9FE8FE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0"/>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2A91"/>
    <w:pPr>
      <w:spacing w:after="0" w:line="240" w:lineRule="auto"/>
    </w:pPr>
    <w:rPr>
      <w:rFonts w:ascii="Times New Roman" w:eastAsia="Times New Roman" w:hAnsi="Times New Roman" w:cs="Times New Roman"/>
      <w:sz w:val="20"/>
      <w:szCs w:val="20"/>
      <w:lang w:val="es-ES" w:eastAsia="es-ES"/>
    </w:rPr>
  </w:style>
  <w:style w:type="paragraph" w:styleId="Ttulo1">
    <w:name w:val="heading 1"/>
    <w:basedOn w:val="Normal"/>
    <w:next w:val="Normal"/>
    <w:link w:val="Ttulo1Car"/>
    <w:uiPriority w:val="9"/>
    <w:qFormat/>
    <w:rsid w:val="00D17B9E"/>
    <w:pPr>
      <w:keepNext/>
      <w:keepLines/>
      <w:numPr>
        <w:numId w:val="1"/>
      </w:numPr>
      <w:spacing w:before="120"/>
      <w:outlineLvl w:val="0"/>
    </w:pPr>
    <w:rPr>
      <w:rFonts w:asciiTheme="majorHAnsi" w:eastAsiaTheme="majorEastAsia" w:hAnsiTheme="majorHAnsi" w:cstheme="majorBidi"/>
      <w:b/>
      <w:bCs/>
      <w:color w:val="7B7B7B" w:themeColor="accent3" w:themeShade="BF"/>
      <w:sz w:val="22"/>
      <w:szCs w:val="28"/>
      <w:lang w:val="es-MX" w:eastAsia="en-US"/>
    </w:rPr>
  </w:style>
  <w:style w:type="paragraph" w:styleId="Ttulo2">
    <w:name w:val="heading 2"/>
    <w:basedOn w:val="Normal"/>
    <w:next w:val="Normal"/>
    <w:link w:val="Ttulo2Car"/>
    <w:uiPriority w:val="9"/>
    <w:unhideWhenUsed/>
    <w:qFormat/>
    <w:rsid w:val="00D17B9E"/>
    <w:pPr>
      <w:keepNext/>
      <w:keepLines/>
      <w:spacing w:before="200"/>
      <w:outlineLvl w:val="1"/>
    </w:pPr>
    <w:rPr>
      <w:rFonts w:asciiTheme="majorHAnsi" w:eastAsiaTheme="majorEastAsia" w:hAnsiTheme="majorHAnsi" w:cstheme="majorBidi"/>
      <w:b/>
      <w:bCs/>
      <w:color w:val="A5A5A5" w:themeColor="accent3"/>
      <w:sz w:val="26"/>
      <w:szCs w:val="26"/>
      <w:lang w:val="es-MX" w:eastAsia="en-US"/>
    </w:rPr>
  </w:style>
  <w:style w:type="paragraph" w:styleId="Ttulo3">
    <w:name w:val="heading 3"/>
    <w:basedOn w:val="Normal"/>
    <w:next w:val="Normal"/>
    <w:link w:val="Ttulo3Car"/>
    <w:uiPriority w:val="9"/>
    <w:unhideWhenUsed/>
    <w:qFormat/>
    <w:rsid w:val="00D17B9E"/>
    <w:pPr>
      <w:keepNext/>
      <w:keepLines/>
      <w:spacing w:before="200"/>
      <w:outlineLvl w:val="2"/>
    </w:pPr>
    <w:rPr>
      <w:rFonts w:asciiTheme="majorHAnsi" w:eastAsiaTheme="majorEastAsia" w:hAnsiTheme="majorHAnsi" w:cstheme="majorBidi"/>
      <w:b/>
      <w:bCs/>
      <w:color w:val="5B9BD5" w:themeColor="accent1"/>
      <w:sz w:val="22"/>
      <w:szCs w:val="22"/>
      <w:lang w:val="es-MX" w:eastAsia="en-US"/>
    </w:rPr>
  </w:style>
  <w:style w:type="paragraph" w:styleId="Ttulo4">
    <w:name w:val="heading 4"/>
    <w:basedOn w:val="Normal"/>
    <w:next w:val="Normal"/>
    <w:link w:val="Ttulo4Car"/>
    <w:uiPriority w:val="9"/>
    <w:unhideWhenUsed/>
    <w:qFormat/>
    <w:rsid w:val="00D17B9E"/>
    <w:pPr>
      <w:keepNext/>
      <w:keepLines/>
      <w:widowControl w:val="0"/>
      <w:spacing w:before="240" w:after="40"/>
      <w:outlineLvl w:val="3"/>
    </w:pPr>
    <w:rPr>
      <w:rFonts w:ascii="Calibri" w:hAnsi="Calibri" w:cs="Calibri"/>
      <w:b/>
      <w:bCs/>
      <w:color w:val="000000"/>
      <w:sz w:val="24"/>
      <w:szCs w:val="24"/>
      <w:lang w:val="en-US" w:eastAsia="en-US"/>
    </w:rPr>
  </w:style>
  <w:style w:type="paragraph" w:styleId="Ttulo5">
    <w:name w:val="heading 5"/>
    <w:basedOn w:val="Normal"/>
    <w:next w:val="Normal"/>
    <w:link w:val="Ttulo5Car"/>
    <w:uiPriority w:val="9"/>
    <w:unhideWhenUsed/>
    <w:qFormat/>
    <w:rsid w:val="00D17B9E"/>
    <w:pPr>
      <w:keepNext/>
      <w:keepLines/>
      <w:widowControl w:val="0"/>
      <w:spacing w:before="220" w:after="40"/>
      <w:outlineLvl w:val="4"/>
    </w:pPr>
    <w:rPr>
      <w:rFonts w:ascii="Calibri" w:hAnsi="Calibri" w:cs="Calibri"/>
      <w:b/>
      <w:bCs/>
      <w:color w:val="000000"/>
      <w:sz w:val="22"/>
      <w:szCs w:val="22"/>
      <w:lang w:val="en-US" w:eastAsia="en-US"/>
    </w:rPr>
  </w:style>
  <w:style w:type="paragraph" w:styleId="Ttulo6">
    <w:name w:val="heading 6"/>
    <w:basedOn w:val="Normal"/>
    <w:next w:val="Normal"/>
    <w:link w:val="Ttulo6Car"/>
    <w:uiPriority w:val="9"/>
    <w:unhideWhenUsed/>
    <w:qFormat/>
    <w:rsid w:val="00D17B9E"/>
    <w:pPr>
      <w:keepNext/>
      <w:keepLines/>
      <w:widowControl w:val="0"/>
      <w:spacing w:before="200" w:after="40"/>
      <w:outlineLvl w:val="5"/>
    </w:pPr>
    <w:rPr>
      <w:rFonts w:ascii="Calibri" w:hAnsi="Calibri" w:cs="Calibri"/>
      <w:b/>
      <w:bCs/>
      <w:color w:val="000000"/>
      <w:sz w:val="22"/>
      <w:lang w:val="en-US" w:eastAsia="en-US"/>
    </w:rPr>
  </w:style>
  <w:style w:type="paragraph" w:styleId="Ttulo7">
    <w:name w:val="heading 7"/>
    <w:basedOn w:val="Normal"/>
    <w:next w:val="Normal"/>
    <w:link w:val="Ttulo7Car"/>
    <w:uiPriority w:val="99"/>
    <w:unhideWhenUsed/>
    <w:rsid w:val="00D17B9E"/>
    <w:pPr>
      <w:keepNext/>
      <w:keepLines/>
      <w:spacing w:before="40" w:line="259" w:lineRule="auto"/>
      <w:ind w:left="1296" w:hanging="1296"/>
      <w:outlineLvl w:val="6"/>
    </w:pPr>
    <w:rPr>
      <w:rFonts w:asciiTheme="majorHAnsi" w:eastAsiaTheme="majorEastAsia" w:hAnsiTheme="majorHAnsi" w:cstheme="majorBidi"/>
      <w:i/>
      <w:iCs/>
      <w:color w:val="1F4D78" w:themeColor="accent1" w:themeShade="7F"/>
      <w:sz w:val="22"/>
      <w:szCs w:val="22"/>
      <w:lang w:val="es-MX" w:eastAsia="en-US"/>
    </w:rPr>
  </w:style>
  <w:style w:type="paragraph" w:styleId="Ttulo8">
    <w:name w:val="heading 8"/>
    <w:basedOn w:val="Normal"/>
    <w:next w:val="Normal"/>
    <w:link w:val="Ttulo8Car"/>
    <w:uiPriority w:val="99"/>
    <w:unhideWhenUsed/>
    <w:rsid w:val="00D17B9E"/>
    <w:pPr>
      <w:keepNext/>
      <w:keepLines/>
      <w:spacing w:before="40" w:line="259" w:lineRule="auto"/>
      <w:ind w:left="1440" w:hanging="1440"/>
      <w:outlineLvl w:val="7"/>
    </w:pPr>
    <w:rPr>
      <w:rFonts w:asciiTheme="majorHAnsi" w:eastAsiaTheme="majorEastAsia" w:hAnsiTheme="majorHAnsi" w:cstheme="majorBidi"/>
      <w:color w:val="272727" w:themeColor="text1" w:themeTint="D8"/>
      <w:sz w:val="21"/>
      <w:szCs w:val="21"/>
      <w:lang w:val="es-MX" w:eastAsia="en-US"/>
    </w:rPr>
  </w:style>
  <w:style w:type="paragraph" w:styleId="Ttulo9">
    <w:name w:val="heading 9"/>
    <w:basedOn w:val="Normal"/>
    <w:next w:val="Normal"/>
    <w:link w:val="Ttulo9Car"/>
    <w:uiPriority w:val="99"/>
    <w:unhideWhenUsed/>
    <w:rsid w:val="00D17B9E"/>
    <w:pPr>
      <w:keepNext/>
      <w:keepLines/>
      <w:spacing w:before="40" w:line="259" w:lineRule="auto"/>
      <w:ind w:left="1584" w:hanging="1584"/>
      <w:outlineLvl w:val="8"/>
    </w:pPr>
    <w:rPr>
      <w:rFonts w:asciiTheme="majorHAnsi" w:eastAsiaTheme="majorEastAsia" w:hAnsiTheme="majorHAnsi" w:cstheme="majorBidi"/>
      <w:i/>
      <w:iCs/>
      <w:color w:val="272727" w:themeColor="text1" w:themeTint="D8"/>
      <w:sz w:val="21"/>
      <w:szCs w:val="21"/>
      <w:lang w:val="es-MX"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2">
    <w:name w:val="Body Text 2"/>
    <w:basedOn w:val="Normal"/>
    <w:link w:val="Textoindependiente2Car"/>
    <w:uiPriority w:val="99"/>
    <w:rsid w:val="00222A91"/>
    <w:pPr>
      <w:jc w:val="both"/>
    </w:pPr>
    <w:rPr>
      <w:rFonts w:ascii="Arial" w:hAnsi="Arial"/>
      <w:sz w:val="22"/>
      <w:lang w:val="es-MX"/>
    </w:rPr>
  </w:style>
  <w:style w:type="character" w:customStyle="1" w:styleId="Textoindependiente2Car">
    <w:name w:val="Texto independiente 2 Car"/>
    <w:basedOn w:val="Fuentedeprrafopredeter"/>
    <w:link w:val="Textoindependiente2"/>
    <w:uiPriority w:val="99"/>
    <w:rsid w:val="00222A91"/>
    <w:rPr>
      <w:rFonts w:ascii="Arial" w:eastAsia="Times New Roman" w:hAnsi="Arial" w:cs="Times New Roman"/>
      <w:szCs w:val="20"/>
      <w:lang w:eastAsia="es-ES"/>
    </w:rPr>
  </w:style>
  <w:style w:type="paragraph" w:styleId="Prrafodelista">
    <w:name w:val="List Paragraph"/>
    <w:aliases w:val="viñeta,Párrafo de lista 2,lp1,List Paragraph1"/>
    <w:basedOn w:val="Normal"/>
    <w:link w:val="PrrafodelistaCar"/>
    <w:uiPriority w:val="34"/>
    <w:qFormat/>
    <w:rsid w:val="002D2B53"/>
    <w:pPr>
      <w:ind w:left="720"/>
      <w:contextualSpacing/>
    </w:pPr>
  </w:style>
  <w:style w:type="character" w:customStyle="1" w:styleId="Ttulo1Car">
    <w:name w:val="Título 1 Car"/>
    <w:basedOn w:val="Fuentedeprrafopredeter"/>
    <w:link w:val="Ttulo1"/>
    <w:uiPriority w:val="9"/>
    <w:rsid w:val="00D17B9E"/>
    <w:rPr>
      <w:rFonts w:asciiTheme="majorHAnsi" w:eastAsiaTheme="majorEastAsia" w:hAnsiTheme="majorHAnsi" w:cstheme="majorBidi"/>
      <w:b/>
      <w:bCs/>
      <w:color w:val="7B7B7B" w:themeColor="accent3" w:themeShade="BF"/>
      <w:szCs w:val="28"/>
    </w:rPr>
  </w:style>
  <w:style w:type="character" w:customStyle="1" w:styleId="Ttulo2Car">
    <w:name w:val="Título 2 Car"/>
    <w:basedOn w:val="Fuentedeprrafopredeter"/>
    <w:link w:val="Ttulo2"/>
    <w:uiPriority w:val="9"/>
    <w:rsid w:val="00D17B9E"/>
    <w:rPr>
      <w:rFonts w:asciiTheme="majorHAnsi" w:eastAsiaTheme="majorEastAsia" w:hAnsiTheme="majorHAnsi" w:cstheme="majorBidi"/>
      <w:b/>
      <w:bCs/>
      <w:color w:val="A5A5A5" w:themeColor="accent3"/>
      <w:sz w:val="26"/>
      <w:szCs w:val="26"/>
    </w:rPr>
  </w:style>
  <w:style w:type="character" w:customStyle="1" w:styleId="Ttulo3Car">
    <w:name w:val="Título 3 Car"/>
    <w:basedOn w:val="Fuentedeprrafopredeter"/>
    <w:link w:val="Ttulo3"/>
    <w:uiPriority w:val="9"/>
    <w:rsid w:val="00D17B9E"/>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D17B9E"/>
    <w:rPr>
      <w:rFonts w:ascii="Calibri" w:eastAsia="Times New Roman" w:hAnsi="Calibri" w:cs="Calibri"/>
      <w:b/>
      <w:bCs/>
      <w:color w:val="000000"/>
      <w:sz w:val="24"/>
      <w:szCs w:val="24"/>
      <w:lang w:val="en-US"/>
    </w:rPr>
  </w:style>
  <w:style w:type="character" w:customStyle="1" w:styleId="Ttulo5Car">
    <w:name w:val="Título 5 Car"/>
    <w:basedOn w:val="Fuentedeprrafopredeter"/>
    <w:link w:val="Ttulo5"/>
    <w:uiPriority w:val="9"/>
    <w:rsid w:val="00D17B9E"/>
    <w:rPr>
      <w:rFonts w:ascii="Calibri" w:eastAsia="Times New Roman" w:hAnsi="Calibri" w:cs="Calibri"/>
      <w:b/>
      <w:bCs/>
      <w:color w:val="000000"/>
      <w:lang w:val="en-US"/>
    </w:rPr>
  </w:style>
  <w:style w:type="character" w:customStyle="1" w:styleId="Ttulo6Car">
    <w:name w:val="Título 6 Car"/>
    <w:basedOn w:val="Fuentedeprrafopredeter"/>
    <w:link w:val="Ttulo6"/>
    <w:uiPriority w:val="9"/>
    <w:rsid w:val="00D17B9E"/>
    <w:rPr>
      <w:rFonts w:ascii="Calibri" w:eastAsia="Times New Roman" w:hAnsi="Calibri" w:cs="Calibri"/>
      <w:b/>
      <w:bCs/>
      <w:color w:val="000000"/>
      <w:szCs w:val="20"/>
      <w:lang w:val="en-US"/>
    </w:rPr>
  </w:style>
  <w:style w:type="character" w:customStyle="1" w:styleId="Ttulo7Car">
    <w:name w:val="Título 7 Car"/>
    <w:basedOn w:val="Fuentedeprrafopredeter"/>
    <w:link w:val="Ttulo7"/>
    <w:uiPriority w:val="99"/>
    <w:rsid w:val="00D17B9E"/>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9"/>
    <w:rsid w:val="00D17B9E"/>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9"/>
    <w:rsid w:val="00D17B9E"/>
    <w:rPr>
      <w:rFonts w:asciiTheme="majorHAnsi" w:eastAsiaTheme="majorEastAsia" w:hAnsiTheme="majorHAnsi" w:cstheme="majorBidi"/>
      <w:i/>
      <w:iCs/>
      <w:color w:val="272727" w:themeColor="text1" w:themeTint="D8"/>
      <w:sz w:val="21"/>
      <w:szCs w:val="21"/>
    </w:rPr>
  </w:style>
  <w:style w:type="numbering" w:customStyle="1" w:styleId="Sinlista1">
    <w:name w:val="Sin lista1"/>
    <w:next w:val="Sinlista"/>
    <w:uiPriority w:val="99"/>
    <w:semiHidden/>
    <w:unhideWhenUsed/>
    <w:rsid w:val="00D17B9E"/>
  </w:style>
  <w:style w:type="paragraph" w:styleId="Sinespaciado">
    <w:name w:val="No Spacing"/>
    <w:link w:val="SinespaciadoCar"/>
    <w:uiPriority w:val="1"/>
    <w:qFormat/>
    <w:rsid w:val="00D17B9E"/>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D17B9E"/>
    <w:rPr>
      <w:rFonts w:eastAsiaTheme="minorEastAsia"/>
      <w:lang w:eastAsia="es-MX"/>
    </w:rPr>
  </w:style>
  <w:style w:type="paragraph" w:styleId="Textodeglobo">
    <w:name w:val="Balloon Text"/>
    <w:basedOn w:val="Normal"/>
    <w:link w:val="TextodegloboCar"/>
    <w:uiPriority w:val="99"/>
    <w:unhideWhenUsed/>
    <w:qFormat/>
    <w:rsid w:val="00D17B9E"/>
    <w:pPr>
      <w:spacing w:before="120"/>
    </w:pPr>
    <w:rPr>
      <w:rFonts w:ascii="Tahoma" w:eastAsiaTheme="minorHAnsi" w:hAnsi="Tahoma" w:cs="Tahoma"/>
      <w:sz w:val="16"/>
      <w:szCs w:val="16"/>
      <w:lang w:val="es-MX" w:eastAsia="en-US"/>
    </w:rPr>
  </w:style>
  <w:style w:type="character" w:customStyle="1" w:styleId="TextodegloboCar">
    <w:name w:val="Texto de globo Car"/>
    <w:basedOn w:val="Fuentedeprrafopredeter"/>
    <w:link w:val="Textodeglobo"/>
    <w:uiPriority w:val="99"/>
    <w:rsid w:val="00D17B9E"/>
    <w:rPr>
      <w:rFonts w:ascii="Tahoma" w:hAnsi="Tahoma" w:cs="Tahoma"/>
      <w:sz w:val="16"/>
      <w:szCs w:val="16"/>
    </w:rPr>
  </w:style>
  <w:style w:type="paragraph" w:styleId="NormalWeb">
    <w:name w:val="Normal (Web)"/>
    <w:basedOn w:val="Normal"/>
    <w:unhideWhenUsed/>
    <w:rsid w:val="00D17B9E"/>
    <w:pPr>
      <w:spacing w:before="100" w:beforeAutospacing="1" w:after="100" w:afterAutospacing="1"/>
    </w:pPr>
    <w:rPr>
      <w:rFonts w:eastAsiaTheme="minorEastAsia"/>
      <w:sz w:val="24"/>
      <w:szCs w:val="24"/>
      <w:lang w:val="es-MX" w:eastAsia="es-MX"/>
    </w:rPr>
  </w:style>
  <w:style w:type="paragraph" w:styleId="Encabezado">
    <w:name w:val="header"/>
    <w:basedOn w:val="Normal"/>
    <w:link w:val="EncabezadoCar"/>
    <w:uiPriority w:val="99"/>
    <w:unhideWhenUsed/>
    <w:qFormat/>
    <w:rsid w:val="00D17B9E"/>
    <w:pPr>
      <w:tabs>
        <w:tab w:val="center" w:pos="4419"/>
        <w:tab w:val="right" w:pos="8838"/>
      </w:tabs>
      <w:spacing w:before="120"/>
    </w:pPr>
    <w:rPr>
      <w:rFonts w:asciiTheme="minorHAnsi" w:eastAsiaTheme="minorHAnsi" w:hAnsiTheme="minorHAnsi" w:cstheme="minorBidi"/>
      <w:sz w:val="22"/>
      <w:szCs w:val="22"/>
      <w:lang w:val="es-MX" w:eastAsia="en-US"/>
    </w:rPr>
  </w:style>
  <w:style w:type="character" w:customStyle="1" w:styleId="EncabezadoCar">
    <w:name w:val="Encabezado Car"/>
    <w:basedOn w:val="Fuentedeprrafopredeter"/>
    <w:link w:val="Encabezado"/>
    <w:uiPriority w:val="99"/>
    <w:rsid w:val="00D17B9E"/>
  </w:style>
  <w:style w:type="paragraph" w:styleId="Piedepgina">
    <w:name w:val="footer"/>
    <w:basedOn w:val="Normal"/>
    <w:link w:val="PiedepginaCar"/>
    <w:uiPriority w:val="99"/>
    <w:unhideWhenUsed/>
    <w:qFormat/>
    <w:rsid w:val="00D17B9E"/>
    <w:pPr>
      <w:tabs>
        <w:tab w:val="center" w:pos="4419"/>
        <w:tab w:val="right" w:pos="8838"/>
      </w:tabs>
      <w:spacing w:before="120"/>
    </w:pPr>
    <w:rPr>
      <w:rFonts w:asciiTheme="minorHAnsi" w:eastAsiaTheme="minorHAnsi" w:hAnsiTheme="minorHAnsi" w:cstheme="minorBidi"/>
      <w:sz w:val="22"/>
      <w:szCs w:val="22"/>
      <w:lang w:val="es-MX" w:eastAsia="en-US"/>
    </w:rPr>
  </w:style>
  <w:style w:type="character" w:customStyle="1" w:styleId="PiedepginaCar">
    <w:name w:val="Pie de página Car"/>
    <w:basedOn w:val="Fuentedeprrafopredeter"/>
    <w:link w:val="Piedepgina"/>
    <w:uiPriority w:val="99"/>
    <w:rsid w:val="00D17B9E"/>
  </w:style>
  <w:style w:type="paragraph" w:customStyle="1" w:styleId="IPG1">
    <w:name w:val="IPG 1"/>
    <w:basedOn w:val="Normal"/>
    <w:rsid w:val="00D17B9E"/>
    <w:pPr>
      <w:spacing w:before="120" w:after="120"/>
    </w:pPr>
    <w:rPr>
      <w:rFonts w:ascii="Calibri" w:eastAsia="Batang" w:hAnsi="Calibri" w:cs="Arial"/>
      <w:b/>
      <w:noProof/>
      <w:sz w:val="72"/>
      <w:szCs w:val="22"/>
      <w:lang w:val="es-MX" w:eastAsia="es-MX"/>
    </w:rPr>
  </w:style>
  <w:style w:type="paragraph" w:customStyle="1" w:styleId="IPG2">
    <w:name w:val="IPG 2"/>
    <w:basedOn w:val="Normal"/>
    <w:next w:val="Normal"/>
    <w:rsid w:val="00D17B9E"/>
    <w:pPr>
      <w:shd w:val="clear" w:color="auto" w:fill="D9D9D9" w:themeFill="background1" w:themeFillShade="D9"/>
      <w:spacing w:before="240" w:after="240"/>
    </w:pPr>
    <w:rPr>
      <w:rFonts w:ascii="Calibri" w:eastAsia="Batang" w:hAnsi="Calibri" w:cs="Arial"/>
      <w:b/>
      <w:sz w:val="36"/>
      <w:szCs w:val="22"/>
      <w:lang w:val="es-MX"/>
    </w:rPr>
  </w:style>
  <w:style w:type="paragraph" w:customStyle="1" w:styleId="IPG3">
    <w:name w:val="IPG 3"/>
    <w:basedOn w:val="Textoindependiente3"/>
    <w:link w:val="IPG3Car"/>
    <w:rsid w:val="00D17B9E"/>
    <w:pPr>
      <w:spacing w:before="240" w:after="240"/>
      <w:jc w:val="both"/>
    </w:pPr>
    <w:rPr>
      <w:rFonts w:ascii="Calibri" w:eastAsia="Batang" w:hAnsi="Calibri" w:cs="Arial"/>
      <w:b/>
      <w:noProof/>
      <w:color w:val="7B7B7B" w:themeColor="accent3" w:themeShade="BF"/>
      <w:sz w:val="28"/>
      <w:lang w:eastAsia="es-MX"/>
    </w:rPr>
  </w:style>
  <w:style w:type="paragraph" w:styleId="Textoindependiente3">
    <w:name w:val="Body Text 3"/>
    <w:basedOn w:val="Normal"/>
    <w:link w:val="Textoindependiente3Car"/>
    <w:uiPriority w:val="99"/>
    <w:semiHidden/>
    <w:unhideWhenUsed/>
    <w:rsid w:val="00D17B9E"/>
    <w:pPr>
      <w:spacing w:before="120" w:after="120"/>
    </w:pPr>
    <w:rPr>
      <w:rFonts w:asciiTheme="minorHAnsi" w:eastAsiaTheme="minorHAnsi" w:hAnsiTheme="minorHAnsi" w:cstheme="minorBidi"/>
      <w:sz w:val="16"/>
      <w:szCs w:val="16"/>
      <w:lang w:val="es-MX" w:eastAsia="en-US"/>
    </w:rPr>
  </w:style>
  <w:style w:type="character" w:customStyle="1" w:styleId="Textoindependiente3Car">
    <w:name w:val="Texto independiente 3 Car"/>
    <w:basedOn w:val="Fuentedeprrafopredeter"/>
    <w:link w:val="Textoindependiente3"/>
    <w:uiPriority w:val="99"/>
    <w:semiHidden/>
    <w:rsid w:val="00D17B9E"/>
    <w:rPr>
      <w:sz w:val="16"/>
      <w:szCs w:val="16"/>
    </w:rPr>
  </w:style>
  <w:style w:type="character" w:customStyle="1" w:styleId="IPG3Car">
    <w:name w:val="IPG 3 Car"/>
    <w:basedOn w:val="Textoindependiente3Car"/>
    <w:link w:val="IPG3"/>
    <w:rsid w:val="00D17B9E"/>
    <w:rPr>
      <w:rFonts w:ascii="Calibri" w:eastAsia="Batang" w:hAnsi="Calibri" w:cs="Arial"/>
      <w:b/>
      <w:noProof/>
      <w:color w:val="7B7B7B" w:themeColor="accent3" w:themeShade="BF"/>
      <w:sz w:val="28"/>
      <w:szCs w:val="16"/>
      <w:lang w:eastAsia="es-MX"/>
    </w:rPr>
  </w:style>
  <w:style w:type="paragraph" w:customStyle="1" w:styleId="IPGNormal">
    <w:name w:val="I PG.Normal"/>
    <w:basedOn w:val="Normal"/>
    <w:link w:val="IPGNormalCar"/>
    <w:rsid w:val="00D17B9E"/>
    <w:pPr>
      <w:spacing w:before="120"/>
      <w:jc w:val="both"/>
    </w:pPr>
    <w:rPr>
      <w:rFonts w:ascii="Calibri" w:eastAsia="Batang" w:hAnsi="Calibri" w:cs="Arial"/>
      <w:sz w:val="22"/>
      <w:szCs w:val="22"/>
    </w:rPr>
  </w:style>
  <w:style w:type="character" w:customStyle="1" w:styleId="IPGNormalCar">
    <w:name w:val="I PG.Normal Car"/>
    <w:basedOn w:val="Fuentedeprrafopredeter"/>
    <w:link w:val="IPGNormal"/>
    <w:rsid w:val="00D17B9E"/>
    <w:rPr>
      <w:rFonts w:ascii="Calibri" w:eastAsia="Batang" w:hAnsi="Calibri" w:cs="Arial"/>
      <w:lang w:val="es-ES" w:eastAsia="es-ES"/>
    </w:rPr>
  </w:style>
  <w:style w:type="paragraph" w:styleId="TtulodeTDC">
    <w:name w:val="TOC Heading"/>
    <w:basedOn w:val="Ttulo1"/>
    <w:next w:val="Normal"/>
    <w:uiPriority w:val="39"/>
    <w:unhideWhenUsed/>
    <w:qFormat/>
    <w:rsid w:val="00D17B9E"/>
    <w:pPr>
      <w:outlineLvl w:val="9"/>
    </w:pPr>
    <w:rPr>
      <w:color w:val="2E74B5" w:themeColor="accent1" w:themeShade="BF"/>
      <w:lang w:eastAsia="es-MX"/>
    </w:rPr>
  </w:style>
  <w:style w:type="paragraph" w:styleId="TDC1">
    <w:name w:val="toc 1"/>
    <w:basedOn w:val="Normal"/>
    <w:next w:val="Normal"/>
    <w:autoRedefine/>
    <w:uiPriority w:val="39"/>
    <w:unhideWhenUsed/>
    <w:qFormat/>
    <w:rsid w:val="00D17B9E"/>
    <w:pPr>
      <w:tabs>
        <w:tab w:val="right" w:leader="dot" w:pos="8789"/>
      </w:tabs>
      <w:spacing w:before="360"/>
      <w:ind w:right="51"/>
    </w:pPr>
    <w:rPr>
      <w:rFonts w:ascii="Cambria" w:eastAsiaTheme="minorHAnsi" w:hAnsi="Cambria" w:cstheme="minorBidi"/>
      <w:b/>
      <w:noProof/>
      <w:sz w:val="32"/>
      <w:szCs w:val="22"/>
      <w:lang w:val="es-MX" w:eastAsia="en-US"/>
    </w:rPr>
  </w:style>
  <w:style w:type="paragraph" w:styleId="TDC2">
    <w:name w:val="toc 2"/>
    <w:basedOn w:val="Normal"/>
    <w:next w:val="Normal"/>
    <w:autoRedefine/>
    <w:uiPriority w:val="39"/>
    <w:unhideWhenUsed/>
    <w:qFormat/>
    <w:rsid w:val="00D17B9E"/>
    <w:pPr>
      <w:tabs>
        <w:tab w:val="right" w:leader="dot" w:pos="8789"/>
        <w:tab w:val="left" w:pos="9923"/>
      </w:tabs>
      <w:spacing w:before="120" w:after="120"/>
      <w:ind w:left="221"/>
    </w:pPr>
    <w:rPr>
      <w:rFonts w:ascii="Cambria" w:eastAsiaTheme="minorHAnsi" w:hAnsi="Cambria" w:cstheme="minorBidi"/>
      <w:b/>
      <w:noProof/>
      <w:sz w:val="24"/>
      <w:szCs w:val="32"/>
      <w:lang w:val="es-MX" w:eastAsia="en-US"/>
    </w:rPr>
  </w:style>
  <w:style w:type="paragraph" w:styleId="TDC3">
    <w:name w:val="toc 3"/>
    <w:basedOn w:val="Normal"/>
    <w:next w:val="Normal"/>
    <w:autoRedefine/>
    <w:uiPriority w:val="39"/>
    <w:unhideWhenUsed/>
    <w:qFormat/>
    <w:rsid w:val="00D17B9E"/>
    <w:pPr>
      <w:tabs>
        <w:tab w:val="right" w:leader="dot" w:pos="8789"/>
      </w:tabs>
      <w:spacing w:before="120" w:after="120"/>
      <w:ind w:left="442"/>
      <w:jc w:val="both"/>
    </w:pPr>
    <w:rPr>
      <w:rFonts w:ascii="Cambria" w:eastAsiaTheme="minorHAnsi" w:hAnsi="Cambria" w:cstheme="minorBidi"/>
      <w:b/>
      <w:noProof/>
      <w:sz w:val="24"/>
      <w:szCs w:val="16"/>
      <w:lang w:val="es-MX" w:eastAsia="en-US"/>
    </w:rPr>
  </w:style>
  <w:style w:type="character" w:styleId="Hipervnculo">
    <w:name w:val="Hyperlink"/>
    <w:basedOn w:val="Fuentedeprrafopredeter"/>
    <w:uiPriority w:val="99"/>
    <w:unhideWhenUsed/>
    <w:qFormat/>
    <w:rsid w:val="00D17B9E"/>
    <w:rPr>
      <w:color w:val="0563C1" w:themeColor="hyperlink"/>
      <w:u w:val="single"/>
    </w:rPr>
  </w:style>
  <w:style w:type="paragraph" w:customStyle="1" w:styleId="IPG6">
    <w:name w:val="IPG 6"/>
    <w:basedOn w:val="IPG3"/>
    <w:link w:val="IPG6Car"/>
    <w:rsid w:val="00D17B9E"/>
    <w:pPr>
      <w:jc w:val="left"/>
    </w:pPr>
    <w:rPr>
      <w:i/>
      <w:sz w:val="24"/>
    </w:rPr>
  </w:style>
  <w:style w:type="character" w:customStyle="1" w:styleId="IPG6Car">
    <w:name w:val="IPG 6 Car"/>
    <w:basedOn w:val="IPG3Car"/>
    <w:link w:val="IPG6"/>
    <w:rsid w:val="00D17B9E"/>
    <w:rPr>
      <w:rFonts w:ascii="Calibri" w:eastAsia="Batang" w:hAnsi="Calibri" w:cs="Arial"/>
      <w:b/>
      <w:i/>
      <w:noProof/>
      <w:color w:val="7B7B7B" w:themeColor="accent3" w:themeShade="BF"/>
      <w:sz w:val="24"/>
      <w:szCs w:val="16"/>
      <w:lang w:eastAsia="es-MX"/>
    </w:rPr>
  </w:style>
  <w:style w:type="paragraph" w:styleId="Textonotapie">
    <w:name w:val="footnote text"/>
    <w:basedOn w:val="Normal"/>
    <w:link w:val="TextonotapieCar"/>
    <w:uiPriority w:val="99"/>
    <w:unhideWhenUsed/>
    <w:qFormat/>
    <w:rsid w:val="00D17B9E"/>
    <w:pPr>
      <w:spacing w:before="240" w:after="120"/>
    </w:pPr>
    <w:rPr>
      <w:sz w:val="22"/>
    </w:rPr>
  </w:style>
  <w:style w:type="character" w:customStyle="1" w:styleId="TextonotapieCar">
    <w:name w:val="Texto nota pie Car"/>
    <w:basedOn w:val="Fuentedeprrafopredeter"/>
    <w:link w:val="Textonotapie"/>
    <w:uiPriority w:val="99"/>
    <w:rsid w:val="00D17B9E"/>
    <w:rPr>
      <w:rFonts w:ascii="Times New Roman" w:eastAsia="Times New Roman" w:hAnsi="Times New Roman" w:cs="Times New Roman"/>
      <w:szCs w:val="20"/>
      <w:lang w:val="es-ES" w:eastAsia="es-ES"/>
    </w:rPr>
  </w:style>
  <w:style w:type="paragraph" w:customStyle="1" w:styleId="referencia2">
    <w:name w:val="referencia2"/>
    <w:basedOn w:val="Normal"/>
    <w:rsid w:val="00D17B9E"/>
    <w:pPr>
      <w:spacing w:before="100" w:beforeAutospacing="1" w:after="100" w:afterAutospacing="1"/>
    </w:pPr>
    <w:rPr>
      <w:sz w:val="24"/>
      <w:szCs w:val="24"/>
      <w:lang w:val="es-MX" w:eastAsia="es-MX"/>
    </w:rPr>
  </w:style>
  <w:style w:type="character" w:styleId="Refdenotaalpie">
    <w:name w:val="footnote reference"/>
    <w:uiPriority w:val="99"/>
    <w:unhideWhenUsed/>
    <w:qFormat/>
    <w:rsid w:val="00D17B9E"/>
    <w:rPr>
      <w:vertAlign w:val="superscript"/>
    </w:rPr>
  </w:style>
  <w:style w:type="character" w:customStyle="1" w:styleId="apple-converted-space">
    <w:name w:val="apple-converted-space"/>
    <w:basedOn w:val="Fuentedeprrafopredeter"/>
    <w:rsid w:val="00D17B9E"/>
  </w:style>
  <w:style w:type="character" w:styleId="nfasis">
    <w:name w:val="Emphasis"/>
    <w:basedOn w:val="Fuentedeprrafopredeter"/>
    <w:uiPriority w:val="20"/>
    <w:rsid w:val="00D17B9E"/>
    <w:rPr>
      <w:i/>
      <w:iCs/>
    </w:rPr>
  </w:style>
  <w:style w:type="paragraph" w:customStyle="1" w:styleId="IPG5">
    <w:name w:val="IPG 5"/>
    <w:basedOn w:val="IPG3"/>
    <w:link w:val="IPG5Car"/>
    <w:rsid w:val="00D17B9E"/>
    <w:pPr>
      <w:spacing w:after="0"/>
    </w:pPr>
    <w:rPr>
      <w:rFonts w:eastAsia="Times New Roman" w:cs="Times New Roman"/>
      <w:iCs/>
      <w:color w:val="833C0B" w:themeColor="accent2" w:themeShade="80"/>
      <w:sz w:val="24"/>
    </w:rPr>
  </w:style>
  <w:style w:type="character" w:customStyle="1" w:styleId="IPG5Car">
    <w:name w:val="IPG 5 Car"/>
    <w:basedOn w:val="IPG3Car"/>
    <w:link w:val="IPG5"/>
    <w:rsid w:val="00D17B9E"/>
    <w:rPr>
      <w:rFonts w:ascii="Calibri" w:eastAsia="Times New Roman" w:hAnsi="Calibri" w:cs="Times New Roman"/>
      <w:b/>
      <w:iCs/>
      <w:noProof/>
      <w:color w:val="833C0B" w:themeColor="accent2" w:themeShade="80"/>
      <w:sz w:val="24"/>
      <w:szCs w:val="16"/>
      <w:lang w:eastAsia="es-MX"/>
    </w:rPr>
  </w:style>
  <w:style w:type="paragraph" w:customStyle="1" w:styleId="IMapas">
    <w:name w:val="I Mapas"/>
    <w:basedOn w:val="IPG5"/>
    <w:link w:val="IMapasCar"/>
    <w:rsid w:val="00D17B9E"/>
  </w:style>
  <w:style w:type="character" w:customStyle="1" w:styleId="IMapasCar">
    <w:name w:val="I Mapas Car"/>
    <w:basedOn w:val="IPG5Car"/>
    <w:link w:val="IMapas"/>
    <w:rsid w:val="00D17B9E"/>
    <w:rPr>
      <w:rFonts w:ascii="Calibri" w:eastAsia="Times New Roman" w:hAnsi="Calibri" w:cs="Times New Roman"/>
      <w:b/>
      <w:iCs/>
      <w:noProof/>
      <w:color w:val="833C0B" w:themeColor="accent2" w:themeShade="80"/>
      <w:sz w:val="24"/>
      <w:szCs w:val="16"/>
      <w:lang w:eastAsia="es-MX"/>
    </w:rPr>
  </w:style>
  <w:style w:type="table" w:styleId="Tablaconcuadrcula">
    <w:name w:val="Table Grid"/>
    <w:basedOn w:val="Tablanormal"/>
    <w:uiPriority w:val="39"/>
    <w:rsid w:val="00D17B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PG4">
    <w:name w:val="IPG 4"/>
    <w:basedOn w:val="IPG3"/>
    <w:link w:val="IPG4Car"/>
    <w:rsid w:val="00D17B9E"/>
    <w:rPr>
      <w:i/>
      <w:u w:val="single"/>
      <w:lang w:val="es-US"/>
    </w:rPr>
  </w:style>
  <w:style w:type="character" w:customStyle="1" w:styleId="IPG4Car">
    <w:name w:val="IPG 4 Car"/>
    <w:basedOn w:val="IPG3Car"/>
    <w:link w:val="IPG4"/>
    <w:rsid w:val="00D17B9E"/>
    <w:rPr>
      <w:rFonts w:ascii="Calibri" w:eastAsia="Batang" w:hAnsi="Calibri" w:cs="Arial"/>
      <w:b/>
      <w:i/>
      <w:noProof/>
      <w:color w:val="7B7B7B" w:themeColor="accent3" w:themeShade="BF"/>
      <w:sz w:val="28"/>
      <w:szCs w:val="16"/>
      <w:u w:val="single"/>
      <w:lang w:val="es-US" w:eastAsia="es-MX"/>
    </w:rPr>
  </w:style>
  <w:style w:type="paragraph" w:customStyle="1" w:styleId="INormal-tab">
    <w:name w:val="I Normal-tab"/>
    <w:basedOn w:val="IPGNormal"/>
    <w:link w:val="INormal-tabCar"/>
    <w:rsid w:val="00D17B9E"/>
    <w:pPr>
      <w:jc w:val="left"/>
    </w:pPr>
    <w:rPr>
      <w:rFonts w:cs="Times New Roman"/>
      <w:sz w:val="16"/>
      <w:szCs w:val="20"/>
    </w:rPr>
  </w:style>
  <w:style w:type="character" w:customStyle="1" w:styleId="INormal-tabCar">
    <w:name w:val="I Normal-tab Car"/>
    <w:basedOn w:val="IPGNormalCar"/>
    <w:link w:val="INormal-tab"/>
    <w:rsid w:val="00D17B9E"/>
    <w:rPr>
      <w:rFonts w:ascii="Calibri" w:eastAsia="Batang" w:hAnsi="Calibri" w:cs="Times New Roman"/>
      <w:sz w:val="16"/>
      <w:szCs w:val="20"/>
      <w:lang w:val="es-ES" w:eastAsia="es-ES"/>
    </w:rPr>
  </w:style>
  <w:style w:type="paragraph" w:styleId="TDC4">
    <w:name w:val="toc 4"/>
    <w:basedOn w:val="Normal"/>
    <w:next w:val="Normal"/>
    <w:autoRedefine/>
    <w:uiPriority w:val="39"/>
    <w:unhideWhenUsed/>
    <w:rsid w:val="00D17B9E"/>
    <w:pPr>
      <w:tabs>
        <w:tab w:val="right" w:leader="dot" w:pos="8828"/>
      </w:tabs>
      <w:ind w:left="658"/>
    </w:pPr>
    <w:rPr>
      <w:rFonts w:asciiTheme="minorHAnsi" w:eastAsiaTheme="minorEastAsia" w:hAnsiTheme="minorHAnsi" w:cstheme="minorBidi"/>
      <w:b/>
      <w:bCs/>
      <w:i/>
      <w:iCs/>
      <w:strike/>
      <w:noProof/>
      <w:color w:val="0070C0"/>
      <w:sz w:val="18"/>
      <w:lang w:val="es-US" w:eastAsia="es-US"/>
    </w:rPr>
  </w:style>
  <w:style w:type="paragraph" w:styleId="TDC7">
    <w:name w:val="toc 7"/>
    <w:basedOn w:val="Normal"/>
    <w:next w:val="Normal"/>
    <w:autoRedefine/>
    <w:uiPriority w:val="39"/>
    <w:unhideWhenUsed/>
    <w:rsid w:val="00D17B9E"/>
    <w:pPr>
      <w:spacing w:before="120" w:after="100"/>
      <w:ind w:left="1320"/>
    </w:pPr>
    <w:rPr>
      <w:rFonts w:asciiTheme="minorHAnsi" w:eastAsiaTheme="minorEastAsia" w:hAnsiTheme="minorHAnsi" w:cstheme="minorBidi"/>
      <w:sz w:val="22"/>
      <w:szCs w:val="22"/>
      <w:lang w:val="es-US" w:eastAsia="es-US"/>
    </w:rPr>
  </w:style>
  <w:style w:type="table" w:styleId="Cuadrculaclara-nfasis3">
    <w:name w:val="Light Grid Accent 3"/>
    <w:basedOn w:val="Tablanormal"/>
    <w:rsid w:val="00D17B9E"/>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paragraph" w:customStyle="1" w:styleId="Pa1">
    <w:name w:val="Pa1"/>
    <w:basedOn w:val="Normal"/>
    <w:next w:val="Normal"/>
    <w:rsid w:val="00D17B9E"/>
    <w:pPr>
      <w:widowControl w:val="0"/>
      <w:autoSpaceDE w:val="0"/>
      <w:autoSpaceDN w:val="0"/>
      <w:adjustRightInd w:val="0"/>
      <w:spacing w:before="120" w:line="200" w:lineRule="atLeast"/>
    </w:pPr>
    <w:rPr>
      <w:rFonts w:ascii="Myriad" w:hAnsi="Myriad"/>
      <w:sz w:val="24"/>
      <w:szCs w:val="24"/>
      <w:lang w:val="es-MX" w:eastAsia="es-MX"/>
    </w:rPr>
  </w:style>
  <w:style w:type="paragraph" w:customStyle="1" w:styleId="Pa13">
    <w:name w:val="Pa13"/>
    <w:basedOn w:val="Normal"/>
    <w:next w:val="Normal"/>
    <w:rsid w:val="00D17B9E"/>
    <w:pPr>
      <w:widowControl w:val="0"/>
      <w:autoSpaceDE w:val="0"/>
      <w:autoSpaceDN w:val="0"/>
      <w:adjustRightInd w:val="0"/>
      <w:spacing w:before="120" w:line="200" w:lineRule="atLeast"/>
    </w:pPr>
    <w:rPr>
      <w:rFonts w:ascii="Myriad" w:hAnsi="Myriad"/>
      <w:sz w:val="24"/>
      <w:szCs w:val="24"/>
      <w:lang w:val="es-MX" w:eastAsia="es-MX"/>
    </w:rPr>
  </w:style>
  <w:style w:type="paragraph" w:customStyle="1" w:styleId="Textodenotaalfinal">
    <w:name w:val="Texto de nota al final"/>
    <w:basedOn w:val="Normal"/>
    <w:rsid w:val="00D17B9E"/>
    <w:pPr>
      <w:widowControl w:val="0"/>
      <w:spacing w:before="120" w:line="360" w:lineRule="auto"/>
      <w:jc w:val="both"/>
    </w:pPr>
    <w:rPr>
      <w:rFonts w:ascii="Arial" w:hAnsi="Arial"/>
      <w:sz w:val="24"/>
    </w:rPr>
  </w:style>
  <w:style w:type="paragraph" w:customStyle="1" w:styleId="Default">
    <w:name w:val="Default"/>
    <w:rsid w:val="00D17B9E"/>
    <w:pPr>
      <w:autoSpaceDE w:val="0"/>
      <w:autoSpaceDN w:val="0"/>
      <w:adjustRightInd w:val="0"/>
      <w:spacing w:after="0" w:line="240" w:lineRule="auto"/>
    </w:pPr>
    <w:rPr>
      <w:rFonts w:ascii="Calibri" w:hAnsi="Calibri" w:cs="Calibri"/>
      <w:color w:val="000000"/>
      <w:sz w:val="24"/>
      <w:szCs w:val="24"/>
      <w:lang w:val="es-US"/>
    </w:rPr>
  </w:style>
  <w:style w:type="table" w:customStyle="1" w:styleId="Listamedia11">
    <w:name w:val="Lista media 11"/>
    <w:basedOn w:val="Tablanormal"/>
    <w:uiPriority w:val="65"/>
    <w:rsid w:val="00D17B9E"/>
    <w:pPr>
      <w:spacing w:after="0" w:line="240" w:lineRule="auto"/>
    </w:pPr>
    <w:rPr>
      <w:rFonts w:eastAsiaTheme="minorEastAsia"/>
      <w:color w:val="000000" w:themeColor="text1"/>
      <w:lang w:eastAsia="es-MX"/>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TDC5">
    <w:name w:val="toc 5"/>
    <w:basedOn w:val="Normal"/>
    <w:next w:val="Normal"/>
    <w:autoRedefine/>
    <w:uiPriority w:val="39"/>
    <w:unhideWhenUsed/>
    <w:rsid w:val="00D17B9E"/>
    <w:pPr>
      <w:tabs>
        <w:tab w:val="right" w:leader="dot" w:pos="8828"/>
      </w:tabs>
      <w:ind w:left="879"/>
    </w:pPr>
    <w:rPr>
      <w:rFonts w:asciiTheme="minorHAnsi" w:eastAsiaTheme="minorEastAsia" w:hAnsiTheme="minorHAnsi" w:cstheme="minorBidi"/>
      <w:bCs/>
      <w:noProof/>
      <w:sz w:val="16"/>
      <w:szCs w:val="16"/>
      <w:lang w:val="es-MX" w:eastAsia="es-US"/>
    </w:rPr>
  </w:style>
  <w:style w:type="paragraph" w:styleId="TDC6">
    <w:name w:val="toc 6"/>
    <w:basedOn w:val="Normal"/>
    <w:next w:val="Normal"/>
    <w:autoRedefine/>
    <w:uiPriority w:val="39"/>
    <w:unhideWhenUsed/>
    <w:rsid w:val="00D17B9E"/>
    <w:pPr>
      <w:tabs>
        <w:tab w:val="right" w:leader="dot" w:pos="8828"/>
      </w:tabs>
      <w:ind w:left="1100"/>
    </w:pPr>
    <w:rPr>
      <w:rFonts w:asciiTheme="minorHAnsi" w:eastAsiaTheme="minorEastAsia" w:hAnsiTheme="minorHAnsi" w:cstheme="minorBidi"/>
      <w:i/>
      <w:iCs/>
      <w:noProof/>
      <w:color w:val="2F5496" w:themeColor="accent5" w:themeShade="BF"/>
      <w:sz w:val="14"/>
      <w:szCs w:val="14"/>
      <w:lang w:val="es-US" w:eastAsia="es-US"/>
    </w:rPr>
  </w:style>
  <w:style w:type="paragraph" w:styleId="TDC8">
    <w:name w:val="toc 8"/>
    <w:basedOn w:val="Normal"/>
    <w:next w:val="Normal"/>
    <w:autoRedefine/>
    <w:uiPriority w:val="39"/>
    <w:unhideWhenUsed/>
    <w:rsid w:val="00D17B9E"/>
    <w:pPr>
      <w:spacing w:before="120" w:after="100"/>
      <w:ind w:left="1540"/>
    </w:pPr>
    <w:rPr>
      <w:rFonts w:asciiTheme="minorHAnsi" w:eastAsiaTheme="minorEastAsia" w:hAnsiTheme="minorHAnsi" w:cstheme="minorBidi"/>
      <w:sz w:val="22"/>
      <w:szCs w:val="22"/>
      <w:lang w:val="es-US" w:eastAsia="es-US"/>
    </w:rPr>
  </w:style>
  <w:style w:type="paragraph" w:styleId="TDC9">
    <w:name w:val="toc 9"/>
    <w:basedOn w:val="Normal"/>
    <w:next w:val="Normal"/>
    <w:autoRedefine/>
    <w:uiPriority w:val="39"/>
    <w:unhideWhenUsed/>
    <w:rsid w:val="00D17B9E"/>
    <w:pPr>
      <w:spacing w:before="120" w:after="100"/>
      <w:ind w:left="1760"/>
    </w:pPr>
    <w:rPr>
      <w:rFonts w:asciiTheme="minorHAnsi" w:eastAsiaTheme="minorEastAsia" w:hAnsiTheme="minorHAnsi" w:cstheme="minorBidi"/>
      <w:sz w:val="22"/>
      <w:szCs w:val="22"/>
      <w:lang w:val="es-US" w:eastAsia="es-US"/>
    </w:rPr>
  </w:style>
  <w:style w:type="character" w:customStyle="1" w:styleId="TextocomentarioCar">
    <w:name w:val="Texto comentario Car"/>
    <w:basedOn w:val="Fuentedeprrafopredeter"/>
    <w:link w:val="Textocomentario"/>
    <w:uiPriority w:val="99"/>
    <w:rsid w:val="00D17B9E"/>
    <w:rPr>
      <w:rFonts w:ascii="Calibri" w:eastAsia="Times New Roman" w:hAnsi="Calibri" w:cs="Calibri"/>
      <w:color w:val="000000"/>
      <w:sz w:val="20"/>
      <w:szCs w:val="20"/>
      <w:lang w:val="en-US"/>
    </w:rPr>
  </w:style>
  <w:style w:type="paragraph" w:styleId="Textocomentario">
    <w:name w:val="annotation text"/>
    <w:basedOn w:val="Normal"/>
    <w:link w:val="TextocomentarioCar"/>
    <w:uiPriority w:val="99"/>
    <w:unhideWhenUsed/>
    <w:qFormat/>
    <w:rsid w:val="00D17B9E"/>
    <w:pPr>
      <w:widowControl w:val="0"/>
      <w:spacing w:before="120"/>
    </w:pPr>
    <w:rPr>
      <w:rFonts w:ascii="Calibri" w:hAnsi="Calibri" w:cs="Calibri"/>
      <w:color w:val="000000"/>
      <w:lang w:val="en-US" w:eastAsia="en-US"/>
    </w:rPr>
  </w:style>
  <w:style w:type="character" w:customStyle="1" w:styleId="TextocomentarioCar1">
    <w:name w:val="Texto comentario Car1"/>
    <w:basedOn w:val="Fuentedeprrafopredeter"/>
    <w:uiPriority w:val="99"/>
    <w:rsid w:val="00D17B9E"/>
    <w:rPr>
      <w:rFonts w:ascii="Times New Roman" w:eastAsia="Times New Roman" w:hAnsi="Times New Roman" w:cs="Times New Roman"/>
      <w:sz w:val="20"/>
      <w:szCs w:val="20"/>
      <w:lang w:val="es-ES" w:eastAsia="es-ES"/>
    </w:rPr>
  </w:style>
  <w:style w:type="character" w:customStyle="1" w:styleId="PuestoCar">
    <w:name w:val="Puesto Car"/>
    <w:basedOn w:val="Fuentedeprrafopredeter"/>
    <w:link w:val="Puesto"/>
    <w:uiPriority w:val="10"/>
    <w:rsid w:val="00D17B9E"/>
    <w:rPr>
      <w:rFonts w:ascii="Calibri" w:eastAsia="Times New Roman" w:hAnsi="Calibri" w:cs="Calibri"/>
      <w:b/>
      <w:bCs/>
      <w:color w:val="000000"/>
      <w:sz w:val="72"/>
      <w:szCs w:val="72"/>
      <w:lang w:val="en-US"/>
    </w:rPr>
  </w:style>
  <w:style w:type="paragraph" w:styleId="Puesto">
    <w:name w:val="Title"/>
    <w:basedOn w:val="Normal"/>
    <w:link w:val="PuestoCar"/>
    <w:uiPriority w:val="10"/>
    <w:qFormat/>
    <w:rsid w:val="00D17B9E"/>
    <w:pPr>
      <w:keepNext/>
      <w:keepLines/>
      <w:widowControl w:val="0"/>
      <w:spacing w:before="480" w:after="120"/>
    </w:pPr>
    <w:rPr>
      <w:rFonts w:ascii="Calibri" w:hAnsi="Calibri" w:cs="Calibri"/>
      <w:b/>
      <w:bCs/>
      <w:color w:val="000000"/>
      <w:sz w:val="72"/>
      <w:szCs w:val="72"/>
      <w:lang w:val="en-US" w:eastAsia="en-US"/>
    </w:rPr>
  </w:style>
  <w:style w:type="character" w:customStyle="1" w:styleId="PuestoCar1">
    <w:name w:val="Puesto Car1"/>
    <w:basedOn w:val="Fuentedeprrafopredeter"/>
    <w:uiPriority w:val="10"/>
    <w:rsid w:val="00D17B9E"/>
    <w:rPr>
      <w:rFonts w:asciiTheme="majorHAnsi" w:eastAsiaTheme="majorEastAsia" w:hAnsiTheme="majorHAnsi" w:cstheme="majorBidi"/>
      <w:spacing w:val="-10"/>
      <w:kern w:val="28"/>
      <w:sz w:val="56"/>
      <w:szCs w:val="56"/>
      <w:lang w:val="es-ES" w:eastAsia="es-ES"/>
    </w:rPr>
  </w:style>
  <w:style w:type="character" w:customStyle="1" w:styleId="SubttuloCar">
    <w:name w:val="Subtítulo Car"/>
    <w:basedOn w:val="Fuentedeprrafopredeter"/>
    <w:link w:val="Subttulo"/>
    <w:uiPriority w:val="11"/>
    <w:rsid w:val="00D17B9E"/>
    <w:rPr>
      <w:rFonts w:ascii="Georgia" w:eastAsia="Times New Roman" w:hAnsi="Georgia" w:cs="Georgia"/>
      <w:i/>
      <w:iCs/>
      <w:color w:val="666666"/>
      <w:sz w:val="48"/>
      <w:szCs w:val="48"/>
      <w:lang w:val="en-US"/>
    </w:rPr>
  </w:style>
  <w:style w:type="paragraph" w:styleId="Subttulo">
    <w:name w:val="Subtitle"/>
    <w:basedOn w:val="Normal"/>
    <w:link w:val="SubttuloCar"/>
    <w:uiPriority w:val="11"/>
    <w:qFormat/>
    <w:rsid w:val="00D17B9E"/>
    <w:pPr>
      <w:keepNext/>
      <w:keepLines/>
      <w:widowControl w:val="0"/>
      <w:spacing w:before="360" w:after="80"/>
    </w:pPr>
    <w:rPr>
      <w:rFonts w:ascii="Georgia" w:hAnsi="Georgia" w:cs="Georgia"/>
      <w:i/>
      <w:iCs/>
      <w:color w:val="666666"/>
      <w:sz w:val="48"/>
      <w:szCs w:val="48"/>
      <w:lang w:val="en-US" w:eastAsia="en-US"/>
    </w:rPr>
  </w:style>
  <w:style w:type="character" w:customStyle="1" w:styleId="SubttuloCar1">
    <w:name w:val="Subtítulo Car1"/>
    <w:basedOn w:val="Fuentedeprrafopredeter"/>
    <w:uiPriority w:val="11"/>
    <w:rsid w:val="00D17B9E"/>
    <w:rPr>
      <w:rFonts w:eastAsiaTheme="minorEastAsia"/>
      <w:color w:val="5A5A5A" w:themeColor="text1" w:themeTint="A5"/>
      <w:spacing w:val="15"/>
      <w:lang w:val="es-ES" w:eastAsia="es-ES"/>
    </w:rPr>
  </w:style>
  <w:style w:type="character" w:styleId="Refdecomentario">
    <w:name w:val="annotation reference"/>
    <w:basedOn w:val="Fuentedeprrafopredeter"/>
    <w:uiPriority w:val="99"/>
    <w:unhideWhenUsed/>
    <w:rsid w:val="00D17B9E"/>
    <w:rPr>
      <w:sz w:val="16"/>
      <w:szCs w:val="16"/>
    </w:rPr>
  </w:style>
  <w:style w:type="paragraph" w:customStyle="1" w:styleId="IProObj">
    <w:name w:val="I Pro Obj"/>
    <w:basedOn w:val="Ttulo1"/>
    <w:link w:val="IProObjCar"/>
    <w:rsid w:val="00D17B9E"/>
    <w:pPr>
      <w:keepNext w:val="0"/>
      <w:keepLines w:val="0"/>
      <w:numPr>
        <w:numId w:val="3"/>
      </w:numPr>
      <w:outlineLvl w:val="9"/>
    </w:pPr>
    <w:rPr>
      <w:rFonts w:eastAsia="Times New Roman"/>
      <w:i/>
      <w:lang w:val="es-US" w:eastAsia="es-US"/>
    </w:rPr>
  </w:style>
  <w:style w:type="character" w:customStyle="1" w:styleId="IProObjCar">
    <w:name w:val="I Pro Obj Car"/>
    <w:basedOn w:val="Ttulo1Car"/>
    <w:link w:val="IProObj"/>
    <w:rsid w:val="00D17B9E"/>
    <w:rPr>
      <w:rFonts w:asciiTheme="majorHAnsi" w:eastAsia="Times New Roman" w:hAnsiTheme="majorHAnsi" w:cstheme="majorBidi"/>
      <w:b/>
      <w:bCs/>
      <w:i/>
      <w:color w:val="7B7B7B" w:themeColor="accent3" w:themeShade="BF"/>
      <w:szCs w:val="28"/>
      <w:lang w:val="es-US" w:eastAsia="es-US"/>
    </w:rPr>
  </w:style>
  <w:style w:type="paragraph" w:customStyle="1" w:styleId="IProEst">
    <w:name w:val="I Pro Est"/>
    <w:basedOn w:val="Ttulo1"/>
    <w:link w:val="IProEstCar"/>
    <w:rsid w:val="00D17B9E"/>
    <w:pPr>
      <w:numPr>
        <w:numId w:val="2"/>
      </w:numPr>
      <w:spacing w:after="120"/>
      <w:ind w:left="389"/>
      <w:outlineLvl w:val="9"/>
    </w:pPr>
    <w:rPr>
      <w:rFonts w:eastAsia="Times New Roman"/>
      <w:b w:val="0"/>
      <w:szCs w:val="20"/>
      <w:lang w:val="es-US" w:eastAsia="es-US"/>
    </w:rPr>
  </w:style>
  <w:style w:type="character" w:customStyle="1" w:styleId="IProEstCar">
    <w:name w:val="I Pro Est Car"/>
    <w:basedOn w:val="Ttulo1Car"/>
    <w:link w:val="IProEst"/>
    <w:rsid w:val="00D17B9E"/>
    <w:rPr>
      <w:rFonts w:asciiTheme="majorHAnsi" w:eastAsia="Times New Roman" w:hAnsiTheme="majorHAnsi" w:cstheme="majorBidi"/>
      <w:b w:val="0"/>
      <w:bCs/>
      <w:color w:val="7B7B7B" w:themeColor="accent3" w:themeShade="BF"/>
      <w:szCs w:val="20"/>
      <w:lang w:val="es-US" w:eastAsia="es-US"/>
    </w:rPr>
  </w:style>
  <w:style w:type="paragraph" w:customStyle="1" w:styleId="IProPro">
    <w:name w:val="I Pro Pro"/>
    <w:basedOn w:val="IProEst"/>
    <w:link w:val="IProProCar"/>
    <w:rsid w:val="00D17B9E"/>
    <w:pPr>
      <w:numPr>
        <w:numId w:val="0"/>
      </w:numPr>
      <w:spacing w:before="0" w:after="0"/>
      <w:ind w:left="11" w:firstLine="6"/>
    </w:pPr>
    <w:rPr>
      <w:b/>
      <w:i/>
      <w:color w:val="525252" w:themeColor="accent3" w:themeShade="80"/>
      <w:sz w:val="16"/>
      <w:szCs w:val="16"/>
    </w:rPr>
  </w:style>
  <w:style w:type="character" w:customStyle="1" w:styleId="IProProCar">
    <w:name w:val="I Pro Pro Car"/>
    <w:basedOn w:val="IProEstCar"/>
    <w:link w:val="IProPro"/>
    <w:rsid w:val="00D17B9E"/>
    <w:rPr>
      <w:rFonts w:asciiTheme="majorHAnsi" w:eastAsia="Times New Roman" w:hAnsiTheme="majorHAnsi" w:cstheme="majorBidi"/>
      <w:b/>
      <w:bCs/>
      <w:i/>
      <w:color w:val="525252" w:themeColor="accent3" w:themeShade="80"/>
      <w:sz w:val="16"/>
      <w:szCs w:val="16"/>
      <w:lang w:val="es-US" w:eastAsia="es-US"/>
    </w:rPr>
  </w:style>
  <w:style w:type="table" w:customStyle="1" w:styleId="Tabladecuadrcula1clara-nfasis11">
    <w:name w:val="Tabla de cuadrícula 1 clara - Énfasis 11"/>
    <w:basedOn w:val="Tablanormal"/>
    <w:uiPriority w:val="46"/>
    <w:rsid w:val="00D17B9E"/>
    <w:pPr>
      <w:spacing w:after="0" w:line="240" w:lineRule="auto"/>
    </w:pPr>
    <w:rPr>
      <w:rFonts w:ascii="Times New Roman" w:eastAsia="Times New Roman" w:hAnsi="Times New Roman" w:cs="Times New Roman"/>
      <w:lang w:val="en-US"/>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ladecuadrcula1clara-nfasis12">
    <w:name w:val="Tabla de cuadrícula 1 clara - Énfasis 12"/>
    <w:basedOn w:val="Tablanormal"/>
    <w:uiPriority w:val="46"/>
    <w:rsid w:val="00D17B9E"/>
    <w:pPr>
      <w:spacing w:after="0" w:line="240" w:lineRule="auto"/>
    </w:pPr>
    <w:rPr>
      <w:rFonts w:ascii="Times New Roman" w:eastAsia="Times New Roman" w:hAnsi="Times New Roman" w:cs="Times New Roman"/>
      <w:lang w:val="en-US"/>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Asuntodelcomentario">
    <w:name w:val="annotation subject"/>
    <w:basedOn w:val="Textocomentario"/>
    <w:next w:val="Textocomentario"/>
    <w:link w:val="AsuntodelcomentarioCar"/>
    <w:uiPriority w:val="99"/>
    <w:semiHidden/>
    <w:unhideWhenUsed/>
    <w:rsid w:val="00D17B9E"/>
    <w:rPr>
      <w:b/>
      <w:bCs/>
    </w:rPr>
  </w:style>
  <w:style w:type="character" w:customStyle="1" w:styleId="AsuntodelcomentarioCar">
    <w:name w:val="Asunto del comentario Car"/>
    <w:basedOn w:val="TextocomentarioCar1"/>
    <w:link w:val="Asuntodelcomentario"/>
    <w:uiPriority w:val="99"/>
    <w:semiHidden/>
    <w:rsid w:val="00D17B9E"/>
    <w:rPr>
      <w:rFonts w:ascii="Calibri" w:eastAsia="Times New Roman" w:hAnsi="Calibri" w:cs="Calibri"/>
      <w:b/>
      <w:bCs/>
      <w:color w:val="000000"/>
      <w:sz w:val="20"/>
      <w:szCs w:val="20"/>
      <w:lang w:val="en-US" w:eastAsia="es-ES"/>
    </w:rPr>
  </w:style>
  <w:style w:type="paragraph" w:customStyle="1" w:styleId="Texto">
    <w:name w:val="Texto"/>
    <w:basedOn w:val="Normal"/>
    <w:link w:val="TextoCar"/>
    <w:rsid w:val="00D17B9E"/>
    <w:pPr>
      <w:spacing w:before="120"/>
      <w:contextualSpacing/>
      <w:jc w:val="both"/>
    </w:pPr>
    <w:rPr>
      <w:rFonts w:ascii="Calibri" w:hAnsi="Calibri"/>
      <w:sz w:val="24"/>
      <w:szCs w:val="24"/>
    </w:rPr>
  </w:style>
  <w:style w:type="character" w:customStyle="1" w:styleId="TextoCar">
    <w:name w:val="Texto Car"/>
    <w:basedOn w:val="Fuentedeprrafopredeter"/>
    <w:link w:val="Texto"/>
    <w:rsid w:val="00D17B9E"/>
    <w:rPr>
      <w:rFonts w:ascii="Calibri" w:eastAsia="Times New Roman" w:hAnsi="Calibri" w:cs="Times New Roman"/>
      <w:sz w:val="24"/>
      <w:szCs w:val="24"/>
      <w:lang w:val="es-ES" w:eastAsia="es-ES"/>
    </w:rPr>
  </w:style>
  <w:style w:type="paragraph" w:customStyle="1" w:styleId="TtuloObjeto">
    <w:name w:val="Título Objeto"/>
    <w:basedOn w:val="Normal"/>
    <w:link w:val="TtuloObjetoCar"/>
    <w:qFormat/>
    <w:rsid w:val="00D17B9E"/>
    <w:pPr>
      <w:spacing w:before="120"/>
      <w:contextualSpacing/>
      <w:jc w:val="both"/>
    </w:pPr>
    <w:rPr>
      <w:rFonts w:ascii="Calibri" w:hAnsi="Calibri"/>
      <w:i/>
      <w:sz w:val="22"/>
      <w:szCs w:val="22"/>
    </w:rPr>
  </w:style>
  <w:style w:type="character" w:customStyle="1" w:styleId="TtuloObjetoCar">
    <w:name w:val="Título Objeto Car"/>
    <w:basedOn w:val="Fuentedeprrafopredeter"/>
    <w:link w:val="TtuloObjeto"/>
    <w:rsid w:val="00D17B9E"/>
    <w:rPr>
      <w:rFonts w:ascii="Calibri" w:eastAsia="Times New Roman" w:hAnsi="Calibri" w:cs="Times New Roman"/>
      <w:i/>
      <w:lang w:val="es-ES" w:eastAsia="es-ES"/>
    </w:rPr>
  </w:style>
  <w:style w:type="paragraph" w:customStyle="1" w:styleId="NotaObjeto">
    <w:name w:val="Nota Objeto"/>
    <w:basedOn w:val="Normal"/>
    <w:link w:val="NotaObjetoCar"/>
    <w:rsid w:val="00D17B9E"/>
    <w:pPr>
      <w:tabs>
        <w:tab w:val="left" w:pos="0"/>
      </w:tabs>
      <w:spacing w:before="120"/>
      <w:jc w:val="both"/>
    </w:pPr>
    <w:rPr>
      <w:rFonts w:ascii="Calibri" w:hAnsi="Calibri"/>
      <w:sz w:val="18"/>
      <w:szCs w:val="18"/>
    </w:rPr>
  </w:style>
  <w:style w:type="character" w:customStyle="1" w:styleId="NotaObjetoCar">
    <w:name w:val="Nota Objeto Car"/>
    <w:basedOn w:val="Fuentedeprrafopredeter"/>
    <w:link w:val="NotaObjeto"/>
    <w:rsid w:val="00D17B9E"/>
    <w:rPr>
      <w:rFonts w:ascii="Calibri" w:eastAsia="Times New Roman" w:hAnsi="Calibri" w:cs="Times New Roman"/>
      <w:sz w:val="18"/>
      <w:szCs w:val="18"/>
      <w:lang w:val="es-ES" w:eastAsia="es-ES"/>
    </w:rPr>
  </w:style>
  <w:style w:type="table" w:styleId="Listaclara">
    <w:name w:val="Light List"/>
    <w:basedOn w:val="Tablanormal"/>
    <w:uiPriority w:val="61"/>
    <w:rsid w:val="00D17B9E"/>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Pa0">
    <w:name w:val="Pa0"/>
    <w:basedOn w:val="Default"/>
    <w:next w:val="Default"/>
    <w:uiPriority w:val="99"/>
    <w:rsid w:val="00D17B9E"/>
    <w:pPr>
      <w:spacing w:line="201" w:lineRule="atLeast"/>
    </w:pPr>
    <w:rPr>
      <w:rFonts w:ascii="Gotham Book" w:hAnsi="Gotham Book" w:cstheme="minorBidi"/>
      <w:color w:val="auto"/>
    </w:rPr>
  </w:style>
  <w:style w:type="paragraph" w:customStyle="1" w:styleId="Pa19">
    <w:name w:val="Pa19"/>
    <w:basedOn w:val="Default"/>
    <w:next w:val="Default"/>
    <w:uiPriority w:val="99"/>
    <w:rsid w:val="00D17B9E"/>
    <w:pPr>
      <w:spacing w:line="241" w:lineRule="atLeast"/>
    </w:pPr>
    <w:rPr>
      <w:rFonts w:ascii="Gotham Book" w:hAnsi="Gotham Book" w:cstheme="minorBidi"/>
      <w:color w:val="auto"/>
    </w:rPr>
  </w:style>
  <w:style w:type="paragraph" w:customStyle="1" w:styleId="Pa7">
    <w:name w:val="Pa7"/>
    <w:basedOn w:val="Default"/>
    <w:next w:val="Default"/>
    <w:uiPriority w:val="99"/>
    <w:rsid w:val="00D17B9E"/>
    <w:pPr>
      <w:spacing w:line="201" w:lineRule="atLeast"/>
    </w:pPr>
    <w:rPr>
      <w:rFonts w:ascii="Gotham Book" w:hAnsi="Gotham Book" w:cstheme="minorBidi"/>
      <w:color w:val="auto"/>
    </w:rPr>
  </w:style>
  <w:style w:type="paragraph" w:customStyle="1" w:styleId="Pa6">
    <w:name w:val="Pa6"/>
    <w:basedOn w:val="Default"/>
    <w:next w:val="Default"/>
    <w:uiPriority w:val="99"/>
    <w:rsid w:val="00D17B9E"/>
    <w:pPr>
      <w:spacing w:line="201" w:lineRule="atLeast"/>
    </w:pPr>
    <w:rPr>
      <w:rFonts w:ascii="Gotham Book" w:hAnsi="Gotham Book" w:cstheme="minorBidi"/>
      <w:color w:val="auto"/>
    </w:rPr>
  </w:style>
  <w:style w:type="paragraph" w:customStyle="1" w:styleId="Pa32">
    <w:name w:val="Pa32"/>
    <w:basedOn w:val="Default"/>
    <w:next w:val="Default"/>
    <w:uiPriority w:val="99"/>
    <w:rsid w:val="00D17B9E"/>
    <w:pPr>
      <w:spacing w:line="201" w:lineRule="atLeast"/>
    </w:pPr>
    <w:rPr>
      <w:rFonts w:ascii="Gotham Book" w:hAnsi="Gotham Book" w:cstheme="minorBidi"/>
      <w:color w:val="auto"/>
    </w:rPr>
  </w:style>
  <w:style w:type="paragraph" w:customStyle="1" w:styleId="Cuerpo">
    <w:name w:val="Cuerpo"/>
    <w:basedOn w:val="Normal"/>
    <w:rsid w:val="00D17B9E"/>
    <w:pPr>
      <w:spacing w:before="120"/>
      <w:jc w:val="both"/>
    </w:pPr>
    <w:rPr>
      <w:rFonts w:ascii="Calibri" w:eastAsia="Batang" w:hAnsi="Calibri" w:cs="Arial"/>
      <w:sz w:val="22"/>
      <w:szCs w:val="22"/>
    </w:rPr>
  </w:style>
  <w:style w:type="character" w:customStyle="1" w:styleId="apple-style-span">
    <w:name w:val="apple-style-span"/>
    <w:basedOn w:val="Fuentedeprrafopredeter"/>
    <w:rsid w:val="00D17B9E"/>
  </w:style>
  <w:style w:type="paragraph" w:styleId="Descripcin">
    <w:name w:val="caption"/>
    <w:basedOn w:val="Normal"/>
    <w:uiPriority w:val="35"/>
    <w:unhideWhenUsed/>
    <w:rsid w:val="00D17B9E"/>
    <w:pPr>
      <w:spacing w:before="120"/>
    </w:pPr>
    <w:rPr>
      <w:rFonts w:ascii="ChaletComprime-CologneSixty" w:eastAsiaTheme="minorHAnsi" w:hAnsi="ChaletComprime-CologneSixty" w:cs="Mangal"/>
      <w:bCs/>
      <w:color w:val="808080" w:themeColor="background1" w:themeShade="80"/>
      <w:sz w:val="24"/>
      <w:szCs w:val="16"/>
      <w:lang w:val="es-MX" w:eastAsia="zh-CN" w:bidi="hi-IN"/>
    </w:rPr>
  </w:style>
  <w:style w:type="paragraph" w:customStyle="1" w:styleId="Ttulo11">
    <w:name w:val="Título 11"/>
    <w:next w:val="Normal"/>
    <w:rsid w:val="00D17B9E"/>
    <w:pPr>
      <w:keepNext/>
      <w:keepLines/>
      <w:spacing w:before="480" w:after="0" w:line="276" w:lineRule="auto"/>
      <w:outlineLvl w:val="0"/>
    </w:pPr>
    <w:rPr>
      <w:rFonts w:ascii="Lucida Grande" w:eastAsia="ヒラギノ角ゴ Pro W3" w:hAnsi="Lucida Grande" w:cs="Times New Roman"/>
      <w:b/>
      <w:color w:val="294A7E"/>
      <w:sz w:val="28"/>
      <w:szCs w:val="20"/>
      <w:lang w:val="es-ES_tradnl" w:eastAsia="es-US"/>
    </w:rPr>
  </w:style>
  <w:style w:type="paragraph" w:customStyle="1" w:styleId="Ttulo21">
    <w:name w:val="Título 21"/>
    <w:next w:val="Normal"/>
    <w:rsid w:val="00D17B9E"/>
    <w:pPr>
      <w:keepNext/>
      <w:keepLines/>
      <w:spacing w:before="200" w:after="0" w:line="276" w:lineRule="auto"/>
      <w:outlineLvl w:val="1"/>
    </w:pPr>
    <w:rPr>
      <w:rFonts w:ascii="Lucida Grande" w:eastAsia="ヒラギノ角ゴ Pro W3" w:hAnsi="Lucida Grande" w:cs="Times New Roman"/>
      <w:b/>
      <w:color w:val="3F6BAE"/>
      <w:sz w:val="26"/>
      <w:szCs w:val="20"/>
      <w:lang w:val="es-ES_tradnl" w:eastAsia="es-US"/>
    </w:rPr>
  </w:style>
  <w:style w:type="paragraph" w:customStyle="1" w:styleId="Prrafodelista1">
    <w:name w:val="Párrafo de lista1"/>
    <w:aliases w:val="List Paragraph,BulletsMoreliaPIMUS,Párrafo de lista Villahermosa,Bolita,HOJA,Guión,Párrafo de lista3,BOLA,Párrafo de lista21,Titulo 8,Párrafo de lista31,ViÃ±eta 2,References,titulo 5,BulletsPIMUSLEON,Cita texto,Footnote,Listas"/>
    <w:uiPriority w:val="34"/>
    <w:qFormat/>
    <w:rsid w:val="00D17B9E"/>
    <w:pPr>
      <w:spacing w:after="200" w:line="276" w:lineRule="auto"/>
      <w:ind w:left="720"/>
    </w:pPr>
    <w:rPr>
      <w:rFonts w:ascii="Lucida Grande" w:eastAsia="ヒラギノ角ゴ Pro W3" w:hAnsi="Lucida Grande" w:cs="Times New Roman"/>
      <w:color w:val="000000"/>
      <w:szCs w:val="20"/>
      <w:lang w:val="es-ES_tradnl" w:eastAsia="es-US"/>
    </w:rPr>
  </w:style>
  <w:style w:type="table" w:styleId="Listaclara-nfasis3">
    <w:name w:val="Light List Accent 3"/>
    <w:basedOn w:val="Tablanormal"/>
    <w:uiPriority w:val="61"/>
    <w:rsid w:val="00D17B9E"/>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adecuadrcula1clara-nfasis61">
    <w:name w:val="Tabla de cuadrícula 1 clara - Énfasis 61"/>
    <w:basedOn w:val="Tablanormal"/>
    <w:uiPriority w:val="46"/>
    <w:rsid w:val="00D17B9E"/>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styleId="Textoennegrita">
    <w:name w:val="Strong"/>
    <w:basedOn w:val="Fuentedeprrafopredeter"/>
    <w:uiPriority w:val="22"/>
    <w:qFormat/>
    <w:rsid w:val="00D17B9E"/>
    <w:rPr>
      <w:b/>
      <w:bCs/>
    </w:rPr>
  </w:style>
  <w:style w:type="paragraph" w:styleId="ndice2">
    <w:name w:val="index 2"/>
    <w:basedOn w:val="Normal"/>
    <w:next w:val="Normal"/>
    <w:autoRedefine/>
    <w:rsid w:val="00D17B9E"/>
    <w:pPr>
      <w:spacing w:before="120"/>
      <w:ind w:left="440" w:hanging="220"/>
      <w:jc w:val="both"/>
    </w:pPr>
    <w:rPr>
      <w:rFonts w:ascii="Calibri" w:eastAsia="Calibri" w:hAnsi="Calibri"/>
      <w:sz w:val="22"/>
      <w:lang w:eastAsia="en-US"/>
    </w:rPr>
  </w:style>
  <w:style w:type="character" w:customStyle="1" w:styleId="IGrficasCar">
    <w:name w:val="I Gráficas Car"/>
    <w:basedOn w:val="Fuentedeprrafopredeter"/>
    <w:link w:val="IGrficas"/>
    <w:locked/>
    <w:rsid w:val="00D17B9E"/>
    <w:rPr>
      <w:rFonts w:ascii="Calibri" w:eastAsia="Times New Roman" w:hAnsi="Calibri" w:cs="Times New Roman"/>
      <w:b/>
      <w:bCs/>
      <w:i/>
      <w:iCs/>
      <w:noProof/>
      <w:color w:val="000000"/>
      <w:lang w:eastAsia="es-MX"/>
      <w14:textFill>
        <w14:solidFill>
          <w14:srgbClr w14:val="000000">
            <w14:lumMod w14:val="50000"/>
          </w14:srgbClr>
        </w14:solidFill>
      </w14:textFill>
    </w:rPr>
  </w:style>
  <w:style w:type="paragraph" w:customStyle="1" w:styleId="IGrficas">
    <w:name w:val="I Gráficas"/>
    <w:basedOn w:val="IImgenes"/>
    <w:link w:val="IGrficasCar"/>
    <w:rsid w:val="00D17B9E"/>
    <w:pPr>
      <w:pBdr>
        <w:top w:val="none" w:sz="0" w:space="0" w:color="auto"/>
        <w:bottom w:val="none" w:sz="0" w:space="0" w:color="auto"/>
      </w:pBdr>
      <w:jc w:val="left"/>
    </w:pPr>
    <w:rPr>
      <w:rFonts w:ascii="Calibri" w:hAnsi="Calibri"/>
      <w:bCs/>
      <w:noProof/>
      <w:color w:val="000000"/>
      <w:sz w:val="22"/>
      <w14:textFill>
        <w14:solidFill>
          <w14:srgbClr w14:val="000000">
            <w14:lumMod w14:val="50000"/>
          </w14:srgbClr>
        </w14:solidFill>
      </w14:textFill>
    </w:rPr>
  </w:style>
  <w:style w:type="paragraph" w:styleId="Textosinformato">
    <w:name w:val="Plain Text"/>
    <w:basedOn w:val="Normal"/>
    <w:link w:val="TextosinformatoCar"/>
    <w:uiPriority w:val="99"/>
    <w:semiHidden/>
    <w:unhideWhenUsed/>
    <w:rsid w:val="00D17B9E"/>
    <w:pPr>
      <w:spacing w:before="120"/>
    </w:pPr>
    <w:rPr>
      <w:rFonts w:ascii="Calibri" w:eastAsiaTheme="minorHAnsi" w:hAnsi="Calibri" w:cstheme="minorBidi"/>
      <w:sz w:val="22"/>
      <w:szCs w:val="21"/>
      <w:lang w:val="es-US" w:eastAsia="en-US"/>
    </w:rPr>
  </w:style>
  <w:style w:type="character" w:customStyle="1" w:styleId="TextosinformatoCar">
    <w:name w:val="Texto sin formato Car"/>
    <w:basedOn w:val="Fuentedeprrafopredeter"/>
    <w:link w:val="Textosinformato"/>
    <w:uiPriority w:val="99"/>
    <w:semiHidden/>
    <w:rsid w:val="00D17B9E"/>
    <w:rPr>
      <w:rFonts w:ascii="Calibri" w:hAnsi="Calibri"/>
      <w:szCs w:val="21"/>
      <w:lang w:val="es-US"/>
    </w:rPr>
  </w:style>
  <w:style w:type="paragraph" w:customStyle="1" w:styleId="Notaalpiedepgina">
    <w:name w:val="Nota al pie de página"/>
    <w:basedOn w:val="Textonotapie"/>
    <w:link w:val="NotaalpiedepginaCar"/>
    <w:rsid w:val="00D17B9E"/>
    <w:pPr>
      <w:spacing w:before="0" w:after="0"/>
    </w:pPr>
    <w:rPr>
      <w:rFonts w:ascii="Arial" w:hAnsi="Arial" w:cs="Arial"/>
      <w:sz w:val="16"/>
      <w:szCs w:val="16"/>
    </w:rPr>
  </w:style>
  <w:style w:type="character" w:customStyle="1" w:styleId="NotaalpiedepginaCar">
    <w:name w:val="Nota al pie de página Car"/>
    <w:basedOn w:val="TextonotapieCar"/>
    <w:link w:val="Notaalpiedepgina"/>
    <w:rsid w:val="00D17B9E"/>
    <w:rPr>
      <w:rFonts w:ascii="Arial" w:eastAsia="Times New Roman" w:hAnsi="Arial" w:cs="Arial"/>
      <w:sz w:val="16"/>
      <w:szCs w:val="16"/>
      <w:lang w:val="es-ES" w:eastAsia="es-ES"/>
    </w:rPr>
  </w:style>
  <w:style w:type="table" w:styleId="Sombreadoclaro">
    <w:name w:val="Light Shading"/>
    <w:basedOn w:val="Tablanormal"/>
    <w:uiPriority w:val="60"/>
    <w:rsid w:val="00D17B9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TtuloCar1">
    <w:name w:val="Título Car1"/>
    <w:basedOn w:val="Fuentedeprrafopredeter"/>
    <w:uiPriority w:val="10"/>
    <w:rsid w:val="00D17B9E"/>
    <w:rPr>
      <w:rFonts w:asciiTheme="majorHAnsi" w:eastAsiaTheme="majorEastAsia" w:hAnsiTheme="majorHAnsi" w:cstheme="majorBidi"/>
      <w:color w:val="323E4F" w:themeColor="text2" w:themeShade="BF"/>
      <w:spacing w:val="5"/>
      <w:kern w:val="28"/>
      <w:sz w:val="52"/>
      <w:szCs w:val="52"/>
      <w:lang w:val="es-MX"/>
    </w:rPr>
  </w:style>
  <w:style w:type="paragraph" w:styleId="Bibliografa">
    <w:name w:val="Bibliography"/>
    <w:basedOn w:val="Normal"/>
    <w:next w:val="Normal"/>
    <w:uiPriority w:val="37"/>
    <w:semiHidden/>
    <w:unhideWhenUsed/>
    <w:rsid w:val="00D17B9E"/>
    <w:pPr>
      <w:spacing w:before="120"/>
    </w:pPr>
    <w:rPr>
      <w:rFonts w:asciiTheme="minorHAnsi" w:eastAsiaTheme="minorHAnsi" w:hAnsiTheme="minorHAnsi" w:cstheme="minorBidi"/>
      <w:sz w:val="22"/>
      <w:szCs w:val="22"/>
      <w:lang w:val="es-MX" w:eastAsia="en-US"/>
    </w:rPr>
  </w:style>
  <w:style w:type="table" w:customStyle="1" w:styleId="Tablaconcuadrcula1">
    <w:name w:val="Tabla con cuadrícula1"/>
    <w:basedOn w:val="Tablanormal"/>
    <w:uiPriority w:val="39"/>
    <w:rsid w:val="00D17B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uiPriority w:val="39"/>
    <w:rsid w:val="00D17B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medio2">
    <w:name w:val="Medium Shading 2"/>
    <w:basedOn w:val="Tablanormal"/>
    <w:uiPriority w:val="64"/>
    <w:rsid w:val="00D17B9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1">
    <w:name w:val="Medium List 1"/>
    <w:basedOn w:val="Tablanormal"/>
    <w:uiPriority w:val="65"/>
    <w:rsid w:val="00D17B9E"/>
    <w:pPr>
      <w:spacing w:after="0" w:line="240" w:lineRule="auto"/>
    </w:pPr>
    <w:rPr>
      <w:color w:val="000000" w:themeColor="text1"/>
      <w:lang w:val="es-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PMD">
    <w:name w:val="PMD"/>
    <w:basedOn w:val="Listamedia1"/>
    <w:uiPriority w:val="99"/>
    <w:rsid w:val="00D17B9E"/>
    <w:pPr>
      <w:jc w:val="center"/>
    </w:pPr>
    <w:rPr>
      <w:sz w:val="16"/>
    </w:rPr>
    <w:tblPr/>
    <w:tcPr>
      <w:shd w:val="clear" w:color="auto" w:fill="FFFFFF" w:themeFill="background1"/>
      <w:vAlign w:val="center"/>
    </w:tcPr>
    <w:tblStylePr w:type="firstRow">
      <w:rPr>
        <w:rFonts w:asciiTheme="majorHAnsi" w:eastAsiaTheme="majorEastAsia" w:hAnsiTheme="majorHAnsi" w:cstheme="majorBidi"/>
        <w:b w:val="0"/>
        <w:sz w:val="16"/>
      </w:rPr>
      <w:tblPr/>
      <w:tcPr>
        <w:tcBorders>
          <w:top w:val="nil"/>
          <w:left w:val="nil"/>
          <w:bottom w:val="nil"/>
          <w:right w:val="nil"/>
          <w:insideH w:val="nil"/>
          <w:insideV w:val="nil"/>
          <w:tl2br w:val="nil"/>
          <w:tr2bl w:val="nil"/>
        </w:tcBorders>
        <w:shd w:val="clear" w:color="auto" w:fill="FFFFFF" w:themeFill="background1"/>
      </w:tcPr>
    </w:tblStylePr>
    <w:tblStylePr w:type="lastRow">
      <w:rPr>
        <w:rFonts w:ascii="Calibri" w:hAnsi="Calibri"/>
        <w:b w:val="0"/>
        <w:bCs/>
        <w:color w:val="000000" w:themeColor="text1"/>
        <w:sz w:val="16"/>
      </w:rPr>
      <w:tblPr/>
      <w:tcPr>
        <w:tcBorders>
          <w:top w:val="nil"/>
          <w:left w:val="nil"/>
          <w:bottom w:val="nil"/>
          <w:right w:val="nil"/>
          <w:insideH w:val="nil"/>
          <w:insideV w:val="nil"/>
          <w:tl2br w:val="nil"/>
          <w:tr2bl w:val="nil"/>
        </w:tcBorders>
        <w:shd w:val="clear" w:color="auto" w:fill="FFFFFF" w:themeFill="background1"/>
      </w:tcPr>
    </w:tblStylePr>
    <w:tblStylePr w:type="firstCol">
      <w:rPr>
        <w:rFonts w:ascii="Calibri" w:hAnsi="Calibri"/>
        <w:b w:val="0"/>
        <w:bCs/>
        <w:sz w:val="16"/>
      </w:rPr>
    </w:tblStylePr>
    <w:tblStylePr w:type="lastCol">
      <w:rPr>
        <w:b w:val="0"/>
        <w:bCs/>
      </w:rPr>
      <w:tblPr/>
      <w:tcPr>
        <w:tcBorders>
          <w:top w:val="single" w:sz="8" w:space="0" w:color="000000" w:themeColor="text1"/>
          <w:bottom w:val="single" w:sz="8" w:space="0" w:color="000000" w:themeColor="text1"/>
        </w:tcBorders>
      </w:tcPr>
    </w:tblStylePr>
    <w:tblStylePr w:type="band1Vert">
      <w:rPr>
        <w:rFonts w:ascii="Calibri" w:hAnsi="Calibri"/>
        <w:b w:val="0"/>
        <w:sz w:val="16"/>
      </w:rPr>
      <w:tblPr/>
      <w:tcPr>
        <w:shd w:val="clear" w:color="auto" w:fill="C0C0C0" w:themeFill="text1" w:themeFillTint="3F"/>
      </w:tcPr>
    </w:tblStylePr>
    <w:tblStylePr w:type="band2Vert">
      <w:pPr>
        <w:jc w:val="center"/>
      </w:pPr>
      <w:rPr>
        <w:rFonts w:ascii="Calibri" w:hAnsi="Calibri"/>
        <w:sz w:val="16"/>
      </w:rPr>
    </w:tblStylePr>
    <w:tblStylePr w:type="band1Horz">
      <w:rPr>
        <w:rFonts w:ascii="Calibri" w:hAnsi="Calibri"/>
        <w:sz w:val="16"/>
      </w:rPr>
      <w:tblPr/>
      <w:tcPr>
        <w:shd w:val="clear" w:color="auto" w:fill="BECCCD"/>
      </w:tcPr>
    </w:tblStylePr>
    <w:tblStylePr w:type="band2Horz">
      <w:tblPr/>
      <w:tcPr>
        <w:shd w:val="clear" w:color="auto" w:fill="FFFFFF" w:themeFill="background1"/>
      </w:tcPr>
    </w:tblStylePr>
  </w:style>
  <w:style w:type="table" w:customStyle="1" w:styleId="Tabladecuadrcula1clara-nfasis611">
    <w:name w:val="Tabla de cuadrícula 1 clara - Énfasis 611"/>
    <w:basedOn w:val="Tablanormal"/>
    <w:uiPriority w:val="46"/>
    <w:rsid w:val="00D17B9E"/>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customStyle="1" w:styleId="Listavistosa-nfasis11">
    <w:name w:val="Lista vistosa - Énfasis 11"/>
    <w:basedOn w:val="Normal"/>
    <w:uiPriority w:val="34"/>
    <w:rsid w:val="00D17B9E"/>
    <w:pPr>
      <w:spacing w:before="120"/>
      <w:ind w:left="720"/>
      <w:contextualSpacing/>
    </w:pPr>
    <w:rPr>
      <w:rFonts w:ascii="Calibri" w:eastAsia="Calibri" w:hAnsi="Calibri"/>
      <w:sz w:val="22"/>
      <w:szCs w:val="22"/>
      <w:lang w:val="es-MX" w:eastAsia="en-US"/>
    </w:rPr>
  </w:style>
  <w:style w:type="character" w:customStyle="1" w:styleId="PrrafodelistaCar">
    <w:name w:val="Párrafo de lista Car"/>
    <w:aliases w:val="viñeta Car,Párrafo de lista 2 Car,lp1 Car,List Paragraph1 Car"/>
    <w:basedOn w:val="Fuentedeprrafopredeter"/>
    <w:link w:val="Prrafodelista"/>
    <w:uiPriority w:val="34"/>
    <w:rsid w:val="00D17B9E"/>
    <w:rPr>
      <w:rFonts w:ascii="Times New Roman" w:eastAsia="Times New Roman" w:hAnsi="Times New Roman" w:cs="Times New Roman"/>
      <w:sz w:val="20"/>
      <w:szCs w:val="20"/>
      <w:lang w:val="es-ES" w:eastAsia="es-ES"/>
    </w:rPr>
  </w:style>
  <w:style w:type="paragraph" w:customStyle="1" w:styleId="IImgenes">
    <w:name w:val="I Imágenes"/>
    <w:basedOn w:val="Normal"/>
    <w:link w:val="IImgenesCar"/>
    <w:qFormat/>
    <w:rsid w:val="00D17B9E"/>
    <w:pPr>
      <w:pBdr>
        <w:top w:val="single" w:sz="2" w:space="1" w:color="auto"/>
        <w:bottom w:val="single" w:sz="2" w:space="1" w:color="auto"/>
      </w:pBdr>
      <w:spacing w:before="120"/>
      <w:jc w:val="center"/>
    </w:pPr>
    <w:rPr>
      <w:rFonts w:ascii="Cambria" w:hAnsi="Cambria"/>
      <w:b/>
      <w:i/>
      <w:iCs/>
      <w:color w:val="833C0B" w:themeColor="accent2" w:themeShade="80"/>
      <w:sz w:val="18"/>
      <w:szCs w:val="22"/>
      <w:lang w:val="es-MX" w:eastAsia="es-MX"/>
    </w:rPr>
  </w:style>
  <w:style w:type="character" w:customStyle="1" w:styleId="IImgenesCar">
    <w:name w:val="I Imágenes Car"/>
    <w:basedOn w:val="Fuentedeprrafopredeter"/>
    <w:link w:val="IImgenes"/>
    <w:rsid w:val="00D17B9E"/>
    <w:rPr>
      <w:rFonts w:ascii="Cambria" w:eastAsia="Times New Roman" w:hAnsi="Cambria" w:cs="Times New Roman"/>
      <w:b/>
      <w:i/>
      <w:iCs/>
      <w:color w:val="833C0B" w:themeColor="accent2" w:themeShade="80"/>
      <w:sz w:val="18"/>
      <w:lang w:eastAsia="es-MX"/>
    </w:rPr>
  </w:style>
  <w:style w:type="paragraph" w:customStyle="1" w:styleId="TtuloN1">
    <w:name w:val="Título N1"/>
    <w:basedOn w:val="Normal"/>
    <w:link w:val="TtuloN1Car"/>
    <w:rsid w:val="00D17B9E"/>
    <w:pPr>
      <w:spacing w:before="240" w:after="240"/>
      <w:contextualSpacing/>
    </w:pPr>
    <w:rPr>
      <w:rFonts w:ascii="Calibri" w:hAnsi="Calibri" w:cs="Arial"/>
      <w:b/>
      <w:bCs/>
      <w:caps/>
      <w:color w:val="525252" w:themeColor="accent3" w:themeShade="80"/>
      <w:sz w:val="48"/>
      <w:szCs w:val="32"/>
    </w:rPr>
  </w:style>
  <w:style w:type="character" w:customStyle="1" w:styleId="TtuloN1Car">
    <w:name w:val="Título N1 Car"/>
    <w:basedOn w:val="Fuentedeprrafopredeter"/>
    <w:link w:val="TtuloN1"/>
    <w:rsid w:val="00D17B9E"/>
    <w:rPr>
      <w:rFonts w:ascii="Calibri" w:eastAsia="Times New Roman" w:hAnsi="Calibri" w:cs="Arial"/>
      <w:b/>
      <w:bCs/>
      <w:caps/>
      <w:color w:val="525252" w:themeColor="accent3" w:themeShade="80"/>
      <w:sz w:val="48"/>
      <w:szCs w:val="32"/>
      <w:lang w:val="es-ES" w:eastAsia="es-ES"/>
    </w:rPr>
  </w:style>
  <w:style w:type="paragraph" w:customStyle="1" w:styleId="TtuloN2">
    <w:name w:val="Título N2"/>
    <w:basedOn w:val="TDC1"/>
    <w:link w:val="TtuloN2Car"/>
    <w:rsid w:val="00D17B9E"/>
    <w:rPr>
      <w:rFonts w:cstheme="minorHAnsi"/>
      <w:bCs/>
      <w:smallCaps/>
      <w:szCs w:val="28"/>
    </w:rPr>
  </w:style>
  <w:style w:type="character" w:customStyle="1" w:styleId="TtuloN2Car">
    <w:name w:val="Título N2 Car"/>
    <w:basedOn w:val="Fuentedeprrafopredeter"/>
    <w:link w:val="TtuloN2"/>
    <w:rsid w:val="00D17B9E"/>
    <w:rPr>
      <w:rFonts w:ascii="Cambria" w:hAnsi="Cambria" w:cstheme="minorHAnsi"/>
      <w:b/>
      <w:bCs/>
      <w:smallCaps/>
      <w:noProof/>
      <w:sz w:val="32"/>
      <w:szCs w:val="28"/>
    </w:rPr>
  </w:style>
  <w:style w:type="paragraph" w:customStyle="1" w:styleId="TtuloN3">
    <w:name w:val="Título N3"/>
    <w:basedOn w:val="TDC3"/>
    <w:next w:val="Normal"/>
    <w:link w:val="TtuloN3Car"/>
    <w:rsid w:val="00D17B9E"/>
    <w:pPr>
      <w:ind w:left="0"/>
      <w:jc w:val="left"/>
    </w:pPr>
    <w:rPr>
      <w:rFonts w:cs="Times New Roman"/>
      <w:b w:val="0"/>
      <w:i/>
      <w:iCs/>
      <w:noProof w:val="0"/>
      <w:color w:val="525252" w:themeColor="accent3" w:themeShade="80"/>
      <w:sz w:val="32"/>
      <w:szCs w:val="24"/>
      <w:u w:val="single"/>
    </w:rPr>
  </w:style>
  <w:style w:type="character" w:customStyle="1" w:styleId="TtuloN3Car">
    <w:name w:val="Título N3 Car"/>
    <w:basedOn w:val="Fuentedeprrafopredeter"/>
    <w:link w:val="TtuloN3"/>
    <w:rsid w:val="00D17B9E"/>
    <w:rPr>
      <w:rFonts w:ascii="Cambria" w:hAnsi="Cambria" w:cs="Times New Roman"/>
      <w:i/>
      <w:iCs/>
      <w:color w:val="525252" w:themeColor="accent3" w:themeShade="80"/>
      <w:sz w:val="32"/>
      <w:szCs w:val="24"/>
      <w:u w:val="single"/>
    </w:rPr>
  </w:style>
  <w:style w:type="paragraph" w:customStyle="1" w:styleId="INormal-Vietas">
    <w:name w:val="I Normal - Viñetas"/>
    <w:basedOn w:val="IPGNormal"/>
    <w:link w:val="INormal-VietasCar"/>
    <w:rsid w:val="00D17B9E"/>
    <w:pPr>
      <w:numPr>
        <w:numId w:val="7"/>
      </w:numPr>
      <w:ind w:right="284"/>
    </w:pPr>
    <w:rPr>
      <w:rFonts w:cs="Times New Roman"/>
      <w:b/>
      <w:i/>
      <w:sz w:val="24"/>
      <w:szCs w:val="28"/>
    </w:rPr>
  </w:style>
  <w:style w:type="character" w:customStyle="1" w:styleId="INormal-VietasCar">
    <w:name w:val="I Normal - Viñetas Car"/>
    <w:basedOn w:val="IPGNormalCar"/>
    <w:link w:val="INormal-Vietas"/>
    <w:rsid w:val="00D17B9E"/>
    <w:rPr>
      <w:rFonts w:ascii="Calibri" w:eastAsia="Batang" w:hAnsi="Calibri" w:cs="Times New Roman"/>
      <w:b/>
      <w:i/>
      <w:sz w:val="24"/>
      <w:szCs w:val="28"/>
      <w:lang w:val="es-ES" w:eastAsia="es-ES"/>
    </w:rPr>
  </w:style>
  <w:style w:type="table" w:customStyle="1" w:styleId="Tabladecuadrcula4-nfasis51">
    <w:name w:val="Tabla de cuadrícula 4 - Énfasis 51"/>
    <w:basedOn w:val="Tablanormal"/>
    <w:uiPriority w:val="49"/>
    <w:rsid w:val="00D17B9E"/>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4-nfasis31">
    <w:name w:val="Tabla de cuadrícula 4 - Énfasis 31"/>
    <w:basedOn w:val="Tablanormal"/>
    <w:uiPriority w:val="49"/>
    <w:rsid w:val="00D17B9E"/>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Hipervnculovisitado">
    <w:name w:val="FollowedHyperlink"/>
    <w:basedOn w:val="Fuentedeprrafopredeter"/>
    <w:uiPriority w:val="99"/>
    <w:semiHidden/>
    <w:unhideWhenUsed/>
    <w:rsid w:val="00D17B9E"/>
    <w:rPr>
      <w:color w:val="800080"/>
      <w:u w:val="single"/>
    </w:rPr>
  </w:style>
  <w:style w:type="paragraph" w:customStyle="1" w:styleId="xl66">
    <w:name w:val="xl66"/>
    <w:basedOn w:val="Normal"/>
    <w:rsid w:val="00D17B9E"/>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16"/>
      <w:szCs w:val="16"/>
      <w:lang w:val="es-MX" w:eastAsia="es-MX"/>
    </w:rPr>
  </w:style>
  <w:style w:type="paragraph" w:customStyle="1" w:styleId="xl67">
    <w:name w:val="xl67"/>
    <w:basedOn w:val="Normal"/>
    <w:rsid w:val="00D17B9E"/>
    <w:pPr>
      <w:pBdr>
        <w:top w:val="single" w:sz="4" w:space="0" w:color="auto"/>
        <w:left w:val="single" w:sz="4" w:space="0" w:color="auto"/>
        <w:bottom w:val="single" w:sz="4" w:space="0" w:color="auto"/>
        <w:right w:val="single" w:sz="8" w:space="0" w:color="auto"/>
      </w:pBdr>
      <w:spacing w:before="100" w:beforeAutospacing="1" w:after="100" w:afterAutospacing="1"/>
      <w:jc w:val="both"/>
      <w:textAlignment w:val="center"/>
    </w:pPr>
    <w:rPr>
      <w:sz w:val="16"/>
      <w:szCs w:val="16"/>
      <w:lang w:val="es-MX" w:eastAsia="es-MX"/>
    </w:rPr>
  </w:style>
  <w:style w:type="paragraph" w:customStyle="1" w:styleId="xl68">
    <w:name w:val="xl68"/>
    <w:basedOn w:val="Normal"/>
    <w:rsid w:val="00D17B9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s-MX" w:eastAsia="es-MX"/>
    </w:rPr>
  </w:style>
  <w:style w:type="paragraph" w:customStyle="1" w:styleId="xl69">
    <w:name w:val="xl69"/>
    <w:basedOn w:val="Normal"/>
    <w:rsid w:val="00D17B9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both"/>
      <w:textAlignment w:val="center"/>
    </w:pPr>
    <w:rPr>
      <w:sz w:val="16"/>
      <w:szCs w:val="16"/>
      <w:lang w:val="es-MX" w:eastAsia="es-MX"/>
    </w:rPr>
  </w:style>
  <w:style w:type="paragraph" w:customStyle="1" w:styleId="xl70">
    <w:name w:val="xl70"/>
    <w:basedOn w:val="Normal"/>
    <w:rsid w:val="00D17B9E"/>
    <w:pPr>
      <w:pBdr>
        <w:top w:val="single" w:sz="4" w:space="0" w:color="auto"/>
        <w:left w:val="single" w:sz="4" w:space="0" w:color="auto"/>
        <w:bottom w:val="single" w:sz="4" w:space="0" w:color="auto"/>
        <w:right w:val="single" w:sz="8" w:space="0" w:color="auto"/>
      </w:pBdr>
      <w:shd w:val="clear" w:color="000000" w:fill="C4D79B"/>
      <w:spacing w:before="100" w:beforeAutospacing="1" w:after="100" w:afterAutospacing="1"/>
      <w:jc w:val="both"/>
      <w:textAlignment w:val="center"/>
    </w:pPr>
    <w:rPr>
      <w:sz w:val="16"/>
      <w:szCs w:val="16"/>
      <w:lang w:val="es-MX" w:eastAsia="es-MX"/>
    </w:rPr>
  </w:style>
  <w:style w:type="paragraph" w:customStyle="1" w:styleId="xl71">
    <w:name w:val="xl71"/>
    <w:basedOn w:val="Normal"/>
    <w:rsid w:val="00D17B9E"/>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color w:val="C00000"/>
      <w:sz w:val="16"/>
      <w:szCs w:val="16"/>
      <w:lang w:val="es-MX" w:eastAsia="es-MX"/>
    </w:rPr>
  </w:style>
  <w:style w:type="paragraph" w:customStyle="1" w:styleId="xl72">
    <w:name w:val="xl72"/>
    <w:basedOn w:val="Normal"/>
    <w:rsid w:val="00D17B9E"/>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both"/>
      <w:textAlignment w:val="center"/>
    </w:pPr>
    <w:rPr>
      <w:sz w:val="16"/>
      <w:szCs w:val="16"/>
      <w:lang w:val="es-MX" w:eastAsia="es-MX"/>
    </w:rPr>
  </w:style>
  <w:style w:type="paragraph" w:customStyle="1" w:styleId="xl73">
    <w:name w:val="xl73"/>
    <w:basedOn w:val="Normal"/>
    <w:rsid w:val="00D17B9E"/>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jc w:val="both"/>
      <w:textAlignment w:val="center"/>
    </w:pPr>
    <w:rPr>
      <w:sz w:val="16"/>
      <w:szCs w:val="16"/>
      <w:lang w:val="es-MX" w:eastAsia="es-MX"/>
    </w:rPr>
  </w:style>
  <w:style w:type="paragraph" w:customStyle="1" w:styleId="xl74">
    <w:name w:val="xl74"/>
    <w:basedOn w:val="Normal"/>
    <w:rsid w:val="00D17B9E"/>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both"/>
      <w:textAlignment w:val="center"/>
    </w:pPr>
    <w:rPr>
      <w:color w:val="C00000"/>
      <w:sz w:val="16"/>
      <w:szCs w:val="16"/>
      <w:lang w:val="es-MX" w:eastAsia="es-MX"/>
    </w:rPr>
  </w:style>
  <w:style w:type="paragraph" w:customStyle="1" w:styleId="xl75">
    <w:name w:val="xl75"/>
    <w:basedOn w:val="Normal"/>
    <w:rsid w:val="00D17B9E"/>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sz w:val="16"/>
      <w:szCs w:val="16"/>
      <w:lang w:val="es-MX" w:eastAsia="es-MX"/>
    </w:rPr>
  </w:style>
  <w:style w:type="paragraph" w:customStyle="1" w:styleId="xl76">
    <w:name w:val="xl76"/>
    <w:basedOn w:val="Normal"/>
    <w:rsid w:val="00D17B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lang w:val="es-MX" w:eastAsia="es-MX"/>
    </w:rPr>
  </w:style>
  <w:style w:type="paragraph" w:customStyle="1" w:styleId="xl77">
    <w:name w:val="xl77"/>
    <w:basedOn w:val="Normal"/>
    <w:rsid w:val="00D17B9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sz w:val="16"/>
      <w:szCs w:val="16"/>
      <w:lang w:val="es-MX" w:eastAsia="es-MX"/>
    </w:rPr>
  </w:style>
  <w:style w:type="paragraph" w:customStyle="1" w:styleId="xl78">
    <w:name w:val="xl78"/>
    <w:basedOn w:val="Normal"/>
    <w:rsid w:val="00D17B9E"/>
    <w:pPr>
      <w:pBdr>
        <w:top w:val="single" w:sz="4" w:space="0" w:color="auto"/>
        <w:left w:val="single" w:sz="8" w:space="0" w:color="auto"/>
        <w:right w:val="single" w:sz="4" w:space="0" w:color="auto"/>
      </w:pBdr>
      <w:spacing w:before="100" w:beforeAutospacing="1" w:after="100" w:afterAutospacing="1"/>
      <w:textAlignment w:val="center"/>
    </w:pPr>
    <w:rPr>
      <w:sz w:val="16"/>
      <w:szCs w:val="16"/>
      <w:lang w:val="es-MX" w:eastAsia="es-MX"/>
    </w:rPr>
  </w:style>
  <w:style w:type="paragraph" w:customStyle="1" w:styleId="xl79">
    <w:name w:val="xl79"/>
    <w:basedOn w:val="Normal"/>
    <w:rsid w:val="00D17B9E"/>
    <w:pPr>
      <w:pBdr>
        <w:left w:val="single" w:sz="8" w:space="0" w:color="auto"/>
        <w:right w:val="single" w:sz="4" w:space="0" w:color="auto"/>
      </w:pBdr>
      <w:spacing w:before="100" w:beforeAutospacing="1" w:after="100" w:afterAutospacing="1"/>
      <w:textAlignment w:val="center"/>
    </w:pPr>
    <w:rPr>
      <w:sz w:val="16"/>
      <w:szCs w:val="16"/>
      <w:lang w:val="es-MX" w:eastAsia="es-MX"/>
    </w:rPr>
  </w:style>
  <w:style w:type="paragraph" w:customStyle="1" w:styleId="xl80">
    <w:name w:val="xl80"/>
    <w:basedOn w:val="Normal"/>
    <w:rsid w:val="00D17B9E"/>
    <w:pPr>
      <w:pBdr>
        <w:left w:val="single" w:sz="8" w:space="0" w:color="auto"/>
        <w:bottom w:val="single" w:sz="4" w:space="0" w:color="auto"/>
        <w:right w:val="single" w:sz="4" w:space="0" w:color="auto"/>
      </w:pBdr>
      <w:spacing w:before="100" w:beforeAutospacing="1" w:after="100" w:afterAutospacing="1"/>
      <w:textAlignment w:val="center"/>
    </w:pPr>
    <w:rPr>
      <w:sz w:val="16"/>
      <w:szCs w:val="16"/>
      <w:lang w:val="es-MX" w:eastAsia="es-MX"/>
    </w:rPr>
  </w:style>
  <w:style w:type="paragraph" w:customStyle="1" w:styleId="xl81">
    <w:name w:val="xl81"/>
    <w:basedOn w:val="Normal"/>
    <w:rsid w:val="00D17B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s-MX" w:eastAsia="es-MX"/>
    </w:rPr>
  </w:style>
  <w:style w:type="paragraph" w:customStyle="1" w:styleId="xl82">
    <w:name w:val="xl82"/>
    <w:basedOn w:val="Normal"/>
    <w:rsid w:val="00D17B9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6"/>
      <w:szCs w:val="16"/>
      <w:lang w:val="es-MX" w:eastAsia="es-MX"/>
    </w:rPr>
  </w:style>
  <w:style w:type="paragraph" w:customStyle="1" w:styleId="xl83">
    <w:name w:val="xl83"/>
    <w:basedOn w:val="Normal"/>
    <w:rsid w:val="00D17B9E"/>
    <w:pPr>
      <w:pBdr>
        <w:top w:val="single" w:sz="4" w:space="0" w:color="auto"/>
        <w:left w:val="single" w:sz="4" w:space="0" w:color="auto"/>
        <w:bottom w:val="single" w:sz="4" w:space="0" w:color="auto"/>
      </w:pBdr>
      <w:shd w:val="clear" w:color="000000" w:fill="92CDDC"/>
      <w:spacing w:before="100" w:beforeAutospacing="1" w:after="100" w:afterAutospacing="1"/>
      <w:jc w:val="center"/>
      <w:textAlignment w:val="center"/>
    </w:pPr>
    <w:rPr>
      <w:sz w:val="16"/>
      <w:szCs w:val="16"/>
      <w:lang w:val="es-MX" w:eastAsia="es-MX"/>
    </w:rPr>
  </w:style>
  <w:style w:type="paragraph" w:customStyle="1" w:styleId="xl84">
    <w:name w:val="xl84"/>
    <w:basedOn w:val="Normal"/>
    <w:rsid w:val="00D17B9E"/>
    <w:pPr>
      <w:pBdr>
        <w:top w:val="single" w:sz="4" w:space="0" w:color="auto"/>
        <w:bottom w:val="single" w:sz="4" w:space="0" w:color="auto"/>
      </w:pBdr>
      <w:shd w:val="clear" w:color="000000" w:fill="92CDDC"/>
      <w:spacing w:before="100" w:beforeAutospacing="1" w:after="100" w:afterAutospacing="1"/>
      <w:jc w:val="center"/>
      <w:textAlignment w:val="center"/>
    </w:pPr>
    <w:rPr>
      <w:sz w:val="16"/>
      <w:szCs w:val="16"/>
      <w:lang w:val="es-MX" w:eastAsia="es-MX"/>
    </w:rPr>
  </w:style>
  <w:style w:type="paragraph" w:customStyle="1" w:styleId="xl85">
    <w:name w:val="xl85"/>
    <w:basedOn w:val="Normal"/>
    <w:rsid w:val="00D17B9E"/>
    <w:pPr>
      <w:pBdr>
        <w:top w:val="single" w:sz="4" w:space="0" w:color="auto"/>
        <w:bottom w:val="single" w:sz="4" w:space="0" w:color="auto"/>
        <w:right w:val="single" w:sz="8" w:space="0" w:color="auto"/>
      </w:pBdr>
      <w:shd w:val="clear" w:color="000000" w:fill="92CDDC"/>
      <w:spacing w:before="100" w:beforeAutospacing="1" w:after="100" w:afterAutospacing="1"/>
      <w:jc w:val="center"/>
      <w:textAlignment w:val="center"/>
    </w:pPr>
    <w:rPr>
      <w:sz w:val="16"/>
      <w:szCs w:val="16"/>
      <w:lang w:val="es-MX" w:eastAsia="es-MX"/>
    </w:rPr>
  </w:style>
  <w:style w:type="paragraph" w:customStyle="1" w:styleId="xl86">
    <w:name w:val="xl86"/>
    <w:basedOn w:val="Normal"/>
    <w:rsid w:val="00D17B9E"/>
    <w:pPr>
      <w:pBdr>
        <w:top w:val="single" w:sz="4" w:space="0" w:color="auto"/>
        <w:left w:val="single" w:sz="4" w:space="0" w:color="auto"/>
        <w:bottom w:val="single" w:sz="4" w:space="0" w:color="auto"/>
      </w:pBdr>
      <w:shd w:val="clear" w:color="000000" w:fill="92CDDC"/>
      <w:spacing w:before="100" w:beforeAutospacing="1" w:after="100" w:afterAutospacing="1"/>
      <w:jc w:val="center"/>
      <w:textAlignment w:val="center"/>
    </w:pPr>
    <w:rPr>
      <w:color w:val="C00000"/>
      <w:sz w:val="16"/>
      <w:szCs w:val="16"/>
      <w:lang w:val="es-MX" w:eastAsia="es-MX"/>
    </w:rPr>
  </w:style>
  <w:style w:type="paragraph" w:customStyle="1" w:styleId="xl87">
    <w:name w:val="xl87"/>
    <w:basedOn w:val="Normal"/>
    <w:rsid w:val="00D17B9E"/>
    <w:pPr>
      <w:pBdr>
        <w:top w:val="single" w:sz="4" w:space="0" w:color="auto"/>
        <w:bottom w:val="single" w:sz="4" w:space="0" w:color="auto"/>
      </w:pBdr>
      <w:shd w:val="clear" w:color="000000" w:fill="92CDDC"/>
      <w:spacing w:before="100" w:beforeAutospacing="1" w:after="100" w:afterAutospacing="1"/>
      <w:jc w:val="center"/>
      <w:textAlignment w:val="center"/>
    </w:pPr>
    <w:rPr>
      <w:color w:val="C00000"/>
      <w:sz w:val="16"/>
      <w:szCs w:val="16"/>
      <w:lang w:val="es-MX" w:eastAsia="es-MX"/>
    </w:rPr>
  </w:style>
  <w:style w:type="paragraph" w:customStyle="1" w:styleId="xl88">
    <w:name w:val="xl88"/>
    <w:basedOn w:val="Normal"/>
    <w:rsid w:val="00D17B9E"/>
    <w:pPr>
      <w:pBdr>
        <w:top w:val="single" w:sz="4" w:space="0" w:color="auto"/>
        <w:bottom w:val="single" w:sz="4" w:space="0" w:color="auto"/>
        <w:right w:val="single" w:sz="8" w:space="0" w:color="auto"/>
      </w:pBdr>
      <w:shd w:val="clear" w:color="000000" w:fill="92CDDC"/>
      <w:spacing w:before="100" w:beforeAutospacing="1" w:after="100" w:afterAutospacing="1"/>
      <w:jc w:val="center"/>
      <w:textAlignment w:val="center"/>
    </w:pPr>
    <w:rPr>
      <w:color w:val="C00000"/>
      <w:sz w:val="16"/>
      <w:szCs w:val="16"/>
      <w:lang w:val="es-MX" w:eastAsia="es-MX"/>
    </w:rPr>
  </w:style>
  <w:style w:type="paragraph" w:customStyle="1" w:styleId="IMsj">
    <w:name w:val="I Msj"/>
    <w:basedOn w:val="INormal-tab"/>
    <w:link w:val="IMsjCar"/>
    <w:rsid w:val="00D17B9E"/>
    <w:pPr>
      <w:shd w:val="clear" w:color="auto" w:fill="D9D9D9" w:themeFill="background1" w:themeFillShade="D9"/>
      <w:spacing w:after="240"/>
      <w:jc w:val="right"/>
    </w:pPr>
    <w:rPr>
      <w:i/>
      <w:iCs/>
      <w:szCs w:val="21"/>
    </w:rPr>
  </w:style>
  <w:style w:type="paragraph" w:customStyle="1" w:styleId="IPGOyAE">
    <w:name w:val="IPG OyAE"/>
    <w:basedOn w:val="INormal-Vietas"/>
    <w:link w:val="IPGOyAECar"/>
    <w:rsid w:val="00D17B9E"/>
    <w:pPr>
      <w:numPr>
        <w:ilvl w:val="2"/>
        <w:numId w:val="4"/>
      </w:numPr>
      <w:spacing w:after="240"/>
    </w:pPr>
    <w:rPr>
      <w:b w:val="0"/>
      <w:i w:val="0"/>
      <w:color w:val="C00000"/>
    </w:rPr>
  </w:style>
  <w:style w:type="character" w:customStyle="1" w:styleId="IMsjCar">
    <w:name w:val="I Msj Car"/>
    <w:basedOn w:val="INormal-tabCar"/>
    <w:link w:val="IMsj"/>
    <w:rsid w:val="00D17B9E"/>
    <w:rPr>
      <w:rFonts w:ascii="Calibri" w:eastAsia="Batang" w:hAnsi="Calibri" w:cs="Times New Roman"/>
      <w:i/>
      <w:iCs/>
      <w:sz w:val="16"/>
      <w:szCs w:val="21"/>
      <w:shd w:val="clear" w:color="auto" w:fill="D9D9D9" w:themeFill="background1" w:themeFillShade="D9"/>
      <w:lang w:val="es-ES" w:eastAsia="es-ES"/>
    </w:rPr>
  </w:style>
  <w:style w:type="character" w:customStyle="1" w:styleId="IPGOyAECar">
    <w:name w:val="IPG OyAE Car"/>
    <w:basedOn w:val="INormal-VietasCar"/>
    <w:link w:val="IPGOyAE"/>
    <w:rsid w:val="00D17B9E"/>
    <w:rPr>
      <w:rFonts w:ascii="Calibri" w:eastAsia="Batang" w:hAnsi="Calibri" w:cs="Times New Roman"/>
      <w:b w:val="0"/>
      <w:i w:val="0"/>
      <w:color w:val="C00000"/>
      <w:sz w:val="24"/>
      <w:szCs w:val="28"/>
      <w:lang w:val="es-ES" w:eastAsia="es-ES"/>
    </w:rPr>
  </w:style>
  <w:style w:type="paragraph" w:customStyle="1" w:styleId="IPGProgramasHLS">
    <w:name w:val="IPG ProgramasHLS"/>
    <w:basedOn w:val="IPGNormal"/>
    <w:link w:val="IPGProgramasHLSCar"/>
    <w:rsid w:val="00D17B9E"/>
    <w:pPr>
      <w:numPr>
        <w:numId w:val="6"/>
      </w:numPr>
      <w:spacing w:after="240"/>
    </w:pPr>
    <w:rPr>
      <w:b/>
      <w:color w:val="002060"/>
    </w:rPr>
  </w:style>
  <w:style w:type="paragraph" w:customStyle="1" w:styleId="IPGAcc">
    <w:name w:val="IPG Acc"/>
    <w:basedOn w:val="IPGNormal"/>
    <w:link w:val="IPGAccCar"/>
    <w:rsid w:val="00D17B9E"/>
    <w:pPr>
      <w:numPr>
        <w:ilvl w:val="2"/>
        <w:numId w:val="5"/>
      </w:numPr>
    </w:pPr>
    <w:rPr>
      <w:i/>
      <w:color w:val="002060"/>
    </w:rPr>
  </w:style>
  <w:style w:type="character" w:customStyle="1" w:styleId="IPGProgramasHLSCar">
    <w:name w:val="IPG ProgramasHLS Car"/>
    <w:basedOn w:val="IPGNormalCar"/>
    <w:link w:val="IPGProgramasHLS"/>
    <w:rsid w:val="00D17B9E"/>
    <w:rPr>
      <w:rFonts w:ascii="Calibri" w:eastAsia="Batang" w:hAnsi="Calibri" w:cs="Arial"/>
      <w:b/>
      <w:color w:val="002060"/>
      <w:lang w:val="es-ES" w:eastAsia="es-ES"/>
    </w:rPr>
  </w:style>
  <w:style w:type="paragraph" w:customStyle="1" w:styleId="IPGCartera">
    <w:name w:val="IPG Cartera"/>
    <w:basedOn w:val="IPGNormal"/>
    <w:link w:val="IPGCarteraCar"/>
    <w:rsid w:val="00D17B9E"/>
    <w:pPr>
      <w:jc w:val="center"/>
    </w:pPr>
    <w:rPr>
      <w:b/>
      <w:i/>
      <w:iCs/>
    </w:rPr>
  </w:style>
  <w:style w:type="character" w:customStyle="1" w:styleId="IPGAccCar">
    <w:name w:val="IPG Acc Car"/>
    <w:basedOn w:val="IPGNormalCar"/>
    <w:link w:val="IPGAcc"/>
    <w:rsid w:val="00D17B9E"/>
    <w:rPr>
      <w:rFonts w:ascii="Calibri" w:eastAsia="Batang" w:hAnsi="Calibri" w:cs="Arial"/>
      <w:i/>
      <w:color w:val="002060"/>
      <w:lang w:val="es-ES" w:eastAsia="es-ES"/>
    </w:rPr>
  </w:style>
  <w:style w:type="character" w:customStyle="1" w:styleId="IPGCarteraCar">
    <w:name w:val="IPG Cartera Car"/>
    <w:basedOn w:val="IPGNormalCar"/>
    <w:link w:val="IPGCartera"/>
    <w:rsid w:val="00D17B9E"/>
    <w:rPr>
      <w:rFonts w:ascii="Calibri" w:eastAsia="Batang" w:hAnsi="Calibri" w:cs="Arial"/>
      <w:b/>
      <w:i/>
      <w:iCs/>
      <w:lang w:val="es-ES" w:eastAsia="es-ES"/>
    </w:rPr>
  </w:style>
  <w:style w:type="paragraph" w:customStyle="1" w:styleId="I4">
    <w:name w:val="I 4"/>
    <w:basedOn w:val="Normal"/>
    <w:link w:val="I4Car"/>
    <w:rsid w:val="00D17B9E"/>
    <w:pPr>
      <w:spacing w:before="240" w:after="240"/>
      <w:jc w:val="both"/>
    </w:pPr>
    <w:rPr>
      <w:rFonts w:ascii="Calibri" w:eastAsia="Batang" w:hAnsi="Calibri" w:cs="Arial"/>
      <w:i/>
      <w:noProof/>
      <w:color w:val="AEAAAA" w:themeColor="background2" w:themeShade="BF"/>
      <w:sz w:val="24"/>
      <w:szCs w:val="22"/>
      <w:u w:val="single"/>
      <w:lang w:val="es-US" w:eastAsia="es-MX"/>
    </w:rPr>
  </w:style>
  <w:style w:type="character" w:customStyle="1" w:styleId="I4Car">
    <w:name w:val="I 4 Car"/>
    <w:basedOn w:val="Fuentedeprrafopredeter"/>
    <w:link w:val="I4"/>
    <w:rsid w:val="00D17B9E"/>
    <w:rPr>
      <w:rFonts w:ascii="Calibri" w:eastAsia="Batang" w:hAnsi="Calibri" w:cs="Arial"/>
      <w:i/>
      <w:noProof/>
      <w:color w:val="AEAAAA" w:themeColor="background2" w:themeShade="BF"/>
      <w:sz w:val="24"/>
      <w:u w:val="single"/>
      <w:lang w:val="es-US" w:eastAsia="es-MX"/>
    </w:rPr>
  </w:style>
  <w:style w:type="paragraph" w:customStyle="1" w:styleId="IPGSubt">
    <w:name w:val="I PG Subt"/>
    <w:basedOn w:val="Textoindependiente3"/>
    <w:link w:val="IPGSubtCar"/>
    <w:rsid w:val="00D17B9E"/>
    <w:pPr>
      <w:spacing w:before="240" w:after="240"/>
      <w:jc w:val="both"/>
    </w:pPr>
    <w:rPr>
      <w:rFonts w:ascii="Calibri" w:eastAsia="Batang" w:hAnsi="Calibri" w:cs="Arial"/>
      <w:b/>
      <w:noProof/>
      <w:color w:val="806000" w:themeColor="accent4" w:themeShade="80"/>
      <w:sz w:val="28"/>
      <w:szCs w:val="14"/>
      <w:lang w:eastAsia="es-MX"/>
    </w:rPr>
  </w:style>
  <w:style w:type="character" w:customStyle="1" w:styleId="IPGSubtCar">
    <w:name w:val="I PG Subt Car"/>
    <w:basedOn w:val="Textoindependiente3Car"/>
    <w:link w:val="IPGSubt"/>
    <w:rsid w:val="00D17B9E"/>
    <w:rPr>
      <w:rFonts w:ascii="Calibri" w:eastAsia="Batang" w:hAnsi="Calibri" w:cs="Arial"/>
      <w:b/>
      <w:noProof/>
      <w:color w:val="806000" w:themeColor="accent4" w:themeShade="80"/>
      <w:sz w:val="28"/>
      <w:szCs w:val="14"/>
      <w:lang w:eastAsia="es-MX"/>
    </w:rPr>
  </w:style>
  <w:style w:type="paragraph" w:customStyle="1" w:styleId="IPGprogramasPMD">
    <w:name w:val="IPG programas PMD"/>
    <w:basedOn w:val="IPGProgramasHLS"/>
    <w:link w:val="IPGprogramasPMDCar"/>
    <w:rsid w:val="00D17B9E"/>
  </w:style>
  <w:style w:type="character" w:customStyle="1" w:styleId="IPGprogramasPMDCar">
    <w:name w:val="IPG programas PMD Car"/>
    <w:basedOn w:val="IPGProgramasHLSCar"/>
    <w:link w:val="IPGprogramasPMD"/>
    <w:rsid w:val="00D17B9E"/>
    <w:rPr>
      <w:rFonts w:ascii="Calibri" w:eastAsia="Batang" w:hAnsi="Calibri" w:cs="Arial"/>
      <w:b/>
      <w:color w:val="002060"/>
      <w:lang w:val="es-ES" w:eastAsia="es-ES"/>
    </w:rPr>
  </w:style>
  <w:style w:type="paragraph" w:customStyle="1" w:styleId="I5">
    <w:name w:val="I 5"/>
    <w:basedOn w:val="IPGSubt"/>
    <w:link w:val="I5Car"/>
    <w:rsid w:val="00D17B9E"/>
    <w:pPr>
      <w:spacing w:after="0"/>
    </w:pPr>
    <w:rPr>
      <w:rFonts w:eastAsia="Times New Roman" w:cs="Times New Roman"/>
      <w:b w:val="0"/>
      <w:bCs/>
      <w:iCs/>
    </w:rPr>
  </w:style>
  <w:style w:type="character" w:customStyle="1" w:styleId="I5Car">
    <w:name w:val="I 5 Car"/>
    <w:basedOn w:val="IPGSubtCar"/>
    <w:link w:val="I5"/>
    <w:rsid w:val="00D17B9E"/>
    <w:rPr>
      <w:rFonts w:ascii="Calibri" w:eastAsia="Times New Roman" w:hAnsi="Calibri" w:cs="Times New Roman"/>
      <w:b w:val="0"/>
      <w:bCs/>
      <w:iCs/>
      <w:noProof/>
      <w:color w:val="806000" w:themeColor="accent4" w:themeShade="80"/>
      <w:sz w:val="28"/>
      <w:szCs w:val="14"/>
      <w:lang w:eastAsia="es-MX"/>
    </w:rPr>
  </w:style>
  <w:style w:type="paragraph" w:customStyle="1" w:styleId="I1">
    <w:name w:val="I 1"/>
    <w:basedOn w:val="Normal"/>
    <w:rsid w:val="00D17B9E"/>
    <w:pPr>
      <w:spacing w:before="120" w:after="120"/>
    </w:pPr>
    <w:rPr>
      <w:rFonts w:ascii="Calibri" w:eastAsia="Batang" w:hAnsi="Calibri" w:cs="Arial"/>
      <w:b/>
      <w:noProof/>
      <w:color w:val="2F5496" w:themeColor="accent5" w:themeShade="BF"/>
      <w:sz w:val="40"/>
      <w:szCs w:val="24"/>
      <w:lang w:val="es-MX" w:eastAsia="es-MX"/>
    </w:rPr>
  </w:style>
  <w:style w:type="paragraph" w:customStyle="1" w:styleId="I2">
    <w:name w:val="I 2"/>
    <w:basedOn w:val="Normal"/>
    <w:next w:val="Normal"/>
    <w:rsid w:val="00D17B9E"/>
    <w:pPr>
      <w:spacing w:before="240" w:after="240"/>
    </w:pPr>
    <w:rPr>
      <w:rFonts w:ascii="Calibri" w:eastAsia="Batang" w:hAnsi="Calibri" w:cs="Arial"/>
      <w:b/>
      <w:color w:val="5C2E00"/>
      <w:sz w:val="32"/>
      <w:szCs w:val="24"/>
      <w:lang w:val="es-MX"/>
    </w:rPr>
  </w:style>
  <w:style w:type="paragraph" w:customStyle="1" w:styleId="I6">
    <w:name w:val="I 6"/>
    <w:basedOn w:val="IPGSubt"/>
    <w:link w:val="I6Car"/>
    <w:rsid w:val="00D17B9E"/>
    <w:pPr>
      <w:jc w:val="left"/>
    </w:pPr>
    <w:rPr>
      <w:b w:val="0"/>
      <w:i/>
    </w:rPr>
  </w:style>
  <w:style w:type="character" w:customStyle="1" w:styleId="I6Car">
    <w:name w:val="I 6 Car"/>
    <w:basedOn w:val="IPGSubtCar"/>
    <w:link w:val="I6"/>
    <w:rsid w:val="00D17B9E"/>
    <w:rPr>
      <w:rFonts w:ascii="Calibri" w:eastAsia="Batang" w:hAnsi="Calibri" w:cs="Arial"/>
      <w:b w:val="0"/>
      <w:i/>
      <w:noProof/>
      <w:color w:val="806000" w:themeColor="accent4" w:themeShade="80"/>
      <w:sz w:val="28"/>
      <w:szCs w:val="14"/>
      <w:lang w:eastAsia="es-MX"/>
    </w:rPr>
  </w:style>
  <w:style w:type="paragraph" w:customStyle="1" w:styleId="Numeracin">
    <w:name w:val="Numeración"/>
    <w:basedOn w:val="IPGNormal"/>
    <w:rsid w:val="00D17B9E"/>
    <w:pPr>
      <w:numPr>
        <w:numId w:val="8"/>
      </w:numPr>
      <w:ind w:right="284"/>
      <w:contextualSpacing/>
    </w:pPr>
    <w:rPr>
      <w:rFonts w:ascii="Arial" w:eastAsiaTheme="minorHAnsi" w:hAnsi="Arial" w:cs="Times New Roman"/>
      <w:szCs w:val="24"/>
      <w:lang w:val="es-MX"/>
    </w:rPr>
  </w:style>
  <w:style w:type="table" w:customStyle="1" w:styleId="Tabladecuadrcula4-nfasis41">
    <w:name w:val="Tabla de cuadrícula 4 - Énfasis 41"/>
    <w:basedOn w:val="Tablanormal"/>
    <w:uiPriority w:val="49"/>
    <w:rsid w:val="00D17B9E"/>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cuadrcula4-nfasis52">
    <w:name w:val="Tabla de cuadrícula 4 - Énfasis 52"/>
    <w:basedOn w:val="Tablanormal"/>
    <w:uiPriority w:val="49"/>
    <w:rsid w:val="00D17B9E"/>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aclara-nfasis2">
    <w:name w:val="Light List Accent 2"/>
    <w:basedOn w:val="Tablanormal"/>
    <w:uiPriority w:val="61"/>
    <w:rsid w:val="00D17B9E"/>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paragraph" w:customStyle="1" w:styleId="NFuentes">
    <w:name w:val="NFuentes"/>
    <w:basedOn w:val="NotaObjeto"/>
    <w:link w:val="NFuentesCar"/>
    <w:qFormat/>
    <w:rsid w:val="00D17B9E"/>
    <w:pPr>
      <w:tabs>
        <w:tab w:val="clear" w:pos="0"/>
      </w:tabs>
    </w:pPr>
    <w:rPr>
      <w:rFonts w:ascii="Cambria" w:hAnsi="Cambria"/>
      <w:color w:val="404040" w:themeColor="text1" w:themeTint="BF"/>
      <w:sz w:val="16"/>
      <w:szCs w:val="21"/>
      <w:lang w:eastAsia="es-MX"/>
    </w:rPr>
  </w:style>
  <w:style w:type="character" w:customStyle="1" w:styleId="NFuentesCar">
    <w:name w:val="NFuentes Car"/>
    <w:basedOn w:val="NotaObjetoCar"/>
    <w:link w:val="NFuentes"/>
    <w:rsid w:val="00D17B9E"/>
    <w:rPr>
      <w:rFonts w:ascii="Cambria" w:eastAsia="Times New Roman" w:hAnsi="Cambria" w:cs="Times New Roman"/>
      <w:color w:val="404040" w:themeColor="text1" w:themeTint="BF"/>
      <w:sz w:val="16"/>
      <w:szCs w:val="21"/>
      <w:lang w:val="es-ES" w:eastAsia="es-MX"/>
    </w:rPr>
  </w:style>
  <w:style w:type="table" w:customStyle="1" w:styleId="Tablaconcuadrcula3">
    <w:name w:val="Tabla con cuadrícula3"/>
    <w:basedOn w:val="Tablanormal"/>
    <w:next w:val="Tablaconcuadrcula"/>
    <w:uiPriority w:val="39"/>
    <w:rsid w:val="00D17B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39"/>
    <w:rsid w:val="00D17B9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D17B9E"/>
    <w:pPr>
      <w:spacing w:after="0" w:line="240" w:lineRule="auto"/>
    </w:pPr>
  </w:style>
  <w:style w:type="paragraph" w:customStyle="1" w:styleId="ICuadros">
    <w:name w:val="I Cuadros"/>
    <w:basedOn w:val="Normal"/>
    <w:link w:val="ICuadrosCar"/>
    <w:rsid w:val="00D17B9E"/>
    <w:pPr>
      <w:spacing w:before="120"/>
    </w:pPr>
    <w:rPr>
      <w:rFonts w:ascii="Calibri" w:hAnsi="Calibri"/>
      <w:i/>
      <w:iCs/>
      <w:noProof/>
      <w:sz w:val="18"/>
      <w:szCs w:val="16"/>
      <w:lang w:val="es-MX" w:eastAsia="es-MX"/>
    </w:rPr>
  </w:style>
  <w:style w:type="character" w:customStyle="1" w:styleId="ICuadrosCar">
    <w:name w:val="I Cuadros Car"/>
    <w:basedOn w:val="Fuentedeprrafopredeter"/>
    <w:link w:val="ICuadros"/>
    <w:rsid w:val="00D17B9E"/>
    <w:rPr>
      <w:rFonts w:ascii="Calibri" w:eastAsia="Times New Roman" w:hAnsi="Calibri" w:cs="Times New Roman"/>
      <w:i/>
      <w:iCs/>
      <w:noProof/>
      <w:sz w:val="18"/>
      <w:szCs w:val="16"/>
      <w:lang w:eastAsia="es-MX"/>
    </w:rPr>
  </w:style>
  <w:style w:type="paragraph" w:customStyle="1" w:styleId="MMTitle">
    <w:name w:val="MM Title"/>
    <w:basedOn w:val="Ttulo1"/>
    <w:link w:val="MMTitleCar"/>
    <w:rsid w:val="00D17B9E"/>
    <w:pPr>
      <w:numPr>
        <w:numId w:val="0"/>
      </w:numPr>
      <w:spacing w:before="240" w:line="259" w:lineRule="auto"/>
    </w:pPr>
    <w:rPr>
      <w:b w:val="0"/>
      <w:bCs w:val="0"/>
      <w:color w:val="2E74B5" w:themeColor="accent1" w:themeShade="BF"/>
      <w:sz w:val="32"/>
      <w:szCs w:val="32"/>
      <w:lang w:eastAsia="zh-TW"/>
    </w:rPr>
  </w:style>
  <w:style w:type="character" w:customStyle="1" w:styleId="MMTitleCar">
    <w:name w:val="MM Title Car"/>
    <w:basedOn w:val="Ttulo1Car"/>
    <w:link w:val="MMTitle"/>
    <w:rsid w:val="00D17B9E"/>
    <w:rPr>
      <w:rFonts w:asciiTheme="majorHAnsi" w:eastAsiaTheme="majorEastAsia" w:hAnsiTheme="majorHAnsi" w:cstheme="majorBidi"/>
      <w:b w:val="0"/>
      <w:bCs w:val="0"/>
      <w:color w:val="2E74B5" w:themeColor="accent1" w:themeShade="BF"/>
      <w:sz w:val="32"/>
      <w:szCs w:val="32"/>
      <w:lang w:eastAsia="zh-TW"/>
    </w:rPr>
  </w:style>
  <w:style w:type="paragraph" w:customStyle="1" w:styleId="MMTopic1">
    <w:name w:val="MM Topic 1"/>
    <w:basedOn w:val="Ttulo1"/>
    <w:link w:val="MMTopic1Car"/>
    <w:rsid w:val="00D17B9E"/>
    <w:pPr>
      <w:numPr>
        <w:numId w:val="0"/>
      </w:numPr>
      <w:spacing w:before="240" w:line="259" w:lineRule="auto"/>
    </w:pPr>
    <w:rPr>
      <w:b w:val="0"/>
      <w:bCs w:val="0"/>
      <w:color w:val="2E74B5" w:themeColor="accent1" w:themeShade="BF"/>
      <w:sz w:val="32"/>
      <w:szCs w:val="32"/>
      <w:lang w:eastAsia="zh-TW"/>
    </w:rPr>
  </w:style>
  <w:style w:type="character" w:customStyle="1" w:styleId="MMTopic1Car">
    <w:name w:val="MM Topic 1 Car"/>
    <w:basedOn w:val="Ttulo1Car"/>
    <w:link w:val="MMTopic1"/>
    <w:rsid w:val="00D17B9E"/>
    <w:rPr>
      <w:rFonts w:asciiTheme="majorHAnsi" w:eastAsiaTheme="majorEastAsia" w:hAnsiTheme="majorHAnsi" w:cstheme="majorBidi"/>
      <w:b w:val="0"/>
      <w:bCs w:val="0"/>
      <w:color w:val="2E74B5" w:themeColor="accent1" w:themeShade="BF"/>
      <w:sz w:val="32"/>
      <w:szCs w:val="32"/>
      <w:lang w:eastAsia="zh-TW"/>
    </w:rPr>
  </w:style>
  <w:style w:type="paragraph" w:customStyle="1" w:styleId="MMTopic2">
    <w:name w:val="MM Topic 2"/>
    <w:basedOn w:val="Ttulo2"/>
    <w:link w:val="MMTopic2Car"/>
    <w:rsid w:val="00D17B9E"/>
    <w:pPr>
      <w:spacing w:before="40" w:line="259" w:lineRule="auto"/>
    </w:pPr>
    <w:rPr>
      <w:b w:val="0"/>
      <w:bCs w:val="0"/>
      <w:color w:val="2E74B5" w:themeColor="accent1" w:themeShade="BF"/>
      <w:lang w:eastAsia="zh-TW"/>
    </w:rPr>
  </w:style>
  <w:style w:type="character" w:customStyle="1" w:styleId="MMTopic2Car">
    <w:name w:val="MM Topic 2 Car"/>
    <w:basedOn w:val="Ttulo2Car"/>
    <w:link w:val="MMTopic2"/>
    <w:rsid w:val="00D17B9E"/>
    <w:rPr>
      <w:rFonts w:asciiTheme="majorHAnsi" w:eastAsiaTheme="majorEastAsia" w:hAnsiTheme="majorHAnsi" w:cstheme="majorBidi"/>
      <w:b w:val="0"/>
      <w:bCs w:val="0"/>
      <w:color w:val="2E74B5" w:themeColor="accent1" w:themeShade="BF"/>
      <w:sz w:val="26"/>
      <w:szCs w:val="26"/>
      <w:lang w:eastAsia="zh-TW"/>
    </w:rPr>
  </w:style>
  <w:style w:type="paragraph" w:styleId="Textonotaalfinal">
    <w:name w:val="endnote text"/>
    <w:basedOn w:val="Normal"/>
    <w:link w:val="TextonotaalfinalCar"/>
    <w:uiPriority w:val="99"/>
    <w:unhideWhenUsed/>
    <w:rsid w:val="00D17B9E"/>
    <w:pPr>
      <w:spacing w:before="120"/>
    </w:pPr>
    <w:rPr>
      <w:rFonts w:asciiTheme="minorHAnsi" w:eastAsiaTheme="minorEastAsia" w:hAnsiTheme="minorHAnsi" w:cstheme="minorBidi"/>
      <w:sz w:val="22"/>
      <w:lang w:val="es-MX" w:eastAsia="zh-TW"/>
    </w:rPr>
  </w:style>
  <w:style w:type="character" w:customStyle="1" w:styleId="TextonotaalfinalCar">
    <w:name w:val="Texto nota al final Car"/>
    <w:basedOn w:val="Fuentedeprrafopredeter"/>
    <w:link w:val="Textonotaalfinal"/>
    <w:uiPriority w:val="99"/>
    <w:rsid w:val="00D17B9E"/>
    <w:rPr>
      <w:rFonts w:eastAsiaTheme="minorEastAsia"/>
      <w:szCs w:val="20"/>
      <w:lang w:eastAsia="zh-TW"/>
    </w:rPr>
  </w:style>
  <w:style w:type="paragraph" w:customStyle="1" w:styleId="MMNotes">
    <w:name w:val="MM Notes"/>
    <w:basedOn w:val="Textonotaalfinal"/>
    <w:link w:val="MMNotesCar"/>
    <w:rsid w:val="00D17B9E"/>
  </w:style>
  <w:style w:type="character" w:customStyle="1" w:styleId="MMNotesCar">
    <w:name w:val="MM Notes Car"/>
    <w:basedOn w:val="TextonotaalfinalCar"/>
    <w:link w:val="MMNotes"/>
    <w:rsid w:val="00D17B9E"/>
    <w:rPr>
      <w:rFonts w:eastAsiaTheme="minorEastAsia"/>
      <w:szCs w:val="20"/>
      <w:lang w:eastAsia="zh-TW"/>
    </w:rPr>
  </w:style>
  <w:style w:type="paragraph" w:customStyle="1" w:styleId="MMEmpty">
    <w:name w:val="MM Empty"/>
    <w:basedOn w:val="Normal"/>
    <w:link w:val="MMEmptyCar"/>
    <w:rsid w:val="00D17B9E"/>
    <w:pPr>
      <w:spacing w:before="120" w:after="160" w:line="259" w:lineRule="auto"/>
    </w:pPr>
    <w:rPr>
      <w:rFonts w:asciiTheme="minorHAnsi" w:eastAsiaTheme="minorEastAsia" w:hAnsiTheme="minorHAnsi" w:cstheme="minorBidi"/>
      <w:sz w:val="22"/>
      <w:szCs w:val="22"/>
      <w:lang w:val="es-MX" w:eastAsia="zh-TW"/>
    </w:rPr>
  </w:style>
  <w:style w:type="character" w:customStyle="1" w:styleId="MMEmptyCar">
    <w:name w:val="MM Empty Car"/>
    <w:basedOn w:val="Fuentedeprrafopredeter"/>
    <w:link w:val="MMEmpty"/>
    <w:rsid w:val="00D17B9E"/>
    <w:rPr>
      <w:rFonts w:eastAsiaTheme="minorEastAsia"/>
      <w:lang w:eastAsia="zh-TW"/>
    </w:rPr>
  </w:style>
  <w:style w:type="paragraph" w:customStyle="1" w:styleId="MMTopic3">
    <w:name w:val="MM Topic 3"/>
    <w:basedOn w:val="Ttulo3"/>
    <w:link w:val="MMTopic3Car"/>
    <w:rsid w:val="00D17B9E"/>
    <w:pPr>
      <w:spacing w:before="40" w:line="259" w:lineRule="auto"/>
    </w:pPr>
    <w:rPr>
      <w:b w:val="0"/>
      <w:bCs w:val="0"/>
      <w:color w:val="1F4D78" w:themeColor="accent1" w:themeShade="7F"/>
      <w:sz w:val="24"/>
      <w:szCs w:val="24"/>
      <w:lang w:eastAsia="zh-TW"/>
    </w:rPr>
  </w:style>
  <w:style w:type="character" w:customStyle="1" w:styleId="MMTopic3Car">
    <w:name w:val="MM Topic 3 Car"/>
    <w:basedOn w:val="Ttulo3Car"/>
    <w:link w:val="MMTopic3"/>
    <w:rsid w:val="00D17B9E"/>
    <w:rPr>
      <w:rFonts w:asciiTheme="majorHAnsi" w:eastAsiaTheme="majorEastAsia" w:hAnsiTheme="majorHAnsi" w:cstheme="majorBidi"/>
      <w:b w:val="0"/>
      <w:bCs w:val="0"/>
      <w:color w:val="1F4D78" w:themeColor="accent1" w:themeShade="7F"/>
      <w:sz w:val="24"/>
      <w:szCs w:val="24"/>
      <w:lang w:eastAsia="zh-TW"/>
    </w:rPr>
  </w:style>
  <w:style w:type="paragraph" w:customStyle="1" w:styleId="MMTopic4">
    <w:name w:val="MM Topic 4"/>
    <w:basedOn w:val="Ttulo4"/>
    <w:link w:val="MMTopic4Car"/>
    <w:rsid w:val="00D17B9E"/>
    <w:pPr>
      <w:widowControl/>
      <w:spacing w:before="40" w:after="0" w:line="259" w:lineRule="auto"/>
    </w:pPr>
    <w:rPr>
      <w:rFonts w:asciiTheme="majorHAnsi" w:eastAsiaTheme="majorEastAsia" w:hAnsiTheme="majorHAnsi" w:cstheme="majorBidi"/>
      <w:b w:val="0"/>
      <w:bCs w:val="0"/>
      <w:i/>
      <w:iCs/>
      <w:color w:val="2E74B5" w:themeColor="accent1" w:themeShade="BF"/>
      <w:lang w:eastAsia="zh-TW"/>
    </w:rPr>
  </w:style>
  <w:style w:type="character" w:customStyle="1" w:styleId="MMTopic4Car">
    <w:name w:val="MM Topic 4 Car"/>
    <w:basedOn w:val="Ttulo4Car"/>
    <w:link w:val="MMTopic4"/>
    <w:rsid w:val="00D17B9E"/>
    <w:rPr>
      <w:rFonts w:asciiTheme="majorHAnsi" w:eastAsiaTheme="majorEastAsia" w:hAnsiTheme="majorHAnsi" w:cstheme="majorBidi"/>
      <w:b w:val="0"/>
      <w:bCs w:val="0"/>
      <w:i/>
      <w:iCs/>
      <w:color w:val="2E74B5" w:themeColor="accent1" w:themeShade="BF"/>
      <w:sz w:val="24"/>
      <w:szCs w:val="24"/>
      <w:lang w:val="en-US" w:eastAsia="zh-TW"/>
    </w:rPr>
  </w:style>
  <w:style w:type="paragraph" w:customStyle="1" w:styleId="MMTopic5">
    <w:name w:val="MM Topic 5"/>
    <w:basedOn w:val="Ttulo5"/>
    <w:link w:val="MMTopic5Car"/>
    <w:rsid w:val="00D17B9E"/>
    <w:pPr>
      <w:widowControl/>
      <w:spacing w:before="40" w:after="0" w:line="259" w:lineRule="auto"/>
    </w:pPr>
    <w:rPr>
      <w:rFonts w:asciiTheme="majorHAnsi" w:eastAsiaTheme="majorEastAsia" w:hAnsiTheme="majorHAnsi" w:cstheme="majorBidi"/>
      <w:b w:val="0"/>
      <w:bCs w:val="0"/>
      <w:color w:val="2E74B5" w:themeColor="accent1" w:themeShade="BF"/>
      <w:lang w:eastAsia="zh-TW"/>
    </w:rPr>
  </w:style>
  <w:style w:type="character" w:customStyle="1" w:styleId="MMTopic5Car">
    <w:name w:val="MM Topic 5 Car"/>
    <w:basedOn w:val="Ttulo5Car"/>
    <w:link w:val="MMTopic5"/>
    <w:rsid w:val="00D17B9E"/>
    <w:rPr>
      <w:rFonts w:asciiTheme="majorHAnsi" w:eastAsiaTheme="majorEastAsia" w:hAnsiTheme="majorHAnsi" w:cstheme="majorBidi"/>
      <w:b w:val="0"/>
      <w:bCs w:val="0"/>
      <w:color w:val="2E74B5" w:themeColor="accent1" w:themeShade="BF"/>
      <w:lang w:val="en-US" w:eastAsia="zh-TW"/>
    </w:rPr>
  </w:style>
  <w:style w:type="paragraph" w:customStyle="1" w:styleId="MMHyperlink">
    <w:name w:val="MM Hyperlink"/>
    <w:basedOn w:val="Normal"/>
    <w:link w:val="MMHyperlinkCar"/>
    <w:rsid w:val="00D17B9E"/>
    <w:pPr>
      <w:spacing w:before="120" w:after="160" w:line="259" w:lineRule="auto"/>
    </w:pPr>
    <w:rPr>
      <w:rFonts w:asciiTheme="minorHAnsi" w:eastAsiaTheme="minorEastAsia" w:hAnsiTheme="minorHAnsi" w:cstheme="minorBidi"/>
      <w:sz w:val="22"/>
      <w:szCs w:val="22"/>
      <w:lang w:val="es-MX" w:eastAsia="zh-TW"/>
    </w:rPr>
  </w:style>
  <w:style w:type="character" w:customStyle="1" w:styleId="MMHyperlinkCar">
    <w:name w:val="MM Hyperlink Car"/>
    <w:basedOn w:val="Fuentedeprrafopredeter"/>
    <w:link w:val="MMHyperlink"/>
    <w:rsid w:val="00D17B9E"/>
    <w:rPr>
      <w:rFonts w:eastAsiaTheme="minorEastAsia"/>
      <w:lang w:eastAsia="zh-TW"/>
    </w:rPr>
  </w:style>
  <w:style w:type="paragraph" w:customStyle="1" w:styleId="IPG4Programas">
    <w:name w:val="I PG4.Programas"/>
    <w:basedOn w:val="MMTopic4"/>
    <w:link w:val="IPG4ProgramasCar"/>
    <w:rsid w:val="00D17B9E"/>
    <w:pPr>
      <w:spacing w:before="240" w:line="240" w:lineRule="auto"/>
    </w:pPr>
    <w:rPr>
      <w:b/>
      <w:sz w:val="28"/>
      <w:u w:val="single"/>
    </w:rPr>
  </w:style>
  <w:style w:type="paragraph" w:customStyle="1" w:styleId="IPG2Estrategias">
    <w:name w:val="I PG2.Estrategias"/>
    <w:basedOn w:val="MMTopic1"/>
    <w:link w:val="IPG2EstrategiasCar"/>
    <w:qFormat/>
    <w:rsid w:val="00D17B9E"/>
    <w:pPr>
      <w:spacing w:before="360" w:after="360" w:line="240" w:lineRule="auto"/>
    </w:pPr>
    <w:rPr>
      <w:rFonts w:ascii="Cambria" w:hAnsi="Cambria"/>
      <w:b/>
      <w:sz w:val="36"/>
      <w:szCs w:val="36"/>
    </w:rPr>
  </w:style>
  <w:style w:type="character" w:customStyle="1" w:styleId="IPG4ProgramasCar">
    <w:name w:val="I PG4.Programas Car"/>
    <w:basedOn w:val="MMTopic4Car"/>
    <w:link w:val="IPG4Programas"/>
    <w:rsid w:val="00D17B9E"/>
    <w:rPr>
      <w:rFonts w:asciiTheme="majorHAnsi" w:eastAsiaTheme="majorEastAsia" w:hAnsiTheme="majorHAnsi" w:cstheme="majorBidi"/>
      <w:b/>
      <w:bCs w:val="0"/>
      <w:i/>
      <w:iCs/>
      <w:color w:val="2E74B5" w:themeColor="accent1" w:themeShade="BF"/>
      <w:sz w:val="28"/>
      <w:szCs w:val="24"/>
      <w:u w:val="single"/>
      <w:lang w:val="en-US" w:eastAsia="zh-TW"/>
    </w:rPr>
  </w:style>
  <w:style w:type="character" w:customStyle="1" w:styleId="IPG2EstrategiasCar">
    <w:name w:val="I PG2.Estrategias Car"/>
    <w:basedOn w:val="MMTopic1Car"/>
    <w:link w:val="IPG2Estrategias"/>
    <w:rsid w:val="00D17B9E"/>
    <w:rPr>
      <w:rFonts w:ascii="Cambria" w:eastAsiaTheme="majorEastAsia" w:hAnsi="Cambria" w:cstheme="majorBidi"/>
      <w:b/>
      <w:bCs w:val="0"/>
      <w:color w:val="2E74B5" w:themeColor="accent1" w:themeShade="BF"/>
      <w:sz w:val="36"/>
      <w:szCs w:val="36"/>
      <w:lang w:eastAsia="zh-TW"/>
    </w:rPr>
  </w:style>
  <w:style w:type="paragraph" w:customStyle="1" w:styleId="IPG3Programas">
    <w:name w:val="I PG3.Programas"/>
    <w:basedOn w:val="MMTopic2"/>
    <w:link w:val="IPG3ProgramasCar"/>
    <w:qFormat/>
    <w:rsid w:val="00D17B9E"/>
    <w:pPr>
      <w:spacing w:before="480" w:after="240" w:line="240" w:lineRule="auto"/>
      <w:contextualSpacing/>
    </w:pPr>
    <w:rPr>
      <w:rFonts w:ascii="Cambria" w:hAnsi="Cambria"/>
      <w:b/>
      <w:color w:val="0070C0"/>
      <w:sz w:val="24"/>
      <w:u w:val="single"/>
    </w:rPr>
  </w:style>
  <w:style w:type="paragraph" w:customStyle="1" w:styleId="IPG3Estrategias">
    <w:name w:val="I PG3.Estrategias"/>
    <w:basedOn w:val="MMTopic3"/>
    <w:link w:val="IPG3EstrategiasCar"/>
    <w:rsid w:val="00D17B9E"/>
    <w:pPr>
      <w:shd w:val="clear" w:color="auto" w:fill="D0CECE" w:themeFill="background2" w:themeFillShade="E6"/>
      <w:spacing w:before="360" w:after="360" w:line="240" w:lineRule="auto"/>
    </w:pPr>
    <w:rPr>
      <w:b/>
      <w:color w:val="0070C0"/>
      <w:sz w:val="26"/>
    </w:rPr>
  </w:style>
  <w:style w:type="character" w:customStyle="1" w:styleId="IPG3ProgramasCar">
    <w:name w:val="I PG3.Programas Car"/>
    <w:basedOn w:val="MMTopic2Car"/>
    <w:link w:val="IPG3Programas"/>
    <w:rsid w:val="00D17B9E"/>
    <w:rPr>
      <w:rFonts w:ascii="Cambria" w:eastAsiaTheme="majorEastAsia" w:hAnsi="Cambria" w:cstheme="majorBidi"/>
      <w:b/>
      <w:bCs w:val="0"/>
      <w:color w:val="0070C0"/>
      <w:sz w:val="24"/>
      <w:szCs w:val="26"/>
      <w:u w:val="single"/>
      <w:lang w:eastAsia="zh-TW"/>
    </w:rPr>
  </w:style>
  <w:style w:type="character" w:customStyle="1" w:styleId="IPG3EstrategiasCar">
    <w:name w:val="I PG3.Estrategias Car"/>
    <w:basedOn w:val="MMTopic3Car"/>
    <w:link w:val="IPG3Estrategias"/>
    <w:rsid w:val="00D17B9E"/>
    <w:rPr>
      <w:rFonts w:asciiTheme="majorHAnsi" w:eastAsiaTheme="majorEastAsia" w:hAnsiTheme="majorHAnsi" w:cstheme="majorBidi"/>
      <w:b/>
      <w:bCs w:val="0"/>
      <w:color w:val="0070C0"/>
      <w:sz w:val="26"/>
      <w:szCs w:val="24"/>
      <w:shd w:val="clear" w:color="auto" w:fill="D0CECE" w:themeFill="background2" w:themeFillShade="E6"/>
      <w:lang w:eastAsia="zh-TW"/>
    </w:rPr>
  </w:style>
  <w:style w:type="paragraph" w:customStyle="1" w:styleId="IPGAccenProg">
    <w:name w:val="I PG Acc en Prog"/>
    <w:basedOn w:val="MMTopic5"/>
    <w:link w:val="IPGAccenProgCar"/>
    <w:rsid w:val="00D17B9E"/>
    <w:pPr>
      <w:spacing w:before="60" w:line="240" w:lineRule="auto"/>
    </w:pPr>
    <w:rPr>
      <w:i/>
      <w:iCs/>
      <w:color w:val="808080" w:themeColor="background1" w:themeShade="80"/>
    </w:rPr>
  </w:style>
  <w:style w:type="character" w:customStyle="1" w:styleId="IPGAccenProgCar">
    <w:name w:val="I PG Acc en Prog Car"/>
    <w:basedOn w:val="MMTopic5Car"/>
    <w:link w:val="IPGAccenProg"/>
    <w:rsid w:val="00D17B9E"/>
    <w:rPr>
      <w:rFonts w:asciiTheme="majorHAnsi" w:eastAsiaTheme="majorEastAsia" w:hAnsiTheme="majorHAnsi" w:cstheme="majorBidi"/>
      <w:b w:val="0"/>
      <w:bCs w:val="0"/>
      <w:i/>
      <w:iCs/>
      <w:color w:val="808080" w:themeColor="background1" w:themeShade="80"/>
      <w:lang w:val="en-US" w:eastAsia="zh-TW"/>
    </w:rPr>
  </w:style>
  <w:style w:type="paragraph" w:customStyle="1" w:styleId="IPGFrase">
    <w:name w:val="I PG Frase"/>
    <w:basedOn w:val="MMNotes"/>
    <w:link w:val="IPGFraseCar"/>
    <w:rsid w:val="00D17B9E"/>
    <w:pPr>
      <w:spacing w:before="60"/>
      <w:jc w:val="right"/>
    </w:pPr>
    <w:rPr>
      <w:i/>
      <w:iCs/>
      <w:color w:val="808080" w:themeColor="background1" w:themeShade="80"/>
    </w:rPr>
  </w:style>
  <w:style w:type="character" w:customStyle="1" w:styleId="IPGFraseCar">
    <w:name w:val="I PG Frase Car"/>
    <w:basedOn w:val="MMNotesCar"/>
    <w:link w:val="IPGFrase"/>
    <w:rsid w:val="00D17B9E"/>
    <w:rPr>
      <w:rFonts w:eastAsiaTheme="minorEastAsia"/>
      <w:i/>
      <w:iCs/>
      <w:color w:val="808080" w:themeColor="background1" w:themeShade="80"/>
      <w:szCs w:val="20"/>
      <w:lang w:eastAsia="zh-TW"/>
    </w:rPr>
  </w:style>
  <w:style w:type="paragraph" w:customStyle="1" w:styleId="IPG6Acciones">
    <w:name w:val="I PG6.Acciones"/>
    <w:basedOn w:val="MMNotes"/>
    <w:link w:val="IPG6AccionesCar"/>
    <w:rsid w:val="00D17B9E"/>
    <w:pPr>
      <w:numPr>
        <w:numId w:val="9"/>
      </w:numPr>
      <w:jc w:val="both"/>
    </w:pPr>
    <w:rPr>
      <w:i/>
    </w:rPr>
  </w:style>
  <w:style w:type="paragraph" w:customStyle="1" w:styleId="IPGaccEDU">
    <w:name w:val="I PG accEDU"/>
    <w:basedOn w:val="MMTopic5"/>
    <w:link w:val="IPGaccEDUCar"/>
    <w:rsid w:val="00D17B9E"/>
    <w:pPr>
      <w:numPr>
        <w:numId w:val="10"/>
      </w:numPr>
      <w:spacing w:before="60" w:line="240" w:lineRule="auto"/>
      <w:jc w:val="both"/>
    </w:pPr>
    <w:rPr>
      <w:rFonts w:ascii="Cambria" w:hAnsi="Cambria"/>
      <w:color w:val="C00000"/>
      <w:szCs w:val="20"/>
    </w:rPr>
  </w:style>
  <w:style w:type="character" w:customStyle="1" w:styleId="IPG6AccionesCar">
    <w:name w:val="I PG6.Acciones Car"/>
    <w:basedOn w:val="MMNotesCar"/>
    <w:link w:val="IPG6Acciones"/>
    <w:rsid w:val="00D17B9E"/>
    <w:rPr>
      <w:rFonts w:eastAsiaTheme="minorEastAsia"/>
      <w:i/>
      <w:szCs w:val="20"/>
      <w:lang w:eastAsia="zh-TW"/>
    </w:rPr>
  </w:style>
  <w:style w:type="character" w:customStyle="1" w:styleId="IPGaccEDUCar">
    <w:name w:val="I PG accEDU Car"/>
    <w:basedOn w:val="MMTopic5Car"/>
    <w:link w:val="IPGaccEDU"/>
    <w:rsid w:val="00D17B9E"/>
    <w:rPr>
      <w:rFonts w:ascii="Cambria" w:eastAsiaTheme="majorEastAsia" w:hAnsi="Cambria" w:cstheme="majorBidi"/>
      <w:b w:val="0"/>
      <w:bCs w:val="0"/>
      <w:color w:val="C00000"/>
      <w:szCs w:val="20"/>
      <w:lang w:val="en-US" w:eastAsia="zh-TW"/>
    </w:rPr>
  </w:style>
  <w:style w:type="paragraph" w:customStyle="1" w:styleId="IPGMontosyResp">
    <w:name w:val="I PG.Montos y Resp"/>
    <w:basedOn w:val="IPG4Programas"/>
    <w:rsid w:val="00D17B9E"/>
    <w:pPr>
      <w:spacing w:before="0"/>
    </w:pPr>
    <w:rPr>
      <w:color w:val="808080" w:themeColor="background1" w:themeShade="80"/>
      <w:sz w:val="24"/>
      <w:u w:val="none"/>
    </w:rPr>
  </w:style>
  <w:style w:type="paragraph" w:customStyle="1" w:styleId="IPGProCMontos">
    <w:name w:val="I PG.ProC Montos"/>
    <w:basedOn w:val="IPG4Programas"/>
    <w:link w:val="IPGProCMontosCar"/>
    <w:rsid w:val="00D17B9E"/>
    <w:pPr>
      <w:spacing w:before="0"/>
    </w:pPr>
    <w:rPr>
      <w:color w:val="C00000"/>
      <w:sz w:val="20"/>
    </w:rPr>
  </w:style>
  <w:style w:type="paragraph" w:customStyle="1" w:styleId="INormal">
    <w:name w:val="I Normal"/>
    <w:basedOn w:val="Normal"/>
    <w:link w:val="INormalCar"/>
    <w:qFormat/>
    <w:rsid w:val="00D17B9E"/>
    <w:pPr>
      <w:spacing w:before="240"/>
      <w:jc w:val="both"/>
    </w:pPr>
    <w:rPr>
      <w:rFonts w:ascii="Cambria" w:eastAsia="Batang" w:hAnsi="Cambria" w:cs="Arial"/>
      <w:sz w:val="24"/>
      <w:szCs w:val="22"/>
      <w:lang w:val="es-MX"/>
    </w:rPr>
  </w:style>
  <w:style w:type="character" w:customStyle="1" w:styleId="INormalCar">
    <w:name w:val="I Normal Car"/>
    <w:basedOn w:val="Fuentedeprrafopredeter"/>
    <w:link w:val="INormal"/>
    <w:rsid w:val="00D17B9E"/>
    <w:rPr>
      <w:rFonts w:ascii="Cambria" w:eastAsia="Batang" w:hAnsi="Cambria" w:cs="Arial"/>
      <w:sz w:val="24"/>
      <w:lang w:eastAsia="es-ES"/>
    </w:rPr>
  </w:style>
  <w:style w:type="paragraph" w:customStyle="1" w:styleId="IProgramas">
    <w:name w:val="I Programas"/>
    <w:basedOn w:val="MMTopic4"/>
    <w:link w:val="IProgramasCar"/>
    <w:rsid w:val="00D17B9E"/>
    <w:pPr>
      <w:spacing w:before="480" w:after="360" w:line="240" w:lineRule="auto"/>
      <w:contextualSpacing/>
    </w:pPr>
    <w:rPr>
      <w:b/>
      <w:sz w:val="28"/>
      <w:u w:val="single"/>
    </w:rPr>
  </w:style>
  <w:style w:type="paragraph" w:customStyle="1" w:styleId="IPGEjes">
    <w:name w:val="I PG.Ejes"/>
    <w:basedOn w:val="MMTopic1"/>
    <w:link w:val="IPGEjesCar"/>
    <w:rsid w:val="00D17B9E"/>
    <w:pPr>
      <w:pageBreakBefore/>
      <w:shd w:val="clear" w:color="auto" w:fill="FFE599" w:themeFill="accent4" w:themeFillTint="66"/>
      <w:spacing w:after="240" w:line="240" w:lineRule="auto"/>
    </w:pPr>
    <w:rPr>
      <w:b/>
      <w:sz w:val="56"/>
    </w:rPr>
  </w:style>
  <w:style w:type="character" w:customStyle="1" w:styleId="IProgramasCar">
    <w:name w:val="I Programas Car"/>
    <w:basedOn w:val="MMTopic4Car"/>
    <w:link w:val="IProgramas"/>
    <w:rsid w:val="00D17B9E"/>
    <w:rPr>
      <w:rFonts w:asciiTheme="majorHAnsi" w:eastAsiaTheme="majorEastAsia" w:hAnsiTheme="majorHAnsi" w:cstheme="majorBidi"/>
      <w:b/>
      <w:bCs w:val="0"/>
      <w:i/>
      <w:iCs/>
      <w:color w:val="2E74B5" w:themeColor="accent1" w:themeShade="BF"/>
      <w:sz w:val="28"/>
      <w:szCs w:val="24"/>
      <w:u w:val="single"/>
      <w:lang w:val="en-US" w:eastAsia="zh-TW"/>
    </w:rPr>
  </w:style>
  <w:style w:type="character" w:customStyle="1" w:styleId="IPGEjesCar">
    <w:name w:val="I PG.Ejes Car"/>
    <w:basedOn w:val="MMTopic1Car"/>
    <w:link w:val="IPGEjes"/>
    <w:rsid w:val="00D17B9E"/>
    <w:rPr>
      <w:rFonts w:asciiTheme="majorHAnsi" w:eastAsiaTheme="majorEastAsia" w:hAnsiTheme="majorHAnsi" w:cstheme="majorBidi"/>
      <w:b/>
      <w:bCs w:val="0"/>
      <w:color w:val="2E74B5" w:themeColor="accent1" w:themeShade="BF"/>
      <w:sz w:val="56"/>
      <w:szCs w:val="32"/>
      <w:shd w:val="clear" w:color="auto" w:fill="FFE599" w:themeFill="accent4" w:themeFillTint="66"/>
      <w:lang w:eastAsia="zh-TW"/>
    </w:rPr>
  </w:style>
  <w:style w:type="paragraph" w:customStyle="1" w:styleId="IPGObjetivos">
    <w:name w:val="I PG.Objetivos"/>
    <w:basedOn w:val="MMTopic2"/>
    <w:link w:val="IPGObjetivosCar"/>
    <w:rsid w:val="00D17B9E"/>
    <w:pPr>
      <w:shd w:val="pct12" w:color="auto" w:fill="auto"/>
      <w:spacing w:before="240" w:after="240" w:line="240" w:lineRule="auto"/>
      <w:contextualSpacing/>
    </w:pPr>
    <w:rPr>
      <w:b/>
      <w:sz w:val="40"/>
    </w:rPr>
  </w:style>
  <w:style w:type="paragraph" w:customStyle="1" w:styleId="IPGEstrategias">
    <w:name w:val="I PG.Estrategias"/>
    <w:basedOn w:val="MMTopic3"/>
    <w:link w:val="IPGEstrategiasCar"/>
    <w:rsid w:val="00D17B9E"/>
    <w:pPr>
      <w:spacing w:before="360" w:after="360" w:line="240" w:lineRule="auto"/>
    </w:pPr>
    <w:rPr>
      <w:b/>
      <w:color w:val="993300"/>
      <w:sz w:val="36"/>
    </w:rPr>
  </w:style>
  <w:style w:type="character" w:customStyle="1" w:styleId="IPGObjetivosCar">
    <w:name w:val="I PG.Objetivos Car"/>
    <w:basedOn w:val="MMTopic2Car"/>
    <w:link w:val="IPGObjetivos"/>
    <w:rsid w:val="00D17B9E"/>
    <w:rPr>
      <w:rFonts w:asciiTheme="majorHAnsi" w:eastAsiaTheme="majorEastAsia" w:hAnsiTheme="majorHAnsi" w:cstheme="majorBidi"/>
      <w:b/>
      <w:bCs w:val="0"/>
      <w:color w:val="2E74B5" w:themeColor="accent1" w:themeShade="BF"/>
      <w:sz w:val="40"/>
      <w:szCs w:val="26"/>
      <w:shd w:val="pct12" w:color="auto" w:fill="auto"/>
      <w:lang w:eastAsia="zh-TW"/>
    </w:rPr>
  </w:style>
  <w:style w:type="character" w:customStyle="1" w:styleId="IPGEstrategiasCar">
    <w:name w:val="I PG.Estrategias Car"/>
    <w:basedOn w:val="MMTopic3Car"/>
    <w:link w:val="IPGEstrategias"/>
    <w:rsid w:val="00D17B9E"/>
    <w:rPr>
      <w:rFonts w:asciiTheme="majorHAnsi" w:eastAsiaTheme="majorEastAsia" w:hAnsiTheme="majorHAnsi" w:cstheme="majorBidi"/>
      <w:b/>
      <w:bCs w:val="0"/>
      <w:color w:val="993300"/>
      <w:sz w:val="36"/>
      <w:szCs w:val="24"/>
      <w:lang w:eastAsia="zh-TW"/>
    </w:rPr>
  </w:style>
  <w:style w:type="paragraph" w:customStyle="1" w:styleId="IPGAcciones">
    <w:name w:val="I PG Acciones"/>
    <w:basedOn w:val="MMNotes"/>
    <w:link w:val="IPGAccionesCar"/>
    <w:rsid w:val="00D17B9E"/>
    <w:pPr>
      <w:spacing w:before="60"/>
      <w:ind w:left="720" w:hanging="360"/>
      <w:jc w:val="both"/>
    </w:pPr>
    <w:rPr>
      <w:color w:val="806000" w:themeColor="accent4" w:themeShade="80"/>
    </w:rPr>
  </w:style>
  <w:style w:type="character" w:customStyle="1" w:styleId="IPGAccionesCar">
    <w:name w:val="I PG Acciones Car"/>
    <w:basedOn w:val="MMNotesCar"/>
    <w:link w:val="IPGAcciones"/>
    <w:rsid w:val="00D17B9E"/>
    <w:rPr>
      <w:rFonts w:eastAsiaTheme="minorEastAsia"/>
      <w:color w:val="806000" w:themeColor="accent4" w:themeShade="80"/>
      <w:szCs w:val="20"/>
      <w:lang w:eastAsia="zh-TW"/>
    </w:rPr>
  </w:style>
  <w:style w:type="paragraph" w:customStyle="1" w:styleId="IMONTOS">
    <w:name w:val="I MONTOS"/>
    <w:basedOn w:val="IProgramas"/>
    <w:rsid w:val="00D17B9E"/>
    <w:pPr>
      <w:spacing w:before="0"/>
    </w:pPr>
    <w:rPr>
      <w:color w:val="C00000"/>
      <w:sz w:val="24"/>
      <w:u w:val="none"/>
    </w:rPr>
  </w:style>
  <w:style w:type="paragraph" w:styleId="Sangra2detindependiente">
    <w:name w:val="Body Text Indent 2"/>
    <w:basedOn w:val="Normal"/>
    <w:link w:val="Sangra2detindependienteCar"/>
    <w:uiPriority w:val="99"/>
    <w:semiHidden/>
    <w:unhideWhenUsed/>
    <w:rsid w:val="00D17B9E"/>
    <w:pPr>
      <w:spacing w:before="120" w:after="120" w:line="480" w:lineRule="auto"/>
      <w:ind w:left="283"/>
    </w:pPr>
    <w:rPr>
      <w:rFonts w:asciiTheme="minorHAnsi" w:eastAsiaTheme="minorHAnsi" w:hAnsiTheme="minorHAnsi" w:cstheme="minorBidi"/>
      <w:sz w:val="22"/>
      <w:szCs w:val="22"/>
      <w:lang w:val="es-MX" w:eastAsia="en-US"/>
    </w:rPr>
  </w:style>
  <w:style w:type="character" w:customStyle="1" w:styleId="Sangra2detindependienteCar">
    <w:name w:val="Sangría 2 de t. independiente Car"/>
    <w:basedOn w:val="Fuentedeprrafopredeter"/>
    <w:link w:val="Sangra2detindependiente"/>
    <w:uiPriority w:val="99"/>
    <w:semiHidden/>
    <w:rsid w:val="00D17B9E"/>
  </w:style>
  <w:style w:type="paragraph" w:customStyle="1" w:styleId="TtuloN4">
    <w:name w:val="Título N4"/>
    <w:basedOn w:val="TtuloN2"/>
    <w:next w:val="INormal"/>
    <w:link w:val="TtuloN4Car"/>
    <w:rsid w:val="00D17B9E"/>
    <w:pPr>
      <w:tabs>
        <w:tab w:val="clear" w:pos="8789"/>
        <w:tab w:val="right" w:leader="dot" w:pos="8828"/>
      </w:tabs>
      <w:spacing w:before="240" w:after="240"/>
      <w:ind w:right="0"/>
    </w:pPr>
    <w:rPr>
      <w:b w:val="0"/>
      <w:i/>
      <w:smallCaps w:val="0"/>
      <w:color w:val="525252" w:themeColor="accent3" w:themeShade="80"/>
      <w:sz w:val="24"/>
      <w:u w:val="single"/>
    </w:rPr>
  </w:style>
  <w:style w:type="character" w:customStyle="1" w:styleId="TtuloN4Car">
    <w:name w:val="Título N4 Car"/>
    <w:basedOn w:val="TtuloN2Car"/>
    <w:link w:val="TtuloN4"/>
    <w:rsid w:val="00D17B9E"/>
    <w:rPr>
      <w:rFonts w:ascii="Cambria" w:hAnsi="Cambria" w:cstheme="minorHAnsi"/>
      <w:b w:val="0"/>
      <w:bCs/>
      <w:i/>
      <w:smallCaps w:val="0"/>
      <w:noProof/>
      <w:color w:val="525252" w:themeColor="accent3" w:themeShade="80"/>
      <w:sz w:val="24"/>
      <w:szCs w:val="28"/>
      <w:u w:val="single"/>
    </w:rPr>
  </w:style>
  <w:style w:type="table" w:customStyle="1" w:styleId="GridTable1Light-Accent61">
    <w:name w:val="Grid Table 1 Light - Accent 61"/>
    <w:basedOn w:val="Tablanormal"/>
    <w:uiPriority w:val="46"/>
    <w:rsid w:val="00D17B9E"/>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customStyle="1" w:styleId="IPGProAResponsable">
    <w:name w:val="I PG.ProA Responsable"/>
    <w:basedOn w:val="IPGProCMontos"/>
    <w:link w:val="IPGProAResponsableCar"/>
    <w:rsid w:val="00D17B9E"/>
    <w:pPr>
      <w:spacing w:after="120"/>
    </w:pPr>
    <w:rPr>
      <w:color w:val="404040" w:themeColor="text1" w:themeTint="BF"/>
    </w:rPr>
  </w:style>
  <w:style w:type="paragraph" w:customStyle="1" w:styleId="IPGProBCorresponsables">
    <w:name w:val="I PG.ProB Corresponsables"/>
    <w:basedOn w:val="IPGProCMontos"/>
    <w:link w:val="IPGProBCorresponsablesCar"/>
    <w:rsid w:val="00D17B9E"/>
    <w:pPr>
      <w:jc w:val="center"/>
    </w:pPr>
    <w:rPr>
      <w:b w:val="0"/>
      <w:color w:val="404040" w:themeColor="text1" w:themeTint="BF"/>
    </w:rPr>
  </w:style>
  <w:style w:type="character" w:customStyle="1" w:styleId="IPGProCMontosCar">
    <w:name w:val="I PG.ProC Montos Car"/>
    <w:basedOn w:val="IPG4ProgramasCar"/>
    <w:link w:val="IPGProCMontos"/>
    <w:rsid w:val="00D17B9E"/>
    <w:rPr>
      <w:rFonts w:asciiTheme="majorHAnsi" w:eastAsiaTheme="majorEastAsia" w:hAnsiTheme="majorHAnsi" w:cstheme="majorBidi"/>
      <w:b/>
      <w:bCs w:val="0"/>
      <w:i/>
      <w:iCs/>
      <w:color w:val="C00000"/>
      <w:sz w:val="20"/>
      <w:szCs w:val="24"/>
      <w:u w:val="single"/>
      <w:lang w:val="en-US" w:eastAsia="zh-TW"/>
    </w:rPr>
  </w:style>
  <w:style w:type="character" w:customStyle="1" w:styleId="IPGProAResponsableCar">
    <w:name w:val="I PG.ProA Responsable Car"/>
    <w:basedOn w:val="IPGProCMontosCar"/>
    <w:link w:val="IPGProAResponsable"/>
    <w:rsid w:val="00D17B9E"/>
    <w:rPr>
      <w:rFonts w:asciiTheme="majorHAnsi" w:eastAsiaTheme="majorEastAsia" w:hAnsiTheme="majorHAnsi" w:cstheme="majorBidi"/>
      <w:b/>
      <w:bCs w:val="0"/>
      <w:i/>
      <w:iCs/>
      <w:color w:val="404040" w:themeColor="text1" w:themeTint="BF"/>
      <w:sz w:val="20"/>
      <w:szCs w:val="24"/>
      <w:u w:val="single"/>
      <w:lang w:val="en-US" w:eastAsia="zh-TW"/>
    </w:rPr>
  </w:style>
  <w:style w:type="paragraph" w:customStyle="1" w:styleId="IPGProDNotas">
    <w:name w:val="I PG.ProD Notas"/>
    <w:basedOn w:val="IPGProCMontos"/>
    <w:link w:val="IPGProDNotasCar"/>
    <w:rsid w:val="00D17B9E"/>
    <w:rPr>
      <w:b w:val="0"/>
      <w:color w:val="4472C4" w:themeColor="accent5"/>
    </w:rPr>
  </w:style>
  <w:style w:type="character" w:customStyle="1" w:styleId="IPGProBCorresponsablesCar">
    <w:name w:val="I PG.ProB Corresponsables Car"/>
    <w:basedOn w:val="IPGProCMontosCar"/>
    <w:link w:val="IPGProBCorresponsables"/>
    <w:rsid w:val="00D17B9E"/>
    <w:rPr>
      <w:rFonts w:asciiTheme="majorHAnsi" w:eastAsiaTheme="majorEastAsia" w:hAnsiTheme="majorHAnsi" w:cstheme="majorBidi"/>
      <w:b w:val="0"/>
      <w:bCs w:val="0"/>
      <w:i/>
      <w:iCs/>
      <w:color w:val="404040" w:themeColor="text1" w:themeTint="BF"/>
      <w:sz w:val="20"/>
      <w:szCs w:val="24"/>
      <w:u w:val="single"/>
      <w:lang w:val="en-US" w:eastAsia="zh-TW"/>
    </w:rPr>
  </w:style>
  <w:style w:type="character" w:customStyle="1" w:styleId="IPGProDNotasCar">
    <w:name w:val="I PG.ProD Notas Car"/>
    <w:basedOn w:val="IPGProCMontosCar"/>
    <w:link w:val="IPGProDNotas"/>
    <w:rsid w:val="00D17B9E"/>
    <w:rPr>
      <w:rFonts w:asciiTheme="majorHAnsi" w:eastAsiaTheme="majorEastAsia" w:hAnsiTheme="majorHAnsi" w:cstheme="majorBidi"/>
      <w:b w:val="0"/>
      <w:bCs w:val="0"/>
      <w:i/>
      <w:iCs/>
      <w:color w:val="4472C4" w:themeColor="accent5"/>
      <w:sz w:val="20"/>
      <w:szCs w:val="24"/>
      <w:u w:val="single"/>
      <w:lang w:val="en-US" w:eastAsia="zh-TW"/>
    </w:rPr>
  </w:style>
  <w:style w:type="paragraph" w:customStyle="1" w:styleId="IPGSub">
    <w:name w:val="I PG.Sub"/>
    <w:basedOn w:val="MMNotes"/>
    <w:link w:val="IPGSubCar"/>
    <w:rsid w:val="00D17B9E"/>
    <w:pPr>
      <w:snapToGrid w:val="0"/>
      <w:jc w:val="both"/>
    </w:pPr>
    <w:rPr>
      <w:b/>
      <w:i/>
      <w:color w:val="7F7F7F" w:themeColor="text1" w:themeTint="80"/>
    </w:rPr>
  </w:style>
  <w:style w:type="character" w:customStyle="1" w:styleId="IPGSubCar">
    <w:name w:val="I PG.Sub Car"/>
    <w:basedOn w:val="MMNotesCar"/>
    <w:link w:val="IPGSub"/>
    <w:rsid w:val="00D17B9E"/>
    <w:rPr>
      <w:rFonts w:eastAsiaTheme="minorEastAsia"/>
      <w:b/>
      <w:i/>
      <w:color w:val="7F7F7F" w:themeColor="text1" w:themeTint="80"/>
      <w:szCs w:val="20"/>
      <w:lang w:eastAsia="zh-TW"/>
    </w:rPr>
  </w:style>
  <w:style w:type="paragraph" w:customStyle="1" w:styleId="IPGMontos">
    <w:name w:val="I PG.Montos"/>
    <w:basedOn w:val="IPG4Programas"/>
    <w:rsid w:val="00D17B9E"/>
    <w:pPr>
      <w:spacing w:before="0"/>
    </w:pPr>
    <w:rPr>
      <w:color w:val="4472C4" w:themeColor="accent5"/>
      <w:sz w:val="24"/>
      <w:u w:val="none"/>
    </w:rPr>
  </w:style>
  <w:style w:type="character" w:styleId="nfasissutil">
    <w:name w:val="Subtle Emphasis"/>
    <w:basedOn w:val="Fuentedeprrafopredeter"/>
    <w:uiPriority w:val="19"/>
    <w:rsid w:val="00D17B9E"/>
    <w:rPr>
      <w:i/>
      <w:iCs/>
      <w:color w:val="808080" w:themeColor="text1" w:themeTint="7F"/>
    </w:rPr>
  </w:style>
  <w:style w:type="character" w:customStyle="1" w:styleId="Ninguno">
    <w:name w:val="Ninguno"/>
    <w:rsid w:val="00D17B9E"/>
    <w:rPr>
      <w:lang w:val="es-ES_tradnl"/>
    </w:rPr>
  </w:style>
  <w:style w:type="numbering" w:customStyle="1" w:styleId="Guion">
    <w:name w:val="Guion"/>
    <w:rsid w:val="00D17B9E"/>
    <w:pPr>
      <w:numPr>
        <w:numId w:val="11"/>
      </w:numPr>
    </w:pPr>
  </w:style>
  <w:style w:type="paragraph" w:customStyle="1" w:styleId="txtgral">
    <w:name w:val="txt_gral"/>
    <w:basedOn w:val="Normal"/>
    <w:rsid w:val="00D17B9E"/>
    <w:pPr>
      <w:spacing w:before="100" w:beforeAutospacing="1" w:after="100" w:afterAutospacing="1"/>
    </w:pPr>
    <w:rPr>
      <w:sz w:val="24"/>
      <w:szCs w:val="24"/>
      <w:lang w:val="es-MX" w:eastAsia="es-MX"/>
    </w:rPr>
  </w:style>
  <w:style w:type="paragraph" w:customStyle="1" w:styleId="INormalVi">
    <w:name w:val="I Normal Viñ"/>
    <w:basedOn w:val="INormal"/>
    <w:link w:val="INormalViCar"/>
    <w:rsid w:val="00D17B9E"/>
    <w:pPr>
      <w:numPr>
        <w:numId w:val="12"/>
      </w:numPr>
      <w:spacing w:before="0"/>
      <w:ind w:left="714" w:hanging="357"/>
    </w:pPr>
  </w:style>
  <w:style w:type="paragraph" w:customStyle="1" w:styleId="IPG10">
    <w:name w:val="I PG1"/>
    <w:basedOn w:val="IPG2Estrategias"/>
    <w:link w:val="IPG1Car"/>
    <w:qFormat/>
    <w:rsid w:val="00D17B9E"/>
    <w:pPr>
      <w:shd w:val="clear" w:color="auto" w:fill="F2F2F2" w:themeFill="background1" w:themeFillShade="F2"/>
      <w:contextualSpacing/>
      <w:jc w:val="both"/>
    </w:pPr>
    <w:rPr>
      <w:sz w:val="40"/>
      <w:szCs w:val="40"/>
    </w:rPr>
  </w:style>
  <w:style w:type="character" w:customStyle="1" w:styleId="INormalViCar">
    <w:name w:val="I Normal Viñ Car"/>
    <w:basedOn w:val="INormalCar"/>
    <w:link w:val="INormalVi"/>
    <w:rsid w:val="00D17B9E"/>
    <w:rPr>
      <w:rFonts w:ascii="Cambria" w:eastAsia="Batang" w:hAnsi="Cambria" w:cs="Arial"/>
      <w:sz w:val="24"/>
      <w:lang w:eastAsia="es-ES"/>
    </w:rPr>
  </w:style>
  <w:style w:type="paragraph" w:customStyle="1" w:styleId="IPG20">
    <w:name w:val="I PG2"/>
    <w:basedOn w:val="IPG3Programas"/>
    <w:link w:val="IPG2Car"/>
    <w:qFormat/>
    <w:rsid w:val="00D17B9E"/>
    <w:pPr>
      <w:spacing w:before="120" w:after="120"/>
    </w:pPr>
    <w:rPr>
      <w:sz w:val="32"/>
      <w:szCs w:val="32"/>
    </w:rPr>
  </w:style>
  <w:style w:type="character" w:customStyle="1" w:styleId="IPG1Car">
    <w:name w:val="I PG1 Car"/>
    <w:basedOn w:val="IPG2EstrategiasCar"/>
    <w:link w:val="IPG10"/>
    <w:rsid w:val="00D17B9E"/>
    <w:rPr>
      <w:rFonts w:ascii="Cambria" w:eastAsiaTheme="majorEastAsia" w:hAnsi="Cambria" w:cstheme="majorBidi"/>
      <w:b/>
      <w:bCs w:val="0"/>
      <w:color w:val="2E74B5" w:themeColor="accent1" w:themeShade="BF"/>
      <w:sz w:val="40"/>
      <w:szCs w:val="40"/>
      <w:shd w:val="clear" w:color="auto" w:fill="F2F2F2" w:themeFill="background1" w:themeFillShade="F2"/>
      <w:lang w:eastAsia="zh-TW"/>
    </w:rPr>
  </w:style>
  <w:style w:type="character" w:customStyle="1" w:styleId="IPG2Car">
    <w:name w:val="I PG2 Car"/>
    <w:basedOn w:val="IPG3ProgramasCar"/>
    <w:link w:val="IPG20"/>
    <w:rsid w:val="00D17B9E"/>
    <w:rPr>
      <w:rFonts w:ascii="Cambria" w:eastAsiaTheme="majorEastAsia" w:hAnsi="Cambria" w:cstheme="majorBidi"/>
      <w:b/>
      <w:bCs w:val="0"/>
      <w:color w:val="0070C0"/>
      <w:sz w:val="32"/>
      <w:szCs w:val="32"/>
      <w:u w:val="single"/>
      <w:lang w:eastAsia="zh-TW"/>
    </w:rPr>
  </w:style>
  <w:style w:type="paragraph" w:customStyle="1" w:styleId="IPG7AccSub">
    <w:name w:val="I PG7.AccSub"/>
    <w:basedOn w:val="IPG6Acciones"/>
    <w:link w:val="IPG7AccSubCar"/>
    <w:rsid w:val="00D17B9E"/>
    <w:pPr>
      <w:numPr>
        <w:ilvl w:val="1"/>
      </w:numPr>
      <w:spacing w:before="0"/>
    </w:pPr>
  </w:style>
  <w:style w:type="character" w:customStyle="1" w:styleId="IPG7AccSubCar">
    <w:name w:val="I PG7.AccSub Car"/>
    <w:basedOn w:val="IPG6AccionesCar"/>
    <w:link w:val="IPG7AccSub"/>
    <w:rsid w:val="00D17B9E"/>
    <w:rPr>
      <w:rFonts w:eastAsiaTheme="minorEastAsia"/>
      <w:i/>
      <w:szCs w:val="20"/>
      <w:lang w:eastAsia="zh-TW"/>
    </w:rPr>
  </w:style>
  <w:style w:type="paragraph" w:customStyle="1" w:styleId="Sinespaciado1">
    <w:name w:val="Sin espaciado1"/>
    <w:rsid w:val="00D17B9E"/>
    <w:pPr>
      <w:suppressAutoHyphens/>
      <w:spacing w:after="0" w:line="100" w:lineRule="atLeast"/>
    </w:pPr>
    <w:rPr>
      <w:rFonts w:ascii="Calibri" w:eastAsia="Arial Unicode MS" w:hAnsi="Calibri" w:cs="Calibri"/>
      <w:lang w:eastAsia="ar-SA"/>
    </w:rPr>
  </w:style>
  <w:style w:type="paragraph" w:customStyle="1" w:styleId="IPG40">
    <w:name w:val="I PG4"/>
    <w:basedOn w:val="IPGSubt"/>
    <w:link w:val="IPG4Car0"/>
    <w:qFormat/>
    <w:rsid w:val="00D17B9E"/>
    <w:pPr>
      <w:spacing w:before="120" w:after="0"/>
    </w:pPr>
    <w:rPr>
      <w:rFonts w:ascii="Cambria" w:hAnsi="Cambria"/>
      <w:i/>
      <w:color w:val="595959" w:themeColor="text1" w:themeTint="A6"/>
      <w:sz w:val="20"/>
    </w:rPr>
  </w:style>
  <w:style w:type="character" w:customStyle="1" w:styleId="IPG4Car0">
    <w:name w:val="I PG4 Car"/>
    <w:basedOn w:val="IPGSubtCar"/>
    <w:link w:val="IPG40"/>
    <w:rsid w:val="00D17B9E"/>
    <w:rPr>
      <w:rFonts w:ascii="Cambria" w:eastAsia="Batang" w:hAnsi="Cambria" w:cs="Arial"/>
      <w:b/>
      <w:i/>
      <w:noProof/>
      <w:color w:val="595959" w:themeColor="text1" w:themeTint="A6"/>
      <w:sz w:val="20"/>
      <w:szCs w:val="14"/>
      <w:lang w:eastAsia="es-MX"/>
    </w:rPr>
  </w:style>
  <w:style w:type="character" w:styleId="Referenciasutil">
    <w:name w:val="Subtle Reference"/>
    <w:basedOn w:val="Fuentedeprrafopredeter"/>
    <w:uiPriority w:val="31"/>
    <w:rsid w:val="00D17B9E"/>
    <w:rPr>
      <w:smallCaps/>
      <w:color w:val="5A5A5A" w:themeColor="text1" w:themeTint="A5"/>
    </w:rPr>
  </w:style>
  <w:style w:type="paragraph" w:customStyle="1" w:styleId="m1057222256225376316inormal">
    <w:name w:val="m_1057222256225376316inormal"/>
    <w:basedOn w:val="Normal"/>
    <w:rsid w:val="00D17B9E"/>
    <w:pPr>
      <w:spacing w:before="100" w:beforeAutospacing="1" w:after="100" w:afterAutospacing="1"/>
    </w:pPr>
    <w:rPr>
      <w:sz w:val="24"/>
      <w:szCs w:val="24"/>
      <w:lang w:val="es-MX" w:eastAsia="es-MX"/>
    </w:rPr>
  </w:style>
  <w:style w:type="paragraph" w:customStyle="1" w:styleId="IPGLnea">
    <w:name w:val="I PG Línea"/>
    <w:basedOn w:val="INormal"/>
    <w:link w:val="IPGLneaCar"/>
    <w:qFormat/>
    <w:rsid w:val="00D17B9E"/>
    <w:pPr>
      <w:spacing w:after="120"/>
    </w:pPr>
    <w:rPr>
      <w:b/>
      <w:i/>
      <w:color w:val="808080" w:themeColor="background1" w:themeShade="80"/>
      <w:sz w:val="20"/>
      <w:szCs w:val="24"/>
    </w:rPr>
  </w:style>
  <w:style w:type="paragraph" w:customStyle="1" w:styleId="IPGIndic">
    <w:name w:val="I PG Indic"/>
    <w:basedOn w:val="INormal"/>
    <w:link w:val="IPGIndicCar"/>
    <w:qFormat/>
    <w:rsid w:val="00D17B9E"/>
    <w:pPr>
      <w:numPr>
        <w:numId w:val="14"/>
      </w:numPr>
      <w:spacing w:before="0"/>
      <w:contextualSpacing/>
    </w:pPr>
    <w:rPr>
      <w:i/>
      <w:color w:val="595959" w:themeColor="text1" w:themeTint="A6"/>
      <w:sz w:val="20"/>
      <w:szCs w:val="20"/>
    </w:rPr>
  </w:style>
  <w:style w:type="character" w:customStyle="1" w:styleId="IPGLneaCar">
    <w:name w:val="I PG Línea Car"/>
    <w:basedOn w:val="INormalCar"/>
    <w:link w:val="IPGLnea"/>
    <w:rsid w:val="00D17B9E"/>
    <w:rPr>
      <w:rFonts w:ascii="Cambria" w:eastAsia="Batang" w:hAnsi="Cambria" w:cs="Arial"/>
      <w:b/>
      <w:i/>
      <w:color w:val="808080" w:themeColor="background1" w:themeShade="80"/>
      <w:sz w:val="20"/>
      <w:szCs w:val="24"/>
      <w:lang w:eastAsia="es-ES"/>
    </w:rPr>
  </w:style>
  <w:style w:type="character" w:customStyle="1" w:styleId="IPGIndicCar">
    <w:name w:val="I PG Indic Car"/>
    <w:basedOn w:val="INormalCar"/>
    <w:link w:val="IPGIndic"/>
    <w:rsid w:val="00D17B9E"/>
    <w:rPr>
      <w:rFonts w:ascii="Cambria" w:eastAsia="Batang" w:hAnsi="Cambria" w:cs="Arial"/>
      <w:i/>
      <w:color w:val="595959" w:themeColor="text1" w:themeTint="A6"/>
      <w:sz w:val="20"/>
      <w:szCs w:val="20"/>
      <w:lang w:eastAsia="es-ES"/>
    </w:rPr>
  </w:style>
  <w:style w:type="paragraph" w:customStyle="1" w:styleId="IPG2Objetivos">
    <w:name w:val="I PG2.Objetivos"/>
    <w:basedOn w:val="MMTopic2"/>
    <w:link w:val="IPG2ObjetivosCar"/>
    <w:rsid w:val="00D17B9E"/>
    <w:pPr>
      <w:spacing w:before="240" w:after="240" w:line="240" w:lineRule="auto"/>
      <w:contextualSpacing/>
    </w:pPr>
    <w:rPr>
      <w:rFonts w:ascii="Cambria" w:hAnsi="Cambria"/>
      <w:b/>
      <w:color w:val="000000" w:themeColor="text1"/>
      <w:sz w:val="32"/>
    </w:rPr>
  </w:style>
  <w:style w:type="character" w:customStyle="1" w:styleId="IPG2ObjetivosCar">
    <w:name w:val="I PG2.Objetivos Car"/>
    <w:basedOn w:val="MMTopic2Car"/>
    <w:link w:val="IPG2Objetivos"/>
    <w:rsid w:val="00D17B9E"/>
    <w:rPr>
      <w:rFonts w:ascii="Cambria" w:eastAsiaTheme="majorEastAsia" w:hAnsi="Cambria" w:cstheme="majorBidi"/>
      <w:b/>
      <w:bCs w:val="0"/>
      <w:color w:val="000000" w:themeColor="text1"/>
      <w:sz w:val="32"/>
      <w:szCs w:val="26"/>
      <w:lang w:eastAsia="zh-TW"/>
    </w:rPr>
  </w:style>
  <w:style w:type="paragraph" w:customStyle="1" w:styleId="IPG2-NODOS">
    <w:name w:val="IPG2 - NODOS"/>
    <w:basedOn w:val="IPG10"/>
    <w:link w:val="IPG2-NODOSCar"/>
    <w:qFormat/>
    <w:rsid w:val="00D17B9E"/>
  </w:style>
  <w:style w:type="paragraph" w:customStyle="1" w:styleId="TInd">
    <w:name w:val="TInd"/>
    <w:basedOn w:val="Normal"/>
    <w:link w:val="TIndCar"/>
    <w:qFormat/>
    <w:rsid w:val="00D17B9E"/>
    <w:pPr>
      <w:spacing w:before="120"/>
    </w:pPr>
    <w:rPr>
      <w:rFonts w:ascii="Cambria" w:eastAsiaTheme="minorHAnsi" w:hAnsi="Cambria" w:cstheme="minorBidi"/>
      <w:b/>
      <w:i/>
      <w:color w:val="000000"/>
      <w:szCs w:val="22"/>
      <w:lang w:val="es-MX" w:eastAsia="en-US"/>
      <w14:textFill>
        <w14:solidFill>
          <w14:srgbClr w14:val="000000">
            <w14:lumMod w14:val="50000"/>
          </w14:srgbClr>
        </w14:solidFill>
      </w14:textFill>
    </w:rPr>
  </w:style>
  <w:style w:type="character" w:customStyle="1" w:styleId="IPG2-NODOSCar">
    <w:name w:val="IPG2 - NODOS Car"/>
    <w:basedOn w:val="IPG1Car"/>
    <w:link w:val="IPG2-NODOS"/>
    <w:rsid w:val="00D17B9E"/>
    <w:rPr>
      <w:rFonts w:ascii="Cambria" w:eastAsiaTheme="majorEastAsia" w:hAnsi="Cambria" w:cstheme="majorBidi"/>
      <w:b/>
      <w:bCs w:val="0"/>
      <w:color w:val="2E74B5" w:themeColor="accent1" w:themeShade="BF"/>
      <w:sz w:val="40"/>
      <w:szCs w:val="40"/>
      <w:shd w:val="clear" w:color="auto" w:fill="F2F2F2" w:themeFill="background1" w:themeFillShade="F2"/>
      <w:lang w:eastAsia="zh-TW"/>
    </w:rPr>
  </w:style>
  <w:style w:type="character" w:customStyle="1" w:styleId="TIndCar">
    <w:name w:val="TInd Car"/>
    <w:basedOn w:val="Fuentedeprrafopredeter"/>
    <w:link w:val="TInd"/>
    <w:rsid w:val="00D17B9E"/>
    <w:rPr>
      <w:rFonts w:ascii="Cambria" w:hAnsi="Cambria"/>
      <w:b/>
      <w:i/>
      <w:color w:val="000000"/>
      <w:sz w:val="20"/>
      <w14:textFill>
        <w14:solidFill>
          <w14:srgbClr w14:val="000000">
            <w14:lumMod w14:val="50000"/>
          </w14:srgbClr>
        </w14:solidFill>
      </w14:textFill>
    </w:rPr>
  </w:style>
  <w:style w:type="paragraph" w:customStyle="1" w:styleId="IPG-Acciones">
    <w:name w:val="I PG - Acciones"/>
    <w:basedOn w:val="Normal"/>
    <w:link w:val="IPG-AccionesCar"/>
    <w:qFormat/>
    <w:rsid w:val="00D17B9E"/>
    <w:pPr>
      <w:numPr>
        <w:numId w:val="13"/>
      </w:numPr>
      <w:spacing w:before="120"/>
      <w:jc w:val="both"/>
    </w:pPr>
    <w:rPr>
      <w:rFonts w:ascii="Cambria" w:eastAsiaTheme="minorHAnsi" w:hAnsi="Cambria" w:cstheme="minorBidi"/>
      <w:sz w:val="22"/>
      <w:szCs w:val="22"/>
      <w:lang w:val="es-MX" w:eastAsia="en-US"/>
    </w:rPr>
  </w:style>
  <w:style w:type="paragraph" w:customStyle="1" w:styleId="IPG50">
    <w:name w:val="I PG 5"/>
    <w:basedOn w:val="INormal"/>
    <w:link w:val="IPG5Car0"/>
    <w:qFormat/>
    <w:rsid w:val="00D17B9E"/>
    <w:rPr>
      <w:b/>
      <w:i/>
      <w:color w:val="0D0D0D" w:themeColor="text1" w:themeTint="F2"/>
      <w:szCs w:val="24"/>
    </w:rPr>
  </w:style>
  <w:style w:type="character" w:customStyle="1" w:styleId="IPG-AccionesCar">
    <w:name w:val="I PG - Acciones Car"/>
    <w:basedOn w:val="Fuentedeprrafopredeter"/>
    <w:link w:val="IPG-Acciones"/>
    <w:rsid w:val="00D17B9E"/>
    <w:rPr>
      <w:rFonts w:ascii="Cambria" w:hAnsi="Cambria"/>
    </w:rPr>
  </w:style>
  <w:style w:type="paragraph" w:customStyle="1" w:styleId="font5">
    <w:name w:val="font5"/>
    <w:basedOn w:val="Normal"/>
    <w:rsid w:val="00D17B9E"/>
    <w:pPr>
      <w:spacing w:before="100" w:beforeAutospacing="1" w:after="100" w:afterAutospacing="1"/>
    </w:pPr>
    <w:rPr>
      <w:rFonts w:ascii="Cambria" w:hAnsi="Cambria"/>
      <w:i/>
      <w:iCs/>
      <w:color w:val="002060"/>
      <w:lang w:val="es-MX" w:eastAsia="es-MX"/>
    </w:rPr>
  </w:style>
  <w:style w:type="character" w:customStyle="1" w:styleId="IPG5Car0">
    <w:name w:val="I PG 5 Car"/>
    <w:basedOn w:val="INormalCar"/>
    <w:link w:val="IPG50"/>
    <w:rsid w:val="00D17B9E"/>
    <w:rPr>
      <w:rFonts w:ascii="Cambria" w:eastAsia="Batang" w:hAnsi="Cambria" w:cs="Arial"/>
      <w:b/>
      <w:i/>
      <w:color w:val="0D0D0D" w:themeColor="text1" w:themeTint="F2"/>
      <w:sz w:val="24"/>
      <w:szCs w:val="24"/>
      <w:lang w:eastAsia="es-ES"/>
    </w:rPr>
  </w:style>
  <w:style w:type="paragraph" w:customStyle="1" w:styleId="font6">
    <w:name w:val="font6"/>
    <w:basedOn w:val="Normal"/>
    <w:rsid w:val="00D17B9E"/>
    <w:pPr>
      <w:spacing w:before="100" w:beforeAutospacing="1" w:after="100" w:afterAutospacing="1"/>
    </w:pPr>
    <w:rPr>
      <w:color w:val="002060"/>
      <w:sz w:val="14"/>
      <w:szCs w:val="14"/>
      <w:lang w:val="es-MX" w:eastAsia="es-MX"/>
    </w:rPr>
  </w:style>
  <w:style w:type="paragraph" w:customStyle="1" w:styleId="font7">
    <w:name w:val="font7"/>
    <w:basedOn w:val="Normal"/>
    <w:rsid w:val="00D17B9E"/>
    <w:pPr>
      <w:spacing w:before="100" w:beforeAutospacing="1" w:after="100" w:afterAutospacing="1"/>
    </w:pPr>
    <w:rPr>
      <w:sz w:val="14"/>
      <w:szCs w:val="14"/>
      <w:lang w:val="es-MX" w:eastAsia="es-MX"/>
    </w:rPr>
  </w:style>
  <w:style w:type="paragraph" w:customStyle="1" w:styleId="xl65">
    <w:name w:val="xl65"/>
    <w:basedOn w:val="Normal"/>
    <w:rsid w:val="00D17B9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urier New" w:hAnsi="Courier New" w:cs="Courier New"/>
      <w:color w:val="002060"/>
      <w:lang w:val="es-MX" w:eastAsia="es-MX"/>
    </w:rPr>
  </w:style>
  <w:style w:type="table" w:customStyle="1" w:styleId="TableNormal">
    <w:name w:val="Table Normal"/>
    <w:rsid w:val="00794EB9"/>
    <w:pPr>
      <w:spacing w:after="0" w:line="276" w:lineRule="auto"/>
      <w:ind w:hanging="1"/>
    </w:pPr>
    <w:rPr>
      <w:rFonts w:ascii="Arial" w:eastAsia="Arial" w:hAnsi="Arial" w:cs="Arial"/>
      <w:lang w:eastAsia="es-MX"/>
    </w:rPr>
    <w:tblPr>
      <w:tblCellMar>
        <w:top w:w="0" w:type="dxa"/>
        <w:left w:w="0" w:type="dxa"/>
        <w:bottom w:w="0" w:type="dxa"/>
        <w:right w:w="0" w:type="dxa"/>
      </w:tblCellMar>
    </w:tblPr>
  </w:style>
  <w:style w:type="paragraph" w:customStyle="1" w:styleId="PMDTtulo2">
    <w:name w:val="PMD Título 2"/>
    <w:basedOn w:val="Normal"/>
    <w:qFormat/>
    <w:rsid w:val="00794EB9"/>
    <w:pPr>
      <w:suppressAutoHyphens/>
      <w:ind w:leftChars="-1" w:left="-1" w:hangingChars="1" w:hanging="1"/>
      <w:jc w:val="both"/>
      <w:textDirection w:val="btLr"/>
      <w:textAlignment w:val="top"/>
      <w:outlineLvl w:val="0"/>
    </w:pPr>
    <w:rPr>
      <w:rFonts w:ascii="Calibri" w:eastAsia="Arial" w:hAnsi="Calibri" w:cs="Arial"/>
      <w:b/>
      <w:color w:val="538135"/>
      <w:position w:val="-1"/>
      <w:sz w:val="32"/>
      <w:szCs w:val="40"/>
      <w:lang w:val="es-MX" w:eastAsia="es-MX"/>
    </w:rPr>
  </w:style>
  <w:style w:type="character" w:customStyle="1" w:styleId="PMDTtulo2Car">
    <w:name w:val="PMD Título 2 Car"/>
    <w:rsid w:val="00794EB9"/>
    <w:rPr>
      <w:rFonts w:ascii="Calibri" w:hAnsi="Calibri"/>
      <w:b/>
      <w:color w:val="538135"/>
      <w:w w:val="100"/>
      <w:position w:val="-1"/>
      <w:sz w:val="32"/>
      <w:szCs w:val="40"/>
      <w:effect w:val="none"/>
      <w:vertAlign w:val="baseline"/>
      <w:cs w:val="0"/>
      <w:em w:val="none"/>
    </w:rPr>
  </w:style>
  <w:style w:type="paragraph" w:customStyle="1" w:styleId="PMDNormal">
    <w:name w:val="PMD Normal"/>
    <w:basedOn w:val="Normal"/>
    <w:qFormat/>
    <w:rsid w:val="00794EB9"/>
    <w:pPr>
      <w:suppressAutoHyphens/>
      <w:ind w:leftChars="-1" w:left="-1" w:hangingChars="1" w:hanging="1"/>
      <w:jc w:val="both"/>
      <w:textDirection w:val="btLr"/>
      <w:textAlignment w:val="top"/>
      <w:outlineLvl w:val="0"/>
    </w:pPr>
    <w:rPr>
      <w:rFonts w:ascii="Calibri" w:eastAsia="Calibri" w:hAnsi="Calibri" w:cs="Calibri"/>
      <w:color w:val="002060"/>
      <w:position w:val="-1"/>
      <w:sz w:val="22"/>
      <w:szCs w:val="22"/>
      <w:lang w:val="es-MX" w:eastAsia="es-MX"/>
    </w:rPr>
  </w:style>
  <w:style w:type="character" w:customStyle="1" w:styleId="PMDNormalCar">
    <w:name w:val="PMD Normal Car"/>
    <w:rsid w:val="00794EB9"/>
    <w:rPr>
      <w:rFonts w:ascii="Calibri" w:eastAsia="Calibri" w:hAnsi="Calibri" w:cs="Calibri"/>
      <w:color w:val="002060"/>
      <w:w w:val="100"/>
      <w:position w:val="-1"/>
      <w:sz w:val="22"/>
      <w:szCs w:val="22"/>
      <w:effect w:val="none"/>
      <w:vertAlign w:val="baseline"/>
      <w:cs w:val="0"/>
      <w:em w:val="none"/>
    </w:rPr>
  </w:style>
  <w:style w:type="paragraph" w:styleId="Textoindependiente">
    <w:name w:val="Body Text"/>
    <w:basedOn w:val="Normal"/>
    <w:link w:val="TextoindependienteCar"/>
    <w:uiPriority w:val="1"/>
    <w:qFormat/>
    <w:rsid w:val="00794EB9"/>
    <w:pPr>
      <w:widowControl w:val="0"/>
      <w:suppressAutoHyphens/>
      <w:autoSpaceDE w:val="0"/>
      <w:autoSpaceDN w:val="0"/>
      <w:adjustRightInd w:val="0"/>
      <w:ind w:leftChars="-1" w:left="-1" w:hangingChars="1" w:hanging="1"/>
      <w:textDirection w:val="btLr"/>
      <w:textAlignment w:val="top"/>
      <w:outlineLvl w:val="0"/>
    </w:pPr>
    <w:rPr>
      <w:rFonts w:ascii="Calibri" w:hAnsi="Calibri" w:cs="Calibri"/>
      <w:position w:val="-1"/>
      <w:sz w:val="24"/>
      <w:szCs w:val="24"/>
      <w:lang w:val="en-US" w:eastAsia="en-US"/>
    </w:rPr>
  </w:style>
  <w:style w:type="character" w:customStyle="1" w:styleId="TextoindependienteCar">
    <w:name w:val="Texto independiente Car"/>
    <w:basedOn w:val="Fuentedeprrafopredeter"/>
    <w:link w:val="Textoindependiente"/>
    <w:uiPriority w:val="1"/>
    <w:rsid w:val="00794EB9"/>
    <w:rPr>
      <w:rFonts w:ascii="Calibri" w:eastAsia="Times New Roman" w:hAnsi="Calibri" w:cs="Calibri"/>
      <w:position w:val="-1"/>
      <w:sz w:val="24"/>
      <w:szCs w:val="24"/>
      <w:lang w:val="en-US"/>
    </w:rPr>
  </w:style>
  <w:style w:type="paragraph" w:customStyle="1" w:styleId="Captulo">
    <w:name w:val="Capítulo"/>
    <w:basedOn w:val="Normal"/>
    <w:qFormat/>
    <w:rsid w:val="00794EB9"/>
    <w:pPr>
      <w:suppressAutoHyphens/>
      <w:ind w:leftChars="-1" w:left="-1" w:hangingChars="1" w:hanging="1"/>
      <w:textDirection w:val="btLr"/>
      <w:textAlignment w:val="top"/>
      <w:outlineLvl w:val="0"/>
    </w:pPr>
    <w:rPr>
      <w:rFonts w:ascii="Calibri" w:eastAsia="Arial" w:hAnsi="Calibri" w:cs="Arial"/>
      <w:b/>
      <w:color w:val="35486D"/>
      <w:position w:val="-1"/>
      <w:sz w:val="40"/>
      <w:szCs w:val="40"/>
      <w:lang w:val="es-MX" w:eastAsia="es-MX"/>
    </w:rPr>
  </w:style>
  <w:style w:type="character" w:customStyle="1" w:styleId="CaptuloCar">
    <w:name w:val="Capítulo Car"/>
    <w:rsid w:val="00794EB9"/>
    <w:rPr>
      <w:rFonts w:ascii="Calibri" w:hAnsi="Calibri"/>
      <w:b/>
      <w:color w:val="35486D"/>
      <w:w w:val="100"/>
      <w:position w:val="-1"/>
      <w:sz w:val="40"/>
      <w:szCs w:val="40"/>
      <w:effect w:val="none"/>
      <w:vertAlign w:val="baseline"/>
      <w:cs w:val="0"/>
      <w:em w:val="none"/>
    </w:rPr>
  </w:style>
  <w:style w:type="paragraph" w:customStyle="1" w:styleId="TtuloPG">
    <w:name w:val="Título PG"/>
    <w:basedOn w:val="Normal"/>
    <w:qFormat/>
    <w:rsid w:val="00794EB9"/>
    <w:pPr>
      <w:suppressAutoHyphens/>
      <w:jc w:val="both"/>
      <w:textDirection w:val="btLr"/>
      <w:textAlignment w:val="top"/>
      <w:outlineLvl w:val="0"/>
    </w:pPr>
    <w:rPr>
      <w:rFonts w:ascii="Arial" w:eastAsia="Arial" w:hAnsi="Arial" w:cs="Arial"/>
      <w:b/>
      <w:bCs/>
      <w:color w:val="008080"/>
      <w:position w:val="-1"/>
      <w:sz w:val="32"/>
      <w:szCs w:val="24"/>
      <w:lang w:val="es-MX"/>
    </w:rPr>
  </w:style>
  <w:style w:type="character" w:customStyle="1" w:styleId="TtuloPGCar">
    <w:name w:val="Título PG Car"/>
    <w:rsid w:val="00794EB9"/>
    <w:rPr>
      <w:rFonts w:ascii="Calibri" w:hAnsi="Calibri"/>
      <w:b/>
      <w:color w:val="12928C"/>
      <w:w w:val="100"/>
      <w:position w:val="-1"/>
      <w:sz w:val="32"/>
      <w:szCs w:val="32"/>
      <w:effect w:val="none"/>
      <w:vertAlign w:val="baseline"/>
      <w:cs w:val="0"/>
      <w:em w:val="none"/>
    </w:rPr>
  </w:style>
  <w:style w:type="paragraph" w:customStyle="1" w:styleId="SubttuloPG">
    <w:name w:val="Subtítulo PG"/>
    <w:basedOn w:val="PMDTtulo2"/>
    <w:qFormat/>
    <w:rsid w:val="00794EB9"/>
    <w:rPr>
      <w:color w:val="ED7D31"/>
      <w:sz w:val="28"/>
      <w:szCs w:val="28"/>
    </w:rPr>
  </w:style>
  <w:style w:type="character" w:customStyle="1" w:styleId="SubttuloPGCar">
    <w:name w:val="Subtítulo PG Car"/>
    <w:rsid w:val="00794EB9"/>
    <w:rPr>
      <w:rFonts w:ascii="Calibri" w:hAnsi="Calibri"/>
      <w:b/>
      <w:color w:val="ED7D31"/>
      <w:w w:val="100"/>
      <w:position w:val="-1"/>
      <w:sz w:val="28"/>
      <w:szCs w:val="28"/>
      <w:effect w:val="none"/>
      <w:vertAlign w:val="baseline"/>
      <w:cs w:val="0"/>
      <w:em w:val="none"/>
    </w:rPr>
  </w:style>
  <w:style w:type="numbering" w:customStyle="1" w:styleId="Estiloimportado1">
    <w:name w:val="Estilo importado 1"/>
    <w:rsid w:val="00794EB9"/>
    <w:pPr>
      <w:numPr>
        <w:numId w:val="15"/>
      </w:numPr>
    </w:pPr>
  </w:style>
  <w:style w:type="numbering" w:customStyle="1" w:styleId="Estiloimportado2">
    <w:name w:val="Estilo importado 2"/>
    <w:rsid w:val="00794EB9"/>
    <w:pPr>
      <w:numPr>
        <w:numId w:val="16"/>
      </w:numPr>
    </w:pPr>
  </w:style>
  <w:style w:type="paragraph" w:customStyle="1" w:styleId="msonormal0">
    <w:name w:val="msonormal"/>
    <w:basedOn w:val="Normal"/>
    <w:rsid w:val="00794EB9"/>
    <w:pPr>
      <w:spacing w:before="100" w:beforeAutospacing="1" w:after="100" w:afterAutospacing="1"/>
    </w:pPr>
    <w:rPr>
      <w:sz w:val="24"/>
      <w:szCs w:val="24"/>
      <w:lang w:val="es-MX" w:eastAsia="es-MX"/>
    </w:rPr>
  </w:style>
  <w:style w:type="paragraph" w:customStyle="1" w:styleId="xl63">
    <w:name w:val="xl63"/>
    <w:basedOn w:val="Normal"/>
    <w:rsid w:val="00794EB9"/>
    <w:pPr>
      <w:spacing w:before="100" w:beforeAutospacing="1" w:after="100" w:afterAutospacing="1"/>
      <w:jc w:val="center"/>
      <w:textAlignment w:val="center"/>
    </w:pPr>
    <w:rPr>
      <w:sz w:val="18"/>
      <w:szCs w:val="18"/>
      <w:lang w:val="es-MX" w:eastAsia="es-MX"/>
    </w:rPr>
  </w:style>
  <w:style w:type="paragraph" w:customStyle="1" w:styleId="xl64">
    <w:name w:val="xl64"/>
    <w:basedOn w:val="Normal"/>
    <w:rsid w:val="00794EB9"/>
    <w:pPr>
      <w:pBdr>
        <w:top w:val="single" w:sz="4" w:space="0" w:color="auto"/>
        <w:left w:val="single" w:sz="4" w:space="0" w:color="auto"/>
        <w:bottom w:val="single" w:sz="4" w:space="0" w:color="auto"/>
        <w:right w:val="single" w:sz="4" w:space="0" w:color="auto"/>
      </w:pBdr>
      <w:shd w:val="clear" w:color="000000" w:fill="2D466D"/>
      <w:spacing w:before="100" w:beforeAutospacing="1" w:after="100" w:afterAutospacing="1"/>
      <w:jc w:val="center"/>
      <w:textAlignment w:val="center"/>
    </w:pPr>
    <w:rPr>
      <w:rFonts w:ascii="Arial" w:hAnsi="Arial" w:cs="Arial"/>
      <w:b/>
      <w:bCs/>
      <w:color w:val="FFFFFF"/>
      <w:sz w:val="18"/>
      <w:szCs w:val="18"/>
      <w:lang w:val="es-MX" w:eastAsia="es-MX"/>
    </w:rPr>
  </w:style>
  <w:style w:type="table" w:customStyle="1" w:styleId="TableNormal2">
    <w:name w:val="Table Normal2"/>
    <w:rsid w:val="00794EB9"/>
    <w:pPr>
      <w:spacing w:after="0" w:line="276" w:lineRule="auto"/>
      <w:ind w:hanging="1"/>
    </w:pPr>
    <w:rPr>
      <w:rFonts w:ascii="Arial" w:eastAsia="Arial" w:hAnsi="Arial" w:cs="Arial"/>
      <w:lang w:eastAsia="es-MX"/>
    </w:rPr>
    <w:tblPr>
      <w:tblCellMar>
        <w:top w:w="0" w:type="dxa"/>
        <w:left w:w="0" w:type="dxa"/>
        <w:bottom w:w="0" w:type="dxa"/>
        <w:right w:w="0" w:type="dxa"/>
      </w:tblCellMar>
    </w:tblPr>
  </w:style>
  <w:style w:type="table" w:customStyle="1" w:styleId="TableNormal1">
    <w:name w:val="Table Normal1"/>
    <w:next w:val="TableNormal2"/>
    <w:rsid w:val="00794EB9"/>
    <w:pPr>
      <w:suppressAutoHyphens/>
      <w:spacing w:after="0" w:line="276" w:lineRule="auto"/>
      <w:ind w:leftChars="-1" w:left="-1" w:hangingChars="1" w:hanging="1"/>
      <w:textDirection w:val="btLr"/>
      <w:textAlignment w:val="top"/>
      <w:outlineLvl w:val="0"/>
    </w:pPr>
    <w:rPr>
      <w:rFonts w:ascii="Arial" w:eastAsia="Arial" w:hAnsi="Arial" w:cs="Arial"/>
      <w:position w:val="-1"/>
      <w:lang w:eastAsia="es-ES"/>
    </w:rPr>
    <w:tblPr>
      <w:tblCellMar>
        <w:top w:w="0" w:type="dxa"/>
        <w:left w:w="0" w:type="dxa"/>
        <w:bottom w:w="0" w:type="dxa"/>
        <w:right w:w="0" w:type="dxa"/>
      </w:tblCellMar>
    </w:tblPr>
  </w:style>
  <w:style w:type="table" w:customStyle="1" w:styleId="24">
    <w:name w:val="24"/>
    <w:basedOn w:val="TableNormal1"/>
    <w:rsid w:val="00794EB9"/>
    <w:tblPr>
      <w:tblStyleRowBandSize w:val="1"/>
      <w:tblStyleColBandSize w:val="1"/>
      <w:tblCellMar>
        <w:top w:w="100" w:type="dxa"/>
        <w:left w:w="100" w:type="dxa"/>
        <w:bottom w:w="100" w:type="dxa"/>
        <w:right w:w="100" w:type="dxa"/>
      </w:tblCellMar>
    </w:tblPr>
  </w:style>
  <w:style w:type="table" w:customStyle="1" w:styleId="23">
    <w:name w:val="23"/>
    <w:basedOn w:val="TableNormal1"/>
    <w:rsid w:val="00794EB9"/>
    <w:tblPr>
      <w:tblStyleRowBandSize w:val="1"/>
      <w:tblStyleColBandSize w:val="1"/>
      <w:tblCellMar>
        <w:top w:w="100" w:type="dxa"/>
        <w:left w:w="100" w:type="dxa"/>
        <w:bottom w:w="100" w:type="dxa"/>
        <w:right w:w="100" w:type="dxa"/>
      </w:tblCellMar>
    </w:tblPr>
  </w:style>
  <w:style w:type="table" w:customStyle="1" w:styleId="22">
    <w:name w:val="22"/>
    <w:basedOn w:val="TableNormal1"/>
    <w:rsid w:val="00794EB9"/>
    <w:tblPr>
      <w:tblStyleRowBandSize w:val="1"/>
      <w:tblStyleColBandSize w:val="1"/>
      <w:tblCellMar>
        <w:top w:w="100" w:type="dxa"/>
        <w:left w:w="100" w:type="dxa"/>
        <w:bottom w:w="100" w:type="dxa"/>
        <w:right w:w="100" w:type="dxa"/>
      </w:tblCellMar>
    </w:tblPr>
  </w:style>
  <w:style w:type="table" w:customStyle="1" w:styleId="21">
    <w:name w:val="21"/>
    <w:basedOn w:val="TableNormal1"/>
    <w:rsid w:val="00794EB9"/>
    <w:tblPr>
      <w:tblStyleRowBandSize w:val="1"/>
      <w:tblStyleColBandSize w:val="1"/>
      <w:tblCellMar>
        <w:top w:w="100" w:type="dxa"/>
        <w:left w:w="100" w:type="dxa"/>
        <w:bottom w:w="100" w:type="dxa"/>
        <w:right w:w="100" w:type="dxa"/>
      </w:tblCellMar>
    </w:tblPr>
  </w:style>
  <w:style w:type="table" w:customStyle="1" w:styleId="20">
    <w:name w:val="20"/>
    <w:basedOn w:val="TableNormal1"/>
    <w:rsid w:val="00794EB9"/>
    <w:tblPr>
      <w:tblStyleRowBandSize w:val="1"/>
      <w:tblStyleColBandSize w:val="1"/>
      <w:tblCellMar>
        <w:top w:w="100" w:type="dxa"/>
        <w:left w:w="100" w:type="dxa"/>
        <w:bottom w:w="100" w:type="dxa"/>
        <w:right w:w="100" w:type="dxa"/>
      </w:tblCellMar>
    </w:tblPr>
  </w:style>
  <w:style w:type="table" w:customStyle="1" w:styleId="19">
    <w:name w:val="19"/>
    <w:basedOn w:val="TableNormal1"/>
    <w:rsid w:val="00794EB9"/>
    <w:tblPr>
      <w:tblStyleRowBandSize w:val="1"/>
      <w:tblStyleColBandSize w:val="1"/>
      <w:tblCellMar>
        <w:top w:w="100" w:type="dxa"/>
        <w:left w:w="100" w:type="dxa"/>
        <w:bottom w:w="100" w:type="dxa"/>
        <w:right w:w="100" w:type="dxa"/>
      </w:tblCellMar>
    </w:tblPr>
  </w:style>
  <w:style w:type="table" w:customStyle="1" w:styleId="18">
    <w:name w:val="18"/>
    <w:basedOn w:val="TableNormal1"/>
    <w:rsid w:val="00794EB9"/>
    <w:tblPr>
      <w:tblStyleRowBandSize w:val="1"/>
      <w:tblStyleColBandSize w:val="1"/>
      <w:tblCellMar>
        <w:top w:w="100" w:type="dxa"/>
        <w:left w:w="100" w:type="dxa"/>
        <w:bottom w:w="100" w:type="dxa"/>
        <w:right w:w="100" w:type="dxa"/>
      </w:tblCellMar>
    </w:tblPr>
  </w:style>
  <w:style w:type="table" w:customStyle="1" w:styleId="17">
    <w:name w:val="17"/>
    <w:basedOn w:val="TableNormal1"/>
    <w:rsid w:val="00794EB9"/>
    <w:tblPr>
      <w:tblStyleRowBandSize w:val="1"/>
      <w:tblStyleColBandSize w:val="1"/>
      <w:tblCellMar>
        <w:top w:w="100" w:type="dxa"/>
        <w:left w:w="100" w:type="dxa"/>
        <w:bottom w:w="100" w:type="dxa"/>
        <w:right w:w="100" w:type="dxa"/>
      </w:tblCellMar>
    </w:tblPr>
  </w:style>
  <w:style w:type="table" w:customStyle="1" w:styleId="16">
    <w:name w:val="16"/>
    <w:basedOn w:val="TableNormal1"/>
    <w:rsid w:val="00794EB9"/>
    <w:tblPr>
      <w:tblStyleRowBandSize w:val="1"/>
      <w:tblStyleColBandSize w:val="1"/>
      <w:tblCellMar>
        <w:top w:w="100" w:type="dxa"/>
        <w:left w:w="100" w:type="dxa"/>
        <w:bottom w:w="100" w:type="dxa"/>
        <w:right w:w="100" w:type="dxa"/>
      </w:tblCellMar>
    </w:tblPr>
  </w:style>
  <w:style w:type="table" w:customStyle="1" w:styleId="15">
    <w:name w:val="15"/>
    <w:basedOn w:val="TableNormal1"/>
    <w:rsid w:val="00794EB9"/>
    <w:tblPr>
      <w:tblStyleRowBandSize w:val="1"/>
      <w:tblStyleColBandSize w:val="1"/>
      <w:tblCellMar>
        <w:top w:w="100" w:type="dxa"/>
        <w:left w:w="100" w:type="dxa"/>
        <w:bottom w:w="100" w:type="dxa"/>
        <w:right w:w="100" w:type="dxa"/>
      </w:tblCellMar>
    </w:tblPr>
  </w:style>
  <w:style w:type="table" w:customStyle="1" w:styleId="14">
    <w:name w:val="14"/>
    <w:basedOn w:val="TableNormal1"/>
    <w:rsid w:val="00794EB9"/>
    <w:tblPr>
      <w:tblStyleRowBandSize w:val="1"/>
      <w:tblStyleColBandSize w:val="1"/>
      <w:tblCellMar>
        <w:top w:w="100" w:type="dxa"/>
        <w:left w:w="100" w:type="dxa"/>
        <w:bottom w:w="100" w:type="dxa"/>
        <w:right w:w="100" w:type="dxa"/>
      </w:tblCellMar>
    </w:tblPr>
  </w:style>
  <w:style w:type="table" w:customStyle="1" w:styleId="13">
    <w:name w:val="13"/>
    <w:basedOn w:val="TableNormal1"/>
    <w:rsid w:val="00794EB9"/>
    <w:tblPr>
      <w:tblStyleRowBandSize w:val="1"/>
      <w:tblStyleColBandSize w:val="1"/>
      <w:tblCellMar>
        <w:top w:w="100" w:type="dxa"/>
        <w:left w:w="100" w:type="dxa"/>
        <w:bottom w:w="100" w:type="dxa"/>
        <w:right w:w="100" w:type="dxa"/>
      </w:tblCellMar>
    </w:tblPr>
  </w:style>
  <w:style w:type="table" w:customStyle="1" w:styleId="12">
    <w:name w:val="12"/>
    <w:basedOn w:val="TableNormal1"/>
    <w:rsid w:val="00794EB9"/>
    <w:tblPr>
      <w:tblStyleRowBandSize w:val="1"/>
      <w:tblStyleColBandSize w:val="1"/>
      <w:tblCellMar>
        <w:top w:w="100" w:type="dxa"/>
        <w:left w:w="100" w:type="dxa"/>
        <w:bottom w:w="100" w:type="dxa"/>
        <w:right w:w="100" w:type="dxa"/>
      </w:tblCellMar>
    </w:tblPr>
  </w:style>
  <w:style w:type="table" w:customStyle="1" w:styleId="11">
    <w:name w:val="11"/>
    <w:basedOn w:val="TableNormal2"/>
    <w:rsid w:val="00794EB9"/>
    <w:tblPr>
      <w:tblStyleRowBandSize w:val="1"/>
      <w:tblStyleColBandSize w:val="1"/>
      <w:tblCellMar>
        <w:top w:w="100" w:type="dxa"/>
        <w:left w:w="100" w:type="dxa"/>
        <w:bottom w:w="100" w:type="dxa"/>
        <w:right w:w="100" w:type="dxa"/>
      </w:tblCellMar>
    </w:tblPr>
  </w:style>
  <w:style w:type="table" w:customStyle="1" w:styleId="10">
    <w:name w:val="10"/>
    <w:basedOn w:val="TableNormal2"/>
    <w:rsid w:val="00794EB9"/>
    <w:tblPr>
      <w:tblStyleRowBandSize w:val="1"/>
      <w:tblStyleColBandSize w:val="1"/>
      <w:tblCellMar>
        <w:top w:w="100" w:type="dxa"/>
        <w:left w:w="100" w:type="dxa"/>
        <w:bottom w:w="100" w:type="dxa"/>
        <w:right w:w="100" w:type="dxa"/>
      </w:tblCellMar>
    </w:tblPr>
  </w:style>
  <w:style w:type="table" w:customStyle="1" w:styleId="9">
    <w:name w:val="9"/>
    <w:basedOn w:val="TableNormal2"/>
    <w:rsid w:val="00794EB9"/>
    <w:tblPr>
      <w:tblStyleRowBandSize w:val="1"/>
      <w:tblStyleColBandSize w:val="1"/>
      <w:tblCellMar>
        <w:top w:w="100" w:type="dxa"/>
        <w:left w:w="100" w:type="dxa"/>
        <w:bottom w:w="100" w:type="dxa"/>
        <w:right w:w="100" w:type="dxa"/>
      </w:tblCellMar>
    </w:tblPr>
  </w:style>
  <w:style w:type="table" w:customStyle="1" w:styleId="8">
    <w:name w:val="8"/>
    <w:basedOn w:val="TableNormal2"/>
    <w:rsid w:val="00794EB9"/>
    <w:tblPr>
      <w:tblStyleRowBandSize w:val="1"/>
      <w:tblStyleColBandSize w:val="1"/>
      <w:tblCellMar>
        <w:top w:w="100" w:type="dxa"/>
        <w:left w:w="100" w:type="dxa"/>
        <w:bottom w:w="100" w:type="dxa"/>
        <w:right w:w="100" w:type="dxa"/>
      </w:tblCellMar>
    </w:tblPr>
  </w:style>
  <w:style w:type="table" w:customStyle="1" w:styleId="7">
    <w:name w:val="7"/>
    <w:basedOn w:val="TableNormal2"/>
    <w:rsid w:val="00794EB9"/>
    <w:tblPr>
      <w:tblStyleRowBandSize w:val="1"/>
      <w:tblStyleColBandSize w:val="1"/>
      <w:tblCellMar>
        <w:top w:w="100" w:type="dxa"/>
        <w:left w:w="100" w:type="dxa"/>
        <w:bottom w:w="100" w:type="dxa"/>
        <w:right w:w="100" w:type="dxa"/>
      </w:tblCellMar>
    </w:tblPr>
  </w:style>
  <w:style w:type="table" w:customStyle="1" w:styleId="6">
    <w:name w:val="6"/>
    <w:basedOn w:val="TableNormal2"/>
    <w:rsid w:val="00794EB9"/>
    <w:tblPr>
      <w:tblStyleRowBandSize w:val="1"/>
      <w:tblStyleColBandSize w:val="1"/>
      <w:tblCellMar>
        <w:top w:w="100" w:type="dxa"/>
        <w:left w:w="100" w:type="dxa"/>
        <w:bottom w:w="100" w:type="dxa"/>
        <w:right w:w="100" w:type="dxa"/>
      </w:tblCellMar>
    </w:tblPr>
  </w:style>
  <w:style w:type="table" w:customStyle="1" w:styleId="5">
    <w:name w:val="5"/>
    <w:basedOn w:val="TableNormal2"/>
    <w:rsid w:val="00794EB9"/>
    <w:tblPr>
      <w:tblStyleRowBandSize w:val="1"/>
      <w:tblStyleColBandSize w:val="1"/>
      <w:tblCellMar>
        <w:top w:w="100" w:type="dxa"/>
        <w:left w:w="100" w:type="dxa"/>
        <w:bottom w:w="100" w:type="dxa"/>
        <w:right w:w="100" w:type="dxa"/>
      </w:tblCellMar>
    </w:tblPr>
  </w:style>
  <w:style w:type="table" w:customStyle="1" w:styleId="4">
    <w:name w:val="4"/>
    <w:basedOn w:val="TableNormal2"/>
    <w:rsid w:val="00794EB9"/>
    <w:tblPr>
      <w:tblStyleRowBandSize w:val="1"/>
      <w:tblStyleColBandSize w:val="1"/>
      <w:tblCellMar>
        <w:top w:w="100" w:type="dxa"/>
        <w:left w:w="100" w:type="dxa"/>
        <w:bottom w:w="100" w:type="dxa"/>
        <w:right w:w="100" w:type="dxa"/>
      </w:tblCellMar>
    </w:tblPr>
  </w:style>
  <w:style w:type="table" w:customStyle="1" w:styleId="3">
    <w:name w:val="3"/>
    <w:basedOn w:val="TableNormal2"/>
    <w:rsid w:val="00794EB9"/>
    <w:tblPr>
      <w:tblStyleRowBandSize w:val="1"/>
      <w:tblStyleColBandSize w:val="1"/>
      <w:tblCellMar>
        <w:top w:w="100" w:type="dxa"/>
        <w:left w:w="100" w:type="dxa"/>
        <w:bottom w:w="100" w:type="dxa"/>
        <w:right w:w="100" w:type="dxa"/>
      </w:tblCellMar>
    </w:tblPr>
  </w:style>
  <w:style w:type="table" w:customStyle="1" w:styleId="2">
    <w:name w:val="2"/>
    <w:basedOn w:val="TableNormal2"/>
    <w:rsid w:val="00794EB9"/>
    <w:tblPr>
      <w:tblStyleRowBandSize w:val="1"/>
      <w:tblStyleColBandSize w:val="1"/>
      <w:tblCellMar>
        <w:top w:w="100" w:type="dxa"/>
        <w:left w:w="100" w:type="dxa"/>
        <w:bottom w:w="100" w:type="dxa"/>
        <w:right w:w="100" w:type="dxa"/>
      </w:tblCellMar>
    </w:tblPr>
  </w:style>
  <w:style w:type="table" w:customStyle="1" w:styleId="1">
    <w:name w:val="1"/>
    <w:basedOn w:val="TableNormal2"/>
    <w:rsid w:val="00794EB9"/>
    <w:tblPr>
      <w:tblStyleRowBandSize w:val="1"/>
      <w:tblStyleColBandSize w:val="1"/>
      <w:tblCellMar>
        <w:top w:w="100" w:type="dxa"/>
        <w:left w:w="100" w:type="dxa"/>
        <w:bottom w:w="100" w:type="dxa"/>
        <w:right w:w="100" w:type="dxa"/>
      </w:tblCellMar>
    </w:tblPr>
  </w:style>
  <w:style w:type="paragraph" w:customStyle="1" w:styleId="PoromisinA">
    <w:name w:val="Por omisión A"/>
    <w:uiPriority w:val="99"/>
    <w:semiHidden/>
    <w:rsid w:val="00794EB9"/>
    <w:pPr>
      <w:spacing w:after="0" w:line="240" w:lineRule="auto"/>
    </w:pPr>
    <w:rPr>
      <w:rFonts w:ascii="Helvetica Neue" w:eastAsia="Arial Unicode MS" w:hAnsi="Helvetica Neue" w:cs="Arial Unicode MS"/>
      <w:color w:val="000000"/>
      <w:u w:color="000000"/>
      <w:lang w:val="es-ES_tradnl" w:eastAsia="es-ES_tradnl"/>
    </w:rPr>
  </w:style>
  <w:style w:type="paragraph" w:customStyle="1" w:styleId="TtuloPG2">
    <w:name w:val="Título PG 2"/>
    <w:basedOn w:val="Normal"/>
    <w:link w:val="TtuloPG2Car"/>
    <w:qFormat/>
    <w:rsid w:val="00794EB9"/>
    <w:pPr>
      <w:suppressAutoHyphens/>
      <w:ind w:leftChars="-1" w:left="-1" w:hangingChars="1" w:hanging="2"/>
      <w:textDirection w:val="btLr"/>
      <w:textAlignment w:val="top"/>
      <w:outlineLvl w:val="0"/>
    </w:pPr>
    <w:rPr>
      <w:rFonts w:ascii="Arial" w:eastAsia="Arial" w:hAnsi="Arial" w:cs="Arial"/>
      <w:b/>
      <w:color w:val="002060"/>
      <w:position w:val="-1"/>
      <w:sz w:val="24"/>
      <w:szCs w:val="24"/>
      <w:lang w:val="es-MX"/>
    </w:rPr>
  </w:style>
  <w:style w:type="character" w:customStyle="1" w:styleId="TtuloPG2Car">
    <w:name w:val="Título PG 2 Car"/>
    <w:basedOn w:val="Fuentedeprrafopredeter"/>
    <w:link w:val="TtuloPG2"/>
    <w:rsid w:val="00794EB9"/>
    <w:rPr>
      <w:rFonts w:ascii="Arial" w:eastAsia="Arial" w:hAnsi="Arial" w:cs="Arial"/>
      <w:b/>
      <w:color w:val="002060"/>
      <w:position w:val="-1"/>
      <w:sz w:val="24"/>
      <w:szCs w:val="24"/>
      <w:lang w:eastAsia="es-ES"/>
    </w:rPr>
  </w:style>
  <w:style w:type="paragraph" w:customStyle="1" w:styleId="PGAcciones">
    <w:name w:val="PG Acciones"/>
    <w:basedOn w:val="Prrafodelista"/>
    <w:link w:val="PGAccionesCar"/>
    <w:qFormat/>
    <w:rsid w:val="00794EB9"/>
    <w:pPr>
      <w:numPr>
        <w:numId w:val="26"/>
      </w:numPr>
      <w:suppressAutoHyphens/>
      <w:spacing w:before="120"/>
      <w:ind w:left="709" w:hanging="425"/>
      <w:contextualSpacing w:val="0"/>
      <w:jc w:val="both"/>
      <w:textDirection w:val="btLr"/>
      <w:textAlignment w:val="top"/>
      <w:outlineLvl w:val="0"/>
    </w:pPr>
    <w:rPr>
      <w:rFonts w:ascii="Arial" w:eastAsia="Arial" w:hAnsi="Arial" w:cs="Arial"/>
      <w:color w:val="595959" w:themeColor="text1" w:themeTint="A6"/>
      <w:position w:val="-1"/>
      <w:lang w:val="es-MX"/>
    </w:rPr>
  </w:style>
  <w:style w:type="character" w:customStyle="1" w:styleId="PrrafodelistaCar1">
    <w:name w:val="Párrafo de lista Car1"/>
    <w:basedOn w:val="Fuentedeprrafopredeter"/>
    <w:uiPriority w:val="34"/>
    <w:rsid w:val="00794EB9"/>
    <w:rPr>
      <w:position w:val="-1"/>
      <w:lang w:eastAsia="es-ES"/>
    </w:rPr>
  </w:style>
  <w:style w:type="character" w:customStyle="1" w:styleId="PGAccionesCar">
    <w:name w:val="PG Acciones Car"/>
    <w:basedOn w:val="PrrafodelistaCar1"/>
    <w:link w:val="PGAcciones"/>
    <w:rsid w:val="00794EB9"/>
    <w:rPr>
      <w:rFonts w:ascii="Arial" w:eastAsia="Arial" w:hAnsi="Arial" w:cs="Arial"/>
      <w:color w:val="595959" w:themeColor="text1" w:themeTint="A6"/>
      <w:position w:val="-1"/>
      <w:sz w:val="20"/>
      <w:szCs w:val="20"/>
      <w:lang w:eastAsia="es-ES"/>
    </w:rPr>
  </w:style>
  <w:style w:type="character" w:styleId="Referenciaintensa">
    <w:name w:val="Intense Reference"/>
    <w:basedOn w:val="Fuentedeprrafopredeter"/>
    <w:uiPriority w:val="32"/>
    <w:qFormat/>
    <w:rsid w:val="00794EB9"/>
    <w:rPr>
      <w:b/>
      <w:bCs/>
      <w:smallCaps/>
      <w:color w:val="5B9BD5" w:themeColor="accent1"/>
      <w:spacing w:val="5"/>
      <w:sz w:val="36"/>
    </w:rPr>
  </w:style>
  <w:style w:type="character" w:customStyle="1" w:styleId="AsuntodelcomentarioCar1">
    <w:name w:val="Asunto del comentario Car1"/>
    <w:basedOn w:val="TextocomentarioCar1"/>
    <w:uiPriority w:val="99"/>
    <w:semiHidden/>
    <w:rsid w:val="00794EB9"/>
    <w:rPr>
      <w:rFonts w:ascii="Times New Roman" w:eastAsia="Times New Roman" w:hAnsi="Times New Roman" w:cs="Times New Roman"/>
      <w:b/>
      <w:bCs/>
      <w:position w:val="-1"/>
      <w:sz w:val="20"/>
      <w:szCs w:val="20"/>
      <w:lang w:val="es-ES" w:eastAsia="es-ES"/>
    </w:rPr>
  </w:style>
  <w:style w:type="paragraph" w:customStyle="1" w:styleId="PMDTtulo1">
    <w:name w:val="PMD Título 1"/>
    <w:basedOn w:val="Normal"/>
    <w:link w:val="PMDTtulo1Car"/>
    <w:qFormat/>
    <w:rsid w:val="00794EB9"/>
    <w:pPr>
      <w:jc w:val="both"/>
    </w:pPr>
    <w:rPr>
      <w:rFonts w:ascii="Calibri" w:eastAsia="Arial" w:hAnsi="Calibri" w:cs="Arial"/>
      <w:b/>
      <w:color w:val="4472C4" w:themeColor="accent5"/>
      <w:sz w:val="40"/>
      <w:szCs w:val="40"/>
      <w:lang w:val="es" w:eastAsia="es-MX"/>
    </w:rPr>
  </w:style>
  <w:style w:type="character" w:customStyle="1" w:styleId="PMDTtulo1Car">
    <w:name w:val="PMD Título 1 Car"/>
    <w:basedOn w:val="Fuentedeprrafopredeter"/>
    <w:link w:val="PMDTtulo1"/>
    <w:rsid w:val="00794EB9"/>
    <w:rPr>
      <w:rFonts w:ascii="Calibri" w:eastAsia="Arial" w:hAnsi="Calibri" w:cs="Arial"/>
      <w:b/>
      <w:color w:val="4472C4" w:themeColor="accent5"/>
      <w:sz w:val="40"/>
      <w:szCs w:val="40"/>
      <w:lang w:val="es" w:eastAsia="es-MX"/>
    </w:rPr>
  </w:style>
  <w:style w:type="paragraph" w:customStyle="1" w:styleId="PMDTtulo3">
    <w:name w:val="PMD Título 3"/>
    <w:basedOn w:val="PMDTtulo1"/>
    <w:link w:val="PMDTtulo3Car"/>
    <w:qFormat/>
    <w:rsid w:val="00794EB9"/>
    <w:rPr>
      <w:sz w:val="24"/>
    </w:rPr>
  </w:style>
  <w:style w:type="character" w:customStyle="1" w:styleId="PMDTtulo3Car">
    <w:name w:val="PMD Título 3 Car"/>
    <w:basedOn w:val="PMDTtulo1Car"/>
    <w:link w:val="PMDTtulo3"/>
    <w:rsid w:val="00794EB9"/>
    <w:rPr>
      <w:rFonts w:ascii="Calibri" w:eastAsia="Arial" w:hAnsi="Calibri" w:cs="Arial"/>
      <w:b/>
      <w:color w:val="4472C4" w:themeColor="accent5"/>
      <w:sz w:val="24"/>
      <w:szCs w:val="40"/>
      <w:lang w:val="es" w:eastAsia="es-MX"/>
    </w:rPr>
  </w:style>
  <w:style w:type="paragraph" w:customStyle="1" w:styleId="alert">
    <w:name w:val="alert"/>
    <w:basedOn w:val="Normal"/>
    <w:rsid w:val="00794EB9"/>
    <w:pPr>
      <w:spacing w:before="100" w:beforeAutospacing="1" w:after="100" w:afterAutospacing="1"/>
    </w:pPr>
    <w:rPr>
      <w:sz w:val="24"/>
      <w:szCs w:val="24"/>
      <w:lang w:val="es-MX" w:eastAsia="es-MX"/>
    </w:rPr>
  </w:style>
  <w:style w:type="character" w:customStyle="1" w:styleId="Mencinsinresolver1">
    <w:name w:val="Mención sin resolver1"/>
    <w:basedOn w:val="Fuentedeprrafopredeter"/>
    <w:uiPriority w:val="99"/>
    <w:semiHidden/>
    <w:unhideWhenUsed/>
    <w:rsid w:val="00794EB9"/>
    <w:rPr>
      <w:color w:val="605E5C"/>
      <w:shd w:val="clear" w:color="auto" w:fill="E1DFDD"/>
    </w:rPr>
  </w:style>
  <w:style w:type="table" w:customStyle="1" w:styleId="Tablaconcuadrcula4">
    <w:name w:val="Tabla con cuadrícula4"/>
    <w:basedOn w:val="Tablanormal"/>
    <w:next w:val="Tablaconcuadrcula"/>
    <w:uiPriority w:val="39"/>
    <w:rsid w:val="00794E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794E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794E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39"/>
    <w:rsid w:val="00794EB9"/>
    <w:pPr>
      <w:spacing w:after="0" w:line="240" w:lineRule="auto"/>
    </w:pPr>
    <w:rPr>
      <w:rFonts w:ascii="Calibri" w:eastAsia="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rsid w:val="00794EB9"/>
  </w:style>
  <w:style w:type="table" w:customStyle="1" w:styleId="Tablaconcuadrcula31">
    <w:name w:val="Tabla con cuadrícula31"/>
    <w:basedOn w:val="Tablanormal"/>
    <w:next w:val="Tablaconcuadrcula"/>
    <w:uiPriority w:val="39"/>
    <w:rsid w:val="00794E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9">
    <w:name w:val="xl89"/>
    <w:basedOn w:val="Normal"/>
    <w:rsid w:val="00794EB9"/>
    <w:pPr>
      <w:pBdr>
        <w:top w:val="single" w:sz="8" w:space="0" w:color="000000"/>
        <w:left w:val="single" w:sz="8" w:space="0" w:color="000000"/>
        <w:bottom w:val="single" w:sz="8" w:space="0" w:color="000000"/>
        <w:right w:val="single" w:sz="12" w:space="0" w:color="000000"/>
      </w:pBdr>
      <w:spacing w:before="100" w:beforeAutospacing="1" w:after="100" w:afterAutospacing="1"/>
      <w:textAlignment w:val="top"/>
    </w:pPr>
    <w:rPr>
      <w:color w:val="FF0000"/>
      <w:sz w:val="18"/>
      <w:szCs w:val="18"/>
      <w:lang w:val="es-MX" w:eastAsia="es-MX"/>
    </w:rPr>
  </w:style>
  <w:style w:type="paragraph" w:customStyle="1" w:styleId="xl90">
    <w:name w:val="xl90"/>
    <w:basedOn w:val="Normal"/>
    <w:rsid w:val="00794EB9"/>
    <w:pPr>
      <w:pBdr>
        <w:left w:val="single" w:sz="8" w:space="0" w:color="000000"/>
        <w:right w:val="single" w:sz="12" w:space="0" w:color="000000"/>
      </w:pBdr>
      <w:spacing w:before="100" w:beforeAutospacing="1" w:after="100" w:afterAutospacing="1"/>
      <w:textAlignment w:val="center"/>
    </w:pPr>
    <w:rPr>
      <w:sz w:val="18"/>
      <w:szCs w:val="18"/>
      <w:lang w:val="es-MX" w:eastAsia="es-MX"/>
    </w:rPr>
  </w:style>
  <w:style w:type="paragraph" w:customStyle="1" w:styleId="xl91">
    <w:name w:val="xl91"/>
    <w:basedOn w:val="Normal"/>
    <w:rsid w:val="00794EB9"/>
    <w:pPr>
      <w:pBdr>
        <w:left w:val="single" w:sz="8" w:space="0" w:color="000000"/>
        <w:right w:val="single" w:sz="12" w:space="0" w:color="000000"/>
      </w:pBdr>
      <w:shd w:val="clear" w:color="FFFF00" w:fill="FFFF00"/>
      <w:spacing w:before="100" w:beforeAutospacing="1" w:after="100" w:afterAutospacing="1"/>
      <w:textAlignment w:val="top"/>
    </w:pPr>
    <w:rPr>
      <w:color w:val="FF0000"/>
      <w:sz w:val="18"/>
      <w:szCs w:val="18"/>
      <w:lang w:val="es-MX" w:eastAsia="es-MX"/>
    </w:rPr>
  </w:style>
  <w:style w:type="paragraph" w:customStyle="1" w:styleId="xl92">
    <w:name w:val="xl92"/>
    <w:basedOn w:val="Normal"/>
    <w:rsid w:val="00794EB9"/>
    <w:pPr>
      <w:pBdr>
        <w:left w:val="single" w:sz="8" w:space="0" w:color="000000"/>
        <w:bottom w:val="single" w:sz="8" w:space="0" w:color="000000"/>
        <w:right w:val="single" w:sz="12" w:space="0" w:color="000000"/>
      </w:pBdr>
      <w:shd w:val="clear" w:color="FFFF00" w:fill="FFFF00"/>
      <w:spacing w:before="100" w:beforeAutospacing="1" w:after="100" w:afterAutospacing="1"/>
      <w:textAlignment w:val="top"/>
    </w:pPr>
    <w:rPr>
      <w:color w:val="FF0000"/>
      <w:sz w:val="18"/>
      <w:szCs w:val="18"/>
      <w:lang w:val="es-MX" w:eastAsia="es-MX"/>
    </w:rPr>
  </w:style>
  <w:style w:type="paragraph" w:customStyle="1" w:styleId="xl93">
    <w:name w:val="xl93"/>
    <w:basedOn w:val="Normal"/>
    <w:rsid w:val="00794EB9"/>
    <w:pPr>
      <w:pBdr>
        <w:top w:val="single" w:sz="8" w:space="0" w:color="000000"/>
        <w:left w:val="single" w:sz="8" w:space="0" w:color="000000"/>
        <w:bottom w:val="single" w:sz="8" w:space="0" w:color="000000"/>
        <w:right w:val="single" w:sz="12" w:space="0" w:color="000000"/>
      </w:pBdr>
      <w:shd w:val="clear" w:color="FFFF00" w:fill="FFFF00"/>
      <w:spacing w:before="100" w:beforeAutospacing="1" w:after="100" w:afterAutospacing="1"/>
      <w:textAlignment w:val="top"/>
    </w:pPr>
    <w:rPr>
      <w:color w:val="FF0000"/>
      <w:sz w:val="18"/>
      <w:szCs w:val="18"/>
      <w:lang w:val="es-MX" w:eastAsia="es-MX"/>
    </w:rPr>
  </w:style>
  <w:style w:type="paragraph" w:customStyle="1" w:styleId="xl94">
    <w:name w:val="xl94"/>
    <w:basedOn w:val="Normal"/>
    <w:rsid w:val="00794EB9"/>
    <w:pPr>
      <w:pBdr>
        <w:top w:val="single" w:sz="8" w:space="0" w:color="000000"/>
        <w:left w:val="single" w:sz="8" w:space="0" w:color="000000"/>
        <w:bottom w:val="single" w:sz="8" w:space="0" w:color="000000"/>
        <w:right w:val="single" w:sz="12" w:space="0" w:color="000000"/>
      </w:pBdr>
      <w:spacing w:before="100" w:beforeAutospacing="1" w:after="100" w:afterAutospacing="1"/>
      <w:textAlignment w:val="center"/>
    </w:pPr>
    <w:rPr>
      <w:sz w:val="18"/>
      <w:szCs w:val="18"/>
      <w:lang w:val="es-MX" w:eastAsia="es-MX"/>
    </w:rPr>
  </w:style>
  <w:style w:type="paragraph" w:customStyle="1" w:styleId="xl95">
    <w:name w:val="xl95"/>
    <w:basedOn w:val="Normal"/>
    <w:rsid w:val="00794EB9"/>
    <w:pPr>
      <w:pBdr>
        <w:top w:val="single" w:sz="8" w:space="0" w:color="000000"/>
        <w:left w:val="single" w:sz="8" w:space="0" w:color="000000"/>
        <w:bottom w:val="single" w:sz="8" w:space="0" w:color="000000"/>
        <w:right w:val="single" w:sz="8" w:space="0" w:color="000000"/>
      </w:pBdr>
      <w:shd w:val="clear" w:color="FFFFFF" w:fill="FFFFFF"/>
      <w:spacing w:before="100" w:beforeAutospacing="1" w:after="100" w:afterAutospacing="1"/>
      <w:textAlignment w:val="top"/>
    </w:pPr>
    <w:rPr>
      <w:color w:val="ED7D31"/>
      <w:sz w:val="18"/>
      <w:szCs w:val="18"/>
      <w:lang w:val="es-MX" w:eastAsia="es-MX"/>
    </w:rPr>
  </w:style>
  <w:style w:type="paragraph" w:customStyle="1" w:styleId="xl96">
    <w:name w:val="xl96"/>
    <w:basedOn w:val="Normal"/>
    <w:rsid w:val="00794EB9"/>
    <w:pPr>
      <w:pBdr>
        <w:top w:val="single" w:sz="8" w:space="0" w:color="000000"/>
        <w:left w:val="single" w:sz="12" w:space="0" w:color="000000"/>
        <w:bottom w:val="single" w:sz="8" w:space="0" w:color="000000"/>
        <w:right w:val="single" w:sz="8" w:space="0" w:color="000000"/>
      </w:pBdr>
      <w:shd w:val="clear" w:color="FFFFFF" w:fill="FFFFFF"/>
      <w:spacing w:before="100" w:beforeAutospacing="1" w:after="100" w:afterAutospacing="1"/>
      <w:textAlignment w:val="top"/>
    </w:pPr>
    <w:rPr>
      <w:sz w:val="18"/>
      <w:szCs w:val="18"/>
      <w:lang w:val="es-MX" w:eastAsia="es-MX"/>
    </w:rPr>
  </w:style>
  <w:style w:type="paragraph" w:customStyle="1" w:styleId="xl97">
    <w:name w:val="xl97"/>
    <w:basedOn w:val="Normal"/>
    <w:rsid w:val="00794EB9"/>
    <w:pPr>
      <w:pBdr>
        <w:top w:val="single" w:sz="8" w:space="0" w:color="000000"/>
        <w:left w:val="single" w:sz="8" w:space="0" w:color="000000"/>
        <w:bottom w:val="single" w:sz="8" w:space="0" w:color="000000"/>
        <w:right w:val="single" w:sz="8" w:space="0" w:color="000000"/>
      </w:pBdr>
      <w:shd w:val="clear" w:color="FFFFFF" w:fill="FFFFFF"/>
      <w:spacing w:before="100" w:beforeAutospacing="1" w:after="100" w:afterAutospacing="1"/>
      <w:textAlignment w:val="top"/>
    </w:pPr>
    <w:rPr>
      <w:sz w:val="18"/>
      <w:szCs w:val="18"/>
      <w:lang w:val="es-MX" w:eastAsia="es-MX"/>
    </w:rPr>
  </w:style>
  <w:style w:type="paragraph" w:customStyle="1" w:styleId="xl98">
    <w:name w:val="xl98"/>
    <w:basedOn w:val="Normal"/>
    <w:rsid w:val="00794EB9"/>
    <w:pPr>
      <w:pBdr>
        <w:bottom w:val="single" w:sz="8" w:space="0" w:color="000000"/>
        <w:right w:val="single" w:sz="12" w:space="0" w:color="000000"/>
      </w:pBdr>
      <w:shd w:val="clear" w:color="2D466D" w:fill="2D466D"/>
      <w:spacing w:before="100" w:beforeAutospacing="1" w:after="100" w:afterAutospacing="1"/>
      <w:jc w:val="center"/>
      <w:textAlignment w:val="top"/>
    </w:pPr>
    <w:rPr>
      <w:b/>
      <w:bCs/>
      <w:color w:val="FFFFFF"/>
      <w:sz w:val="18"/>
      <w:szCs w:val="18"/>
      <w:lang w:val="es-MX" w:eastAsia="es-MX"/>
    </w:rPr>
  </w:style>
  <w:style w:type="paragraph" w:customStyle="1" w:styleId="xl99">
    <w:name w:val="xl99"/>
    <w:basedOn w:val="Normal"/>
    <w:rsid w:val="00794EB9"/>
    <w:pPr>
      <w:pBdr>
        <w:top w:val="single" w:sz="8" w:space="0" w:color="000000"/>
        <w:left w:val="single" w:sz="8" w:space="0" w:color="000000"/>
        <w:bottom w:val="single" w:sz="8" w:space="0" w:color="000000"/>
        <w:right w:val="single" w:sz="8" w:space="0" w:color="000000"/>
      </w:pBdr>
      <w:shd w:val="clear" w:color="ED7D31" w:fill="ED7D31"/>
      <w:spacing w:before="100" w:beforeAutospacing="1" w:after="100" w:afterAutospacing="1"/>
      <w:textAlignment w:val="top"/>
    </w:pPr>
    <w:rPr>
      <w:sz w:val="18"/>
      <w:szCs w:val="18"/>
      <w:lang w:val="es-MX" w:eastAsia="es-MX"/>
    </w:rPr>
  </w:style>
  <w:style w:type="paragraph" w:customStyle="1" w:styleId="xl100">
    <w:name w:val="xl100"/>
    <w:basedOn w:val="Normal"/>
    <w:rsid w:val="00794EB9"/>
    <w:pPr>
      <w:pBdr>
        <w:top w:val="single" w:sz="8" w:space="0" w:color="000000"/>
        <w:left w:val="single" w:sz="8" w:space="0" w:color="000000"/>
        <w:bottom w:val="single" w:sz="8" w:space="0" w:color="000000"/>
        <w:right w:val="single" w:sz="12" w:space="0" w:color="000000"/>
      </w:pBdr>
      <w:shd w:val="clear" w:color="FFFFFF" w:fill="FFFFFF"/>
      <w:spacing w:before="100" w:beforeAutospacing="1" w:after="100" w:afterAutospacing="1"/>
      <w:textAlignment w:val="center"/>
    </w:pPr>
    <w:rPr>
      <w:sz w:val="18"/>
      <w:szCs w:val="18"/>
      <w:lang w:val="es-MX" w:eastAsia="es-MX"/>
    </w:rPr>
  </w:style>
  <w:style w:type="paragraph" w:customStyle="1" w:styleId="xl101">
    <w:name w:val="xl101"/>
    <w:basedOn w:val="Normal"/>
    <w:rsid w:val="00794EB9"/>
    <w:pPr>
      <w:pBdr>
        <w:top w:val="single" w:sz="8" w:space="0" w:color="000000"/>
        <w:left w:val="single" w:sz="8" w:space="0" w:color="000000"/>
        <w:bottom w:val="single" w:sz="8" w:space="0" w:color="000000"/>
        <w:right w:val="single" w:sz="12" w:space="0" w:color="000000"/>
      </w:pBdr>
      <w:shd w:val="clear" w:color="FFFFFF" w:fill="FFFFFF"/>
      <w:spacing w:before="100" w:beforeAutospacing="1" w:after="100" w:afterAutospacing="1"/>
      <w:textAlignment w:val="top"/>
    </w:pPr>
    <w:rPr>
      <w:sz w:val="18"/>
      <w:szCs w:val="18"/>
      <w:lang w:val="es-MX" w:eastAsia="es-MX"/>
    </w:rPr>
  </w:style>
  <w:style w:type="paragraph" w:customStyle="1" w:styleId="xl102">
    <w:name w:val="xl102"/>
    <w:basedOn w:val="Normal"/>
    <w:rsid w:val="00794EB9"/>
    <w:pPr>
      <w:pBdr>
        <w:top w:val="single" w:sz="8" w:space="0" w:color="000000"/>
        <w:left w:val="single" w:sz="8" w:space="0" w:color="000000"/>
        <w:bottom w:val="single" w:sz="8" w:space="0" w:color="000000"/>
        <w:right w:val="single" w:sz="8" w:space="0" w:color="000000"/>
      </w:pBdr>
      <w:shd w:val="clear" w:color="FFFFFF" w:fill="FFFFFF"/>
      <w:spacing w:before="100" w:beforeAutospacing="1" w:after="100" w:afterAutospacing="1"/>
      <w:textAlignment w:val="top"/>
    </w:pPr>
    <w:rPr>
      <w:color w:val="000000"/>
      <w:sz w:val="18"/>
      <w:szCs w:val="18"/>
      <w:lang w:val="es-MX" w:eastAsia="es-MX"/>
    </w:rPr>
  </w:style>
  <w:style w:type="paragraph" w:customStyle="1" w:styleId="xl103">
    <w:name w:val="xl103"/>
    <w:basedOn w:val="Normal"/>
    <w:rsid w:val="00794EB9"/>
    <w:pPr>
      <w:pBdr>
        <w:top w:val="single" w:sz="8" w:space="0" w:color="000000"/>
        <w:left w:val="single" w:sz="8" w:space="0" w:color="000000"/>
        <w:bottom w:val="single" w:sz="8" w:space="0" w:color="000000"/>
        <w:right w:val="single" w:sz="12" w:space="0" w:color="000000"/>
      </w:pBdr>
      <w:shd w:val="clear" w:color="FFFFFF" w:fill="FFFFFF"/>
      <w:spacing w:before="100" w:beforeAutospacing="1" w:after="100" w:afterAutospacing="1"/>
      <w:textAlignment w:val="top"/>
    </w:pPr>
    <w:rPr>
      <w:sz w:val="18"/>
      <w:szCs w:val="18"/>
      <w:lang w:val="es-MX" w:eastAsia="es-MX"/>
    </w:rPr>
  </w:style>
  <w:style w:type="paragraph" w:customStyle="1" w:styleId="xl104">
    <w:name w:val="xl104"/>
    <w:basedOn w:val="Normal"/>
    <w:rsid w:val="00794EB9"/>
    <w:pPr>
      <w:pBdr>
        <w:top w:val="single" w:sz="8" w:space="0" w:color="000000"/>
        <w:left w:val="single" w:sz="8" w:space="0" w:color="000000"/>
        <w:right w:val="single" w:sz="12" w:space="0" w:color="000000"/>
      </w:pBdr>
      <w:spacing w:before="100" w:beforeAutospacing="1" w:after="100" w:afterAutospacing="1"/>
      <w:textAlignment w:val="top"/>
    </w:pPr>
    <w:rPr>
      <w:sz w:val="18"/>
      <w:szCs w:val="18"/>
      <w:lang w:val="es-MX" w:eastAsia="es-MX"/>
    </w:rPr>
  </w:style>
  <w:style w:type="paragraph" w:customStyle="1" w:styleId="xl105">
    <w:name w:val="xl105"/>
    <w:basedOn w:val="Normal"/>
    <w:rsid w:val="00794EB9"/>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top"/>
    </w:pPr>
    <w:rPr>
      <w:sz w:val="18"/>
      <w:szCs w:val="18"/>
      <w:lang w:val="es-MX" w:eastAsia="es-MX"/>
    </w:rPr>
  </w:style>
  <w:style w:type="paragraph" w:customStyle="1" w:styleId="xl106">
    <w:name w:val="xl106"/>
    <w:basedOn w:val="Normal"/>
    <w:rsid w:val="00794EB9"/>
    <w:pPr>
      <w:pBdr>
        <w:left w:val="single" w:sz="12" w:space="0" w:color="000000"/>
        <w:bottom w:val="single" w:sz="8" w:space="0" w:color="000000"/>
      </w:pBdr>
      <w:shd w:val="clear" w:color="FFFF00" w:fill="FFFF00"/>
      <w:spacing w:before="100" w:beforeAutospacing="1" w:after="100" w:afterAutospacing="1"/>
      <w:textAlignment w:val="top"/>
    </w:pPr>
    <w:rPr>
      <w:sz w:val="18"/>
      <w:szCs w:val="18"/>
      <w:lang w:val="es-MX" w:eastAsia="es-MX"/>
    </w:rPr>
  </w:style>
  <w:style w:type="paragraph" w:customStyle="1" w:styleId="xl107">
    <w:name w:val="xl107"/>
    <w:basedOn w:val="Normal"/>
    <w:rsid w:val="00794EB9"/>
    <w:pPr>
      <w:pBdr>
        <w:bottom w:val="single" w:sz="8" w:space="0" w:color="000000"/>
      </w:pBdr>
      <w:shd w:val="clear" w:color="FFFF00" w:fill="FFFF00"/>
      <w:spacing w:before="100" w:beforeAutospacing="1" w:after="100" w:afterAutospacing="1"/>
      <w:textAlignment w:val="top"/>
    </w:pPr>
    <w:rPr>
      <w:sz w:val="18"/>
      <w:szCs w:val="18"/>
      <w:lang w:val="es-MX" w:eastAsia="es-MX"/>
    </w:rPr>
  </w:style>
  <w:style w:type="paragraph" w:customStyle="1" w:styleId="xl108">
    <w:name w:val="xl108"/>
    <w:basedOn w:val="Normal"/>
    <w:rsid w:val="00794EB9"/>
    <w:pPr>
      <w:pBdr>
        <w:bottom w:val="single" w:sz="8" w:space="0" w:color="000000"/>
        <w:right w:val="single" w:sz="12" w:space="0" w:color="000000"/>
      </w:pBdr>
      <w:shd w:val="clear" w:color="FFFF00" w:fill="FFFF00"/>
      <w:spacing w:before="100" w:beforeAutospacing="1" w:after="100" w:afterAutospacing="1"/>
      <w:textAlignment w:val="top"/>
    </w:pPr>
    <w:rPr>
      <w:color w:val="FF0000"/>
      <w:sz w:val="18"/>
      <w:szCs w:val="18"/>
      <w:lang w:val="es-MX" w:eastAsia="es-MX"/>
    </w:rPr>
  </w:style>
  <w:style w:type="paragraph" w:customStyle="1" w:styleId="xl109">
    <w:name w:val="xl109"/>
    <w:basedOn w:val="Normal"/>
    <w:rsid w:val="00794EB9"/>
    <w:pPr>
      <w:pBdr>
        <w:left w:val="single" w:sz="12" w:space="0" w:color="000000"/>
        <w:bottom w:val="single" w:sz="8" w:space="0" w:color="000000"/>
      </w:pBdr>
      <w:shd w:val="clear" w:color="FFFFFF" w:fill="FFFFFF"/>
      <w:spacing w:before="100" w:beforeAutospacing="1" w:after="100" w:afterAutospacing="1"/>
      <w:textAlignment w:val="top"/>
    </w:pPr>
    <w:rPr>
      <w:sz w:val="18"/>
      <w:szCs w:val="18"/>
      <w:lang w:val="es-MX" w:eastAsia="es-MX"/>
    </w:rPr>
  </w:style>
  <w:style w:type="paragraph" w:customStyle="1" w:styleId="xl110">
    <w:name w:val="xl110"/>
    <w:basedOn w:val="Normal"/>
    <w:rsid w:val="00794EB9"/>
    <w:pPr>
      <w:pBdr>
        <w:bottom w:val="single" w:sz="8" w:space="0" w:color="000000"/>
      </w:pBdr>
      <w:shd w:val="clear" w:color="FFFFFF" w:fill="FFFFFF"/>
      <w:spacing w:before="100" w:beforeAutospacing="1" w:after="100" w:afterAutospacing="1"/>
      <w:textAlignment w:val="top"/>
    </w:pPr>
    <w:rPr>
      <w:sz w:val="18"/>
      <w:szCs w:val="18"/>
      <w:lang w:val="es-MX" w:eastAsia="es-MX"/>
    </w:rPr>
  </w:style>
  <w:style w:type="paragraph" w:customStyle="1" w:styleId="xl111">
    <w:name w:val="xl111"/>
    <w:basedOn w:val="Normal"/>
    <w:rsid w:val="00794EB9"/>
    <w:pPr>
      <w:pBdr>
        <w:top w:val="single" w:sz="8" w:space="0" w:color="000000"/>
        <w:left w:val="single" w:sz="8" w:space="0" w:color="000000"/>
        <w:bottom w:val="single" w:sz="8" w:space="0" w:color="000000"/>
        <w:right w:val="single" w:sz="12" w:space="0" w:color="000000"/>
      </w:pBdr>
      <w:spacing w:before="100" w:beforeAutospacing="1" w:after="100" w:afterAutospacing="1"/>
      <w:textAlignment w:val="top"/>
    </w:pPr>
    <w:rPr>
      <w:sz w:val="18"/>
      <w:szCs w:val="18"/>
      <w:lang w:val="es-MX" w:eastAsia="es-MX"/>
    </w:rPr>
  </w:style>
  <w:style w:type="paragraph" w:customStyle="1" w:styleId="xl112">
    <w:name w:val="xl112"/>
    <w:basedOn w:val="Normal"/>
    <w:rsid w:val="00794EB9"/>
    <w:pPr>
      <w:pBdr>
        <w:top w:val="single" w:sz="8" w:space="0" w:color="000000"/>
        <w:left w:val="single" w:sz="8" w:space="0" w:color="000000"/>
        <w:bottom w:val="single" w:sz="8" w:space="0" w:color="000000"/>
        <w:right w:val="single" w:sz="12" w:space="0" w:color="000000"/>
      </w:pBdr>
      <w:shd w:val="clear" w:color="FFFF00" w:fill="FFFF00"/>
      <w:spacing w:before="100" w:beforeAutospacing="1" w:after="100" w:afterAutospacing="1"/>
      <w:textAlignment w:val="center"/>
    </w:pPr>
    <w:rPr>
      <w:color w:val="FF0000"/>
      <w:sz w:val="18"/>
      <w:szCs w:val="18"/>
      <w:lang w:val="es-MX" w:eastAsia="es-MX"/>
    </w:rPr>
  </w:style>
  <w:style w:type="paragraph" w:customStyle="1" w:styleId="xl113">
    <w:name w:val="xl113"/>
    <w:basedOn w:val="Normal"/>
    <w:rsid w:val="00794EB9"/>
    <w:pPr>
      <w:pBdr>
        <w:top w:val="single" w:sz="8" w:space="0" w:color="000000"/>
        <w:left w:val="single" w:sz="8" w:space="0" w:color="000000"/>
        <w:bottom w:val="single" w:sz="8" w:space="0" w:color="000000"/>
        <w:right w:val="single" w:sz="12" w:space="0" w:color="000000"/>
      </w:pBdr>
      <w:shd w:val="clear" w:color="FFFF00" w:fill="FFFF00"/>
      <w:spacing w:before="100" w:beforeAutospacing="1" w:after="100" w:afterAutospacing="1"/>
      <w:textAlignment w:val="top"/>
    </w:pPr>
    <w:rPr>
      <w:sz w:val="18"/>
      <w:szCs w:val="18"/>
      <w:lang w:val="es-MX" w:eastAsia="es-MX"/>
    </w:rPr>
  </w:style>
  <w:style w:type="paragraph" w:customStyle="1" w:styleId="xl114">
    <w:name w:val="xl114"/>
    <w:basedOn w:val="Normal"/>
    <w:rsid w:val="00794EB9"/>
    <w:pPr>
      <w:pBdr>
        <w:left w:val="single" w:sz="8" w:space="0" w:color="000000"/>
        <w:bottom w:val="single" w:sz="8" w:space="0" w:color="000000"/>
        <w:right w:val="single" w:sz="12" w:space="0" w:color="000000"/>
      </w:pBdr>
      <w:spacing w:before="100" w:beforeAutospacing="1" w:after="100" w:afterAutospacing="1"/>
    </w:pPr>
    <w:rPr>
      <w:sz w:val="24"/>
      <w:szCs w:val="24"/>
      <w:lang w:val="es-MX" w:eastAsia="es-MX"/>
    </w:rPr>
  </w:style>
  <w:style w:type="paragraph" w:customStyle="1" w:styleId="xl115">
    <w:name w:val="xl115"/>
    <w:basedOn w:val="Normal"/>
    <w:rsid w:val="00794EB9"/>
    <w:pPr>
      <w:pBdr>
        <w:top w:val="single" w:sz="8" w:space="0" w:color="000000"/>
        <w:left w:val="single" w:sz="8" w:space="0" w:color="000000"/>
        <w:right w:val="single" w:sz="8" w:space="0" w:color="000000"/>
      </w:pBdr>
      <w:spacing w:before="100" w:beforeAutospacing="1" w:after="100" w:afterAutospacing="1"/>
      <w:textAlignment w:val="top"/>
    </w:pPr>
    <w:rPr>
      <w:sz w:val="18"/>
      <w:szCs w:val="18"/>
      <w:lang w:val="es-MX" w:eastAsia="es-MX"/>
    </w:rPr>
  </w:style>
  <w:style w:type="paragraph" w:customStyle="1" w:styleId="xl116">
    <w:name w:val="xl116"/>
    <w:basedOn w:val="Normal"/>
    <w:rsid w:val="00794EB9"/>
    <w:pPr>
      <w:pBdr>
        <w:left w:val="single" w:sz="8" w:space="0" w:color="000000"/>
        <w:bottom w:val="single" w:sz="8" w:space="0" w:color="000000"/>
        <w:right w:val="single" w:sz="8" w:space="0" w:color="000000"/>
      </w:pBdr>
      <w:spacing w:before="100" w:beforeAutospacing="1" w:after="100" w:afterAutospacing="1"/>
    </w:pPr>
    <w:rPr>
      <w:sz w:val="24"/>
      <w:szCs w:val="24"/>
      <w:lang w:val="es-MX" w:eastAsia="es-MX"/>
    </w:rPr>
  </w:style>
  <w:style w:type="paragraph" w:customStyle="1" w:styleId="xl117">
    <w:name w:val="xl117"/>
    <w:basedOn w:val="Normal"/>
    <w:rsid w:val="00794EB9"/>
    <w:pPr>
      <w:pBdr>
        <w:left w:val="single" w:sz="8" w:space="0" w:color="000000"/>
        <w:right w:val="single" w:sz="8" w:space="0" w:color="000000"/>
      </w:pBdr>
      <w:spacing w:before="100" w:beforeAutospacing="1" w:after="100" w:afterAutospacing="1"/>
    </w:pPr>
    <w:rPr>
      <w:sz w:val="24"/>
      <w:szCs w:val="24"/>
      <w:lang w:val="es-MX" w:eastAsia="es-MX"/>
    </w:rPr>
  </w:style>
  <w:style w:type="paragraph" w:customStyle="1" w:styleId="xl118">
    <w:name w:val="xl118"/>
    <w:basedOn w:val="Normal"/>
    <w:rsid w:val="00794EB9"/>
    <w:pPr>
      <w:pBdr>
        <w:top w:val="single" w:sz="8" w:space="0" w:color="000000"/>
        <w:left w:val="single" w:sz="8" w:space="0" w:color="000000"/>
        <w:right w:val="single" w:sz="12" w:space="0" w:color="000000"/>
      </w:pBdr>
      <w:shd w:val="clear" w:color="FFFFFF" w:fill="FFFFFF"/>
      <w:spacing w:before="100" w:beforeAutospacing="1" w:after="100" w:afterAutospacing="1"/>
      <w:textAlignment w:val="center"/>
    </w:pPr>
    <w:rPr>
      <w:sz w:val="18"/>
      <w:szCs w:val="18"/>
      <w:lang w:val="es-MX" w:eastAsia="es-MX"/>
    </w:rPr>
  </w:style>
  <w:style w:type="paragraph" w:customStyle="1" w:styleId="xl119">
    <w:name w:val="xl119"/>
    <w:basedOn w:val="Normal"/>
    <w:rsid w:val="00794EB9"/>
    <w:pPr>
      <w:pBdr>
        <w:left w:val="single" w:sz="8" w:space="0" w:color="000000"/>
        <w:right w:val="single" w:sz="12" w:space="0" w:color="000000"/>
      </w:pBdr>
      <w:spacing w:before="100" w:beforeAutospacing="1" w:after="100" w:afterAutospacing="1"/>
    </w:pPr>
    <w:rPr>
      <w:sz w:val="24"/>
      <w:szCs w:val="24"/>
      <w:lang w:val="es-MX" w:eastAsia="es-MX"/>
    </w:rPr>
  </w:style>
  <w:style w:type="paragraph" w:customStyle="1" w:styleId="xl120">
    <w:name w:val="xl120"/>
    <w:basedOn w:val="Normal"/>
    <w:rsid w:val="00794EB9"/>
    <w:pPr>
      <w:pBdr>
        <w:top w:val="single" w:sz="8" w:space="0" w:color="000000"/>
        <w:left w:val="single" w:sz="8" w:space="0" w:color="000000"/>
        <w:right w:val="single" w:sz="8" w:space="0" w:color="000000"/>
      </w:pBdr>
      <w:spacing w:before="100" w:beforeAutospacing="1" w:after="100" w:afterAutospacing="1"/>
      <w:jc w:val="center"/>
      <w:textAlignment w:val="top"/>
    </w:pPr>
    <w:rPr>
      <w:sz w:val="18"/>
      <w:szCs w:val="18"/>
      <w:lang w:val="es-MX" w:eastAsia="es-MX"/>
    </w:rPr>
  </w:style>
  <w:style w:type="paragraph" w:customStyle="1" w:styleId="xl121">
    <w:name w:val="xl121"/>
    <w:basedOn w:val="Normal"/>
    <w:rsid w:val="00794EB9"/>
    <w:pPr>
      <w:pBdr>
        <w:top w:val="single" w:sz="8" w:space="0" w:color="000000"/>
        <w:left w:val="single" w:sz="8" w:space="0" w:color="000000"/>
        <w:right w:val="single" w:sz="8" w:space="0" w:color="000000"/>
      </w:pBdr>
      <w:spacing w:before="100" w:beforeAutospacing="1" w:after="100" w:afterAutospacing="1"/>
      <w:textAlignment w:val="top"/>
    </w:pPr>
    <w:rPr>
      <w:sz w:val="18"/>
      <w:szCs w:val="18"/>
      <w:lang w:val="es-MX" w:eastAsia="es-MX"/>
    </w:rPr>
  </w:style>
  <w:style w:type="paragraph" w:customStyle="1" w:styleId="xl122">
    <w:name w:val="xl122"/>
    <w:basedOn w:val="Normal"/>
    <w:rsid w:val="00794EB9"/>
    <w:pPr>
      <w:pBdr>
        <w:top w:val="single" w:sz="8" w:space="0" w:color="000000"/>
        <w:left w:val="single" w:sz="8" w:space="0" w:color="000000"/>
        <w:right w:val="single" w:sz="8" w:space="0" w:color="000000"/>
      </w:pBdr>
      <w:shd w:val="clear" w:color="FFFFFF" w:fill="FFFFFF"/>
      <w:spacing w:before="100" w:beforeAutospacing="1" w:after="100" w:afterAutospacing="1"/>
      <w:textAlignment w:val="top"/>
    </w:pPr>
    <w:rPr>
      <w:sz w:val="18"/>
      <w:szCs w:val="18"/>
      <w:lang w:val="es-MX" w:eastAsia="es-MX"/>
    </w:rPr>
  </w:style>
  <w:style w:type="paragraph" w:customStyle="1" w:styleId="xl123">
    <w:name w:val="xl123"/>
    <w:basedOn w:val="Normal"/>
    <w:rsid w:val="00794EB9"/>
    <w:pPr>
      <w:pBdr>
        <w:top w:val="single" w:sz="8" w:space="0" w:color="000000"/>
        <w:left w:val="single" w:sz="12" w:space="0" w:color="000000"/>
        <w:right w:val="single" w:sz="8" w:space="0" w:color="000000"/>
      </w:pBdr>
      <w:shd w:val="clear" w:color="FFFFFF" w:fill="FFFFFF"/>
      <w:spacing w:before="100" w:beforeAutospacing="1" w:after="100" w:afterAutospacing="1"/>
      <w:textAlignment w:val="top"/>
    </w:pPr>
    <w:rPr>
      <w:sz w:val="18"/>
      <w:szCs w:val="18"/>
      <w:lang w:val="es-MX" w:eastAsia="es-MX"/>
    </w:rPr>
  </w:style>
  <w:style w:type="paragraph" w:customStyle="1" w:styleId="xl124">
    <w:name w:val="xl124"/>
    <w:basedOn w:val="Normal"/>
    <w:rsid w:val="00794EB9"/>
    <w:pPr>
      <w:pBdr>
        <w:left w:val="single" w:sz="12" w:space="0" w:color="000000"/>
        <w:bottom w:val="single" w:sz="8" w:space="0" w:color="000000"/>
        <w:right w:val="single" w:sz="8" w:space="0" w:color="000000"/>
      </w:pBdr>
      <w:spacing w:before="100" w:beforeAutospacing="1" w:after="100" w:afterAutospacing="1"/>
    </w:pPr>
    <w:rPr>
      <w:sz w:val="24"/>
      <w:szCs w:val="24"/>
      <w:lang w:val="es-MX" w:eastAsia="es-MX"/>
    </w:rPr>
  </w:style>
  <w:style w:type="paragraph" w:customStyle="1" w:styleId="xl125">
    <w:name w:val="xl125"/>
    <w:basedOn w:val="Normal"/>
    <w:rsid w:val="00794EB9"/>
    <w:pPr>
      <w:pBdr>
        <w:top w:val="single" w:sz="8" w:space="0" w:color="000000"/>
        <w:left w:val="single" w:sz="8" w:space="0" w:color="000000"/>
        <w:right w:val="single" w:sz="12" w:space="0" w:color="000000"/>
      </w:pBdr>
      <w:shd w:val="clear" w:color="FFFF00" w:fill="FFFF00"/>
      <w:spacing w:before="100" w:beforeAutospacing="1" w:after="100" w:afterAutospacing="1"/>
      <w:textAlignment w:val="top"/>
    </w:pPr>
    <w:rPr>
      <w:color w:val="FF0000"/>
      <w:sz w:val="18"/>
      <w:szCs w:val="18"/>
      <w:lang w:val="es-MX" w:eastAsia="es-MX"/>
    </w:rPr>
  </w:style>
  <w:style w:type="paragraph" w:customStyle="1" w:styleId="xl126">
    <w:name w:val="xl126"/>
    <w:basedOn w:val="Normal"/>
    <w:rsid w:val="00794EB9"/>
    <w:pPr>
      <w:pBdr>
        <w:top w:val="single" w:sz="8" w:space="0" w:color="000000"/>
        <w:left w:val="single" w:sz="8" w:space="0" w:color="000000"/>
        <w:right w:val="single" w:sz="8" w:space="0" w:color="000000"/>
      </w:pBdr>
      <w:shd w:val="clear" w:color="FFFFFF" w:fill="FFFFFF"/>
      <w:spacing w:before="100" w:beforeAutospacing="1" w:after="100" w:afterAutospacing="1"/>
      <w:textAlignment w:val="top"/>
    </w:pPr>
    <w:rPr>
      <w:color w:val="ED7D31"/>
      <w:sz w:val="18"/>
      <w:szCs w:val="18"/>
      <w:lang w:val="es-MX" w:eastAsia="es-MX"/>
    </w:rPr>
  </w:style>
  <w:style w:type="paragraph" w:customStyle="1" w:styleId="xl127">
    <w:name w:val="xl127"/>
    <w:basedOn w:val="Normal"/>
    <w:rsid w:val="00794EB9"/>
    <w:pPr>
      <w:pBdr>
        <w:top w:val="single" w:sz="8" w:space="0" w:color="000000"/>
        <w:left w:val="single" w:sz="12" w:space="0" w:color="000000"/>
        <w:right w:val="single" w:sz="8" w:space="0" w:color="000000"/>
      </w:pBdr>
      <w:spacing w:before="100" w:beforeAutospacing="1" w:after="100" w:afterAutospacing="1"/>
      <w:textAlignment w:val="top"/>
    </w:pPr>
    <w:rPr>
      <w:sz w:val="18"/>
      <w:szCs w:val="18"/>
      <w:lang w:val="es-MX" w:eastAsia="es-MX"/>
    </w:rPr>
  </w:style>
  <w:style w:type="paragraph" w:customStyle="1" w:styleId="xl128">
    <w:name w:val="xl128"/>
    <w:basedOn w:val="Normal"/>
    <w:rsid w:val="00794EB9"/>
    <w:pPr>
      <w:pBdr>
        <w:left w:val="single" w:sz="12" w:space="0" w:color="000000"/>
        <w:right w:val="single" w:sz="8" w:space="0" w:color="000000"/>
      </w:pBdr>
      <w:spacing w:before="100" w:beforeAutospacing="1" w:after="100" w:afterAutospacing="1"/>
    </w:pPr>
    <w:rPr>
      <w:sz w:val="24"/>
      <w:szCs w:val="24"/>
      <w:lang w:val="es-MX" w:eastAsia="es-MX"/>
    </w:rPr>
  </w:style>
  <w:style w:type="paragraph" w:customStyle="1" w:styleId="xl129">
    <w:name w:val="xl129"/>
    <w:basedOn w:val="Normal"/>
    <w:rsid w:val="00794EB9"/>
    <w:pPr>
      <w:pBdr>
        <w:top w:val="single" w:sz="8" w:space="0" w:color="000000"/>
        <w:left w:val="single" w:sz="8" w:space="0" w:color="000000"/>
        <w:right w:val="single" w:sz="8" w:space="0" w:color="000000"/>
      </w:pBdr>
      <w:shd w:val="clear" w:color="FFFFFF" w:fill="FFFFFF"/>
      <w:spacing w:before="100" w:beforeAutospacing="1" w:after="100" w:afterAutospacing="1"/>
      <w:jc w:val="center"/>
      <w:textAlignment w:val="top"/>
    </w:pPr>
    <w:rPr>
      <w:sz w:val="18"/>
      <w:szCs w:val="18"/>
      <w:lang w:val="es-MX" w:eastAsia="es-MX"/>
    </w:rPr>
  </w:style>
  <w:style w:type="paragraph" w:customStyle="1" w:styleId="xl130">
    <w:name w:val="xl130"/>
    <w:basedOn w:val="Normal"/>
    <w:rsid w:val="00794EB9"/>
    <w:pPr>
      <w:pBdr>
        <w:top w:val="single" w:sz="8" w:space="0" w:color="000000"/>
        <w:left w:val="single" w:sz="12" w:space="0" w:color="000000"/>
        <w:right w:val="single" w:sz="8" w:space="0" w:color="000000"/>
      </w:pBdr>
      <w:shd w:val="clear" w:color="FFFFFF" w:fill="FFFFFF"/>
      <w:spacing w:before="100" w:beforeAutospacing="1" w:after="100" w:afterAutospacing="1"/>
      <w:jc w:val="center"/>
      <w:textAlignment w:val="top"/>
    </w:pPr>
    <w:rPr>
      <w:sz w:val="18"/>
      <w:szCs w:val="18"/>
      <w:lang w:val="es-MX" w:eastAsia="es-MX"/>
    </w:rPr>
  </w:style>
  <w:style w:type="paragraph" w:customStyle="1" w:styleId="xl131">
    <w:name w:val="xl131"/>
    <w:basedOn w:val="Normal"/>
    <w:rsid w:val="00794EB9"/>
    <w:pPr>
      <w:pBdr>
        <w:top w:val="single" w:sz="8" w:space="0" w:color="000000"/>
        <w:left w:val="single" w:sz="8" w:space="0" w:color="000000"/>
        <w:right w:val="single" w:sz="8" w:space="0" w:color="000000"/>
      </w:pBdr>
      <w:shd w:val="clear" w:color="ED7D31" w:fill="ED7D31"/>
      <w:spacing w:before="100" w:beforeAutospacing="1" w:after="100" w:afterAutospacing="1"/>
      <w:textAlignment w:val="top"/>
    </w:pPr>
    <w:rPr>
      <w:sz w:val="18"/>
      <w:szCs w:val="18"/>
      <w:lang w:val="es-MX" w:eastAsia="es-MX"/>
    </w:rPr>
  </w:style>
  <w:style w:type="paragraph" w:customStyle="1" w:styleId="xl132">
    <w:name w:val="xl132"/>
    <w:basedOn w:val="Normal"/>
    <w:rsid w:val="00794EB9"/>
    <w:pPr>
      <w:pBdr>
        <w:top w:val="single" w:sz="8" w:space="0" w:color="000000"/>
        <w:left w:val="single" w:sz="8" w:space="0" w:color="000000"/>
        <w:right w:val="single" w:sz="8" w:space="0" w:color="000000"/>
      </w:pBdr>
      <w:shd w:val="clear" w:color="FFFFFF" w:fill="FFFFFF"/>
      <w:spacing w:before="100" w:beforeAutospacing="1" w:after="100" w:afterAutospacing="1"/>
      <w:textAlignment w:val="top"/>
    </w:pPr>
    <w:rPr>
      <w:sz w:val="18"/>
      <w:szCs w:val="18"/>
      <w:lang w:val="es-MX" w:eastAsia="es-MX"/>
    </w:rPr>
  </w:style>
  <w:style w:type="paragraph" w:customStyle="1" w:styleId="xl133">
    <w:name w:val="xl133"/>
    <w:basedOn w:val="Normal"/>
    <w:rsid w:val="00794EB9"/>
    <w:pPr>
      <w:pBdr>
        <w:top w:val="single" w:sz="8" w:space="0" w:color="000000"/>
        <w:right w:val="single" w:sz="8" w:space="0" w:color="000000"/>
      </w:pBdr>
      <w:shd w:val="clear" w:color="FFFFFF" w:fill="FFFFFF"/>
      <w:spacing w:before="100" w:beforeAutospacing="1" w:after="100" w:afterAutospacing="1"/>
      <w:jc w:val="center"/>
      <w:textAlignment w:val="top"/>
    </w:pPr>
    <w:rPr>
      <w:sz w:val="18"/>
      <w:szCs w:val="18"/>
      <w:lang w:val="es-MX" w:eastAsia="es-MX"/>
    </w:rPr>
  </w:style>
  <w:style w:type="paragraph" w:customStyle="1" w:styleId="xl134">
    <w:name w:val="xl134"/>
    <w:basedOn w:val="Normal"/>
    <w:rsid w:val="00794EB9"/>
    <w:pPr>
      <w:pBdr>
        <w:right w:val="single" w:sz="8" w:space="0" w:color="000000"/>
      </w:pBdr>
      <w:spacing w:before="100" w:beforeAutospacing="1" w:after="100" w:afterAutospacing="1"/>
    </w:pPr>
    <w:rPr>
      <w:sz w:val="24"/>
      <w:szCs w:val="24"/>
      <w:lang w:val="es-MX" w:eastAsia="es-MX"/>
    </w:rPr>
  </w:style>
  <w:style w:type="paragraph" w:customStyle="1" w:styleId="xl135">
    <w:name w:val="xl135"/>
    <w:basedOn w:val="Normal"/>
    <w:rsid w:val="00794EB9"/>
    <w:pPr>
      <w:pBdr>
        <w:bottom w:val="single" w:sz="8" w:space="0" w:color="000000"/>
        <w:right w:val="single" w:sz="8" w:space="0" w:color="000000"/>
      </w:pBdr>
      <w:spacing w:before="100" w:beforeAutospacing="1" w:after="100" w:afterAutospacing="1"/>
    </w:pPr>
    <w:rPr>
      <w:sz w:val="24"/>
      <w:szCs w:val="24"/>
      <w:lang w:val="es-MX" w:eastAsia="es-MX"/>
    </w:rPr>
  </w:style>
  <w:style w:type="table" w:customStyle="1" w:styleId="Tablaconcuadrcula32">
    <w:name w:val="Tabla con cuadrícula32"/>
    <w:basedOn w:val="Tablanormal"/>
    <w:next w:val="Tablaconcuadrcula"/>
    <w:uiPriority w:val="39"/>
    <w:rsid w:val="00794E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8.png"/><Relationship Id="rId42" Type="http://schemas.microsoft.com/office/2007/relationships/hdphoto" Target="media/hdphoto17.wdp"/><Relationship Id="rId47" Type="http://schemas.microsoft.com/office/2007/relationships/hdphoto" Target="media/hdphoto19.wdp"/><Relationship Id="rId63" Type="http://schemas.openxmlformats.org/officeDocument/2006/relationships/image" Target="media/image30.png"/><Relationship Id="rId68" Type="http://schemas.microsoft.com/office/2007/relationships/hdphoto" Target="media/hdphoto29.wdp"/><Relationship Id="rId84" Type="http://schemas.microsoft.com/office/2007/relationships/hdphoto" Target="media/hdphoto35.wdp"/><Relationship Id="rId89" Type="http://schemas.openxmlformats.org/officeDocument/2006/relationships/image" Target="media/image45.png"/><Relationship Id="rId16" Type="http://schemas.microsoft.com/office/2007/relationships/hdphoto" Target="media/hdphoto5.wdp"/><Relationship Id="rId107" Type="http://schemas.openxmlformats.org/officeDocument/2006/relationships/footer" Target="footer1.xml"/><Relationship Id="rId11" Type="http://schemas.openxmlformats.org/officeDocument/2006/relationships/image" Target="media/image3.png"/><Relationship Id="rId32" Type="http://schemas.openxmlformats.org/officeDocument/2006/relationships/image" Target="media/image14.png"/><Relationship Id="rId37" Type="http://schemas.microsoft.com/office/2007/relationships/hdphoto" Target="media/hdphoto15.wdp"/><Relationship Id="rId53" Type="http://schemas.openxmlformats.org/officeDocument/2006/relationships/image" Target="media/image25.png"/><Relationship Id="rId58" Type="http://schemas.microsoft.com/office/2007/relationships/hdphoto" Target="media/hdphoto24.wdp"/><Relationship Id="rId74" Type="http://schemas.openxmlformats.org/officeDocument/2006/relationships/image" Target="media/image37.png"/><Relationship Id="rId79" Type="http://schemas.openxmlformats.org/officeDocument/2006/relationships/image" Target="media/image40.png"/><Relationship Id="rId102" Type="http://schemas.openxmlformats.org/officeDocument/2006/relationships/image" Target="media/image52.png"/><Relationship Id="rId5" Type="http://schemas.openxmlformats.org/officeDocument/2006/relationships/footnotes" Target="footnotes.xml"/><Relationship Id="rId90" Type="http://schemas.microsoft.com/office/2007/relationships/hdphoto" Target="media/hdphoto38.wdp"/><Relationship Id="rId95" Type="http://schemas.microsoft.com/office/2007/relationships/hdphoto" Target="media/hdphoto40.wdp"/><Relationship Id="rId22" Type="http://schemas.microsoft.com/office/2007/relationships/hdphoto" Target="media/hdphoto8.wdp"/><Relationship Id="rId27" Type="http://schemas.microsoft.com/office/2007/relationships/hdphoto" Target="media/hdphoto10.wdp"/><Relationship Id="rId43" Type="http://schemas.openxmlformats.org/officeDocument/2006/relationships/hyperlink" Target="https://datos.covid-19.conacyt.mx/" TargetMode="External"/><Relationship Id="rId48" Type="http://schemas.openxmlformats.org/officeDocument/2006/relationships/image" Target="media/image22.png"/><Relationship Id="rId64" Type="http://schemas.microsoft.com/office/2007/relationships/hdphoto" Target="media/hdphoto27.wdp"/><Relationship Id="rId69" Type="http://schemas.openxmlformats.org/officeDocument/2006/relationships/image" Target="media/image33.png"/><Relationship Id="rId80" Type="http://schemas.microsoft.com/office/2007/relationships/hdphoto" Target="media/hdphoto33.wdp"/><Relationship Id="rId85" Type="http://schemas.openxmlformats.org/officeDocument/2006/relationships/image" Target="media/image43.png"/><Relationship Id="rId12" Type="http://schemas.microsoft.com/office/2007/relationships/hdphoto" Target="media/hdphoto3.wdp"/><Relationship Id="rId17" Type="http://schemas.openxmlformats.org/officeDocument/2006/relationships/image" Target="media/image6.png"/><Relationship Id="rId33" Type="http://schemas.microsoft.com/office/2007/relationships/hdphoto" Target="media/hdphoto13.wdp"/><Relationship Id="rId38" Type="http://schemas.openxmlformats.org/officeDocument/2006/relationships/image" Target="media/image17.png"/><Relationship Id="rId59" Type="http://schemas.openxmlformats.org/officeDocument/2006/relationships/image" Target="media/image28.png"/><Relationship Id="rId103" Type="http://schemas.microsoft.com/office/2007/relationships/hdphoto" Target="media/hdphoto44.wdp"/><Relationship Id="rId108" Type="http://schemas.openxmlformats.org/officeDocument/2006/relationships/fontTable" Target="fontTable.xml"/><Relationship Id="rId54" Type="http://schemas.microsoft.com/office/2007/relationships/hdphoto" Target="media/hdphoto22.wdp"/><Relationship Id="rId70" Type="http://schemas.openxmlformats.org/officeDocument/2006/relationships/image" Target="media/image34.png"/><Relationship Id="rId75" Type="http://schemas.microsoft.com/office/2007/relationships/hdphoto" Target="media/hdphoto31.wdp"/><Relationship Id="rId91" Type="http://schemas.openxmlformats.org/officeDocument/2006/relationships/image" Target="media/image46.png"/><Relationship Id="rId96" Type="http://schemas.openxmlformats.org/officeDocument/2006/relationships/image" Target="media/image4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6.png"/><Relationship Id="rId49" Type="http://schemas.microsoft.com/office/2007/relationships/hdphoto" Target="media/hdphoto20.wdp"/><Relationship Id="rId57" Type="http://schemas.openxmlformats.org/officeDocument/2006/relationships/image" Target="media/image27.png"/><Relationship Id="rId106" Type="http://schemas.openxmlformats.org/officeDocument/2006/relationships/header" Target="header3.xml"/><Relationship Id="rId10" Type="http://schemas.microsoft.com/office/2007/relationships/hdphoto" Target="media/hdphoto2.wdp"/><Relationship Id="rId31" Type="http://schemas.microsoft.com/office/2007/relationships/hdphoto" Target="media/hdphoto12.wdp"/><Relationship Id="rId44" Type="http://schemas.openxmlformats.org/officeDocument/2006/relationships/image" Target="media/image20.png"/><Relationship Id="rId52" Type="http://schemas.openxmlformats.org/officeDocument/2006/relationships/image" Target="media/image24.png"/><Relationship Id="rId60" Type="http://schemas.microsoft.com/office/2007/relationships/hdphoto" Target="media/hdphoto25.wdp"/><Relationship Id="rId65" Type="http://schemas.openxmlformats.org/officeDocument/2006/relationships/image" Target="media/image31.png"/><Relationship Id="rId73" Type="http://schemas.openxmlformats.org/officeDocument/2006/relationships/image" Target="media/image36.png"/><Relationship Id="rId78" Type="http://schemas.microsoft.com/office/2007/relationships/hdphoto" Target="media/hdphoto32.wdp"/><Relationship Id="rId81" Type="http://schemas.openxmlformats.org/officeDocument/2006/relationships/image" Target="media/image41.png"/><Relationship Id="rId86" Type="http://schemas.microsoft.com/office/2007/relationships/hdphoto" Target="media/hdphoto36.wdp"/><Relationship Id="rId94" Type="http://schemas.openxmlformats.org/officeDocument/2006/relationships/image" Target="media/image48.png"/><Relationship Id="rId99" Type="http://schemas.microsoft.com/office/2007/relationships/hdphoto" Target="media/hdphoto42.wdp"/><Relationship Id="rId101" Type="http://schemas.microsoft.com/office/2007/relationships/hdphoto" Target="media/hdphoto43.wdp"/><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4.png"/><Relationship Id="rId18" Type="http://schemas.microsoft.com/office/2007/relationships/hdphoto" Target="media/hdphoto6.wdp"/><Relationship Id="rId39" Type="http://schemas.microsoft.com/office/2007/relationships/hdphoto" Target="media/hdphoto16.wdp"/><Relationship Id="rId109" Type="http://schemas.openxmlformats.org/officeDocument/2006/relationships/theme" Target="theme/theme1.xml"/><Relationship Id="rId34" Type="http://schemas.openxmlformats.org/officeDocument/2006/relationships/image" Target="media/image15.png"/><Relationship Id="rId50" Type="http://schemas.openxmlformats.org/officeDocument/2006/relationships/image" Target="media/image23.png"/><Relationship Id="rId55" Type="http://schemas.openxmlformats.org/officeDocument/2006/relationships/image" Target="media/image26.png"/><Relationship Id="rId76" Type="http://schemas.openxmlformats.org/officeDocument/2006/relationships/image" Target="media/image38.png"/><Relationship Id="rId97" Type="http://schemas.microsoft.com/office/2007/relationships/hdphoto" Target="media/hdphoto41.wdp"/><Relationship Id="rId104"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image" Target="media/image35.png"/><Relationship Id="rId92" Type="http://schemas.microsoft.com/office/2007/relationships/hdphoto" Target="media/hdphoto39.wdp"/><Relationship Id="rId2" Type="http://schemas.openxmlformats.org/officeDocument/2006/relationships/styles" Target="styles.xml"/><Relationship Id="rId29" Type="http://schemas.microsoft.com/office/2007/relationships/hdphoto" Target="media/hdphoto11.wdp"/><Relationship Id="rId24" Type="http://schemas.openxmlformats.org/officeDocument/2006/relationships/image" Target="media/image10.png"/><Relationship Id="rId40" Type="http://schemas.openxmlformats.org/officeDocument/2006/relationships/image" Target="media/image18.png"/><Relationship Id="rId45" Type="http://schemas.microsoft.com/office/2007/relationships/hdphoto" Target="media/hdphoto18.wdp"/><Relationship Id="rId66" Type="http://schemas.microsoft.com/office/2007/relationships/hdphoto" Target="media/hdphoto28.wdp"/><Relationship Id="rId87" Type="http://schemas.openxmlformats.org/officeDocument/2006/relationships/image" Target="media/image44.png"/><Relationship Id="rId61" Type="http://schemas.openxmlformats.org/officeDocument/2006/relationships/image" Target="media/image29.png"/><Relationship Id="rId82" Type="http://schemas.microsoft.com/office/2007/relationships/hdphoto" Target="media/hdphoto34.wdp"/><Relationship Id="rId19" Type="http://schemas.openxmlformats.org/officeDocument/2006/relationships/image" Target="media/image7.png"/><Relationship Id="rId14" Type="http://schemas.microsoft.com/office/2007/relationships/hdphoto" Target="media/hdphoto4.wdp"/><Relationship Id="rId30" Type="http://schemas.openxmlformats.org/officeDocument/2006/relationships/image" Target="media/image13.png"/><Relationship Id="rId35" Type="http://schemas.microsoft.com/office/2007/relationships/hdphoto" Target="media/hdphoto14.wdp"/><Relationship Id="rId56" Type="http://schemas.microsoft.com/office/2007/relationships/hdphoto" Target="media/hdphoto23.wdp"/><Relationship Id="rId77" Type="http://schemas.openxmlformats.org/officeDocument/2006/relationships/image" Target="media/image39.png"/><Relationship Id="rId100" Type="http://schemas.openxmlformats.org/officeDocument/2006/relationships/image" Target="media/image51.png"/><Relationship Id="rId105" Type="http://schemas.openxmlformats.org/officeDocument/2006/relationships/header" Target="header2.xml"/><Relationship Id="rId8" Type="http://schemas.microsoft.com/office/2007/relationships/hdphoto" Target="media/hdphoto1.wdp"/><Relationship Id="rId51" Type="http://schemas.microsoft.com/office/2007/relationships/hdphoto" Target="media/hdphoto21.wdp"/><Relationship Id="rId72" Type="http://schemas.microsoft.com/office/2007/relationships/hdphoto" Target="media/hdphoto30.wdp"/><Relationship Id="rId93" Type="http://schemas.openxmlformats.org/officeDocument/2006/relationships/image" Target="media/image47.png"/><Relationship Id="rId98" Type="http://schemas.openxmlformats.org/officeDocument/2006/relationships/image" Target="media/image50.png"/><Relationship Id="rId3" Type="http://schemas.openxmlformats.org/officeDocument/2006/relationships/settings" Target="settings.xml"/><Relationship Id="rId25" Type="http://schemas.microsoft.com/office/2007/relationships/hdphoto" Target="media/hdphoto9.wdp"/><Relationship Id="rId46" Type="http://schemas.openxmlformats.org/officeDocument/2006/relationships/image" Target="media/image21.png"/><Relationship Id="rId67" Type="http://schemas.openxmlformats.org/officeDocument/2006/relationships/image" Target="media/image32.png"/><Relationship Id="rId20" Type="http://schemas.microsoft.com/office/2007/relationships/hdphoto" Target="media/hdphoto7.wdp"/><Relationship Id="rId41" Type="http://schemas.openxmlformats.org/officeDocument/2006/relationships/image" Target="media/image19.png"/><Relationship Id="rId62" Type="http://schemas.microsoft.com/office/2007/relationships/hdphoto" Target="media/hdphoto26.wdp"/><Relationship Id="rId83" Type="http://schemas.openxmlformats.org/officeDocument/2006/relationships/image" Target="media/image42.png"/><Relationship Id="rId88" Type="http://schemas.microsoft.com/office/2007/relationships/hdphoto" Target="media/hdphoto37.wdp"/></Relationships>
</file>

<file path=word/_rels/header1.xml.rels><?xml version="1.0" encoding="UTF-8" standalone="yes"?>
<Relationships xmlns="http://schemas.openxmlformats.org/package/2006/relationships"><Relationship Id="rId1" Type="http://schemas.openxmlformats.org/officeDocument/2006/relationships/image" Target="media/image53.png"/></Relationships>
</file>

<file path=word/_rels/header2.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54.png"/></Relationships>
</file>

<file path=word/_rels/header3.xml.rels><?xml version="1.0" encoding="UTF-8" standalone="yes"?>
<Relationships xmlns="http://schemas.openxmlformats.org/package/2006/relationships"><Relationship Id="rId1" Type="http://schemas.openxmlformats.org/officeDocument/2006/relationships/image" Target="media/image5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256</TotalTime>
  <Pages>382</Pages>
  <Words>82066</Words>
  <Characters>451365</Characters>
  <Application>Microsoft Office Word</Application>
  <DocSecurity>0</DocSecurity>
  <Lines>3761</Lines>
  <Paragraphs>1064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532367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Iris Guadalupe Padilla Campos</dc:creator>
  <cp:keywords/>
  <dc:description/>
  <cp:lastModifiedBy>Noe Chavez Aguado</cp:lastModifiedBy>
  <cp:revision>10</cp:revision>
  <cp:lastPrinted>2018-11-07T17:48:00Z</cp:lastPrinted>
  <dcterms:created xsi:type="dcterms:W3CDTF">2021-12-31T17:44:00Z</dcterms:created>
  <dcterms:modified xsi:type="dcterms:W3CDTF">2023-01-17T21:16:00Z</dcterms:modified>
</cp:coreProperties>
</file>