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B2261" w14:textId="3AAB279A" w:rsidR="005C3FCA" w:rsidRDefault="00C21CF1" w:rsidP="00E1257C">
      <w:pPr>
        <w:spacing w:line="360" w:lineRule="auto"/>
        <w:ind w:firstLine="709"/>
        <w:jc w:val="both"/>
        <w:rPr>
          <w:rFonts w:ascii="Century" w:hAnsi="Century"/>
        </w:rPr>
      </w:pPr>
      <w:r>
        <w:rPr>
          <w:rFonts w:ascii="Century" w:hAnsi="Century"/>
        </w:rPr>
        <w:t>León, Guanajuato, a</w:t>
      </w:r>
      <w:r w:rsidR="00FE41CE">
        <w:rPr>
          <w:rFonts w:ascii="Century" w:hAnsi="Century"/>
        </w:rPr>
        <w:t xml:space="preserve"> </w:t>
      </w:r>
      <w:r w:rsidR="005A68A6">
        <w:rPr>
          <w:rFonts w:ascii="Century" w:hAnsi="Century"/>
        </w:rPr>
        <w:t>2</w:t>
      </w:r>
      <w:r w:rsidR="00FB72D2">
        <w:rPr>
          <w:rFonts w:ascii="Century" w:hAnsi="Century"/>
        </w:rPr>
        <w:t>8</w:t>
      </w:r>
      <w:r w:rsidR="005A68A6">
        <w:rPr>
          <w:rFonts w:ascii="Century" w:hAnsi="Century"/>
        </w:rPr>
        <w:t xml:space="preserve"> veinti</w:t>
      </w:r>
      <w:r w:rsidR="00FB72D2">
        <w:rPr>
          <w:rFonts w:ascii="Century" w:hAnsi="Century"/>
        </w:rPr>
        <w:t>ocho</w:t>
      </w:r>
      <w:r w:rsidR="005A68A6">
        <w:rPr>
          <w:rFonts w:ascii="Century" w:hAnsi="Century"/>
        </w:rPr>
        <w:t xml:space="preserve"> </w:t>
      </w:r>
      <w:r w:rsidR="009D3EA9">
        <w:rPr>
          <w:rFonts w:ascii="Century" w:hAnsi="Century"/>
        </w:rPr>
        <w:t xml:space="preserve">de </w:t>
      </w:r>
      <w:r w:rsidR="00781505">
        <w:rPr>
          <w:rFonts w:ascii="Century" w:hAnsi="Century"/>
        </w:rPr>
        <w:t>marzo</w:t>
      </w:r>
      <w:r>
        <w:rPr>
          <w:rFonts w:ascii="Century" w:hAnsi="Century"/>
        </w:rPr>
        <w:t xml:space="preserve"> </w:t>
      </w:r>
      <w:r w:rsidR="00E1257C" w:rsidRPr="00E1257C">
        <w:rPr>
          <w:rFonts w:ascii="Century" w:hAnsi="Century"/>
        </w:rPr>
        <w:t>del año 201</w:t>
      </w:r>
      <w:r w:rsidR="006F68CB">
        <w:rPr>
          <w:rFonts w:ascii="Century" w:hAnsi="Century"/>
        </w:rPr>
        <w:t>9</w:t>
      </w:r>
      <w:r w:rsidR="00E1257C" w:rsidRPr="00E1257C">
        <w:rPr>
          <w:rFonts w:ascii="Century" w:hAnsi="Century"/>
        </w:rPr>
        <w:t xml:space="preserve"> dos mil dieci</w:t>
      </w:r>
      <w:r w:rsidR="006F68CB">
        <w:rPr>
          <w:rFonts w:ascii="Century" w:hAnsi="Century"/>
        </w:rPr>
        <w:t>nueve</w:t>
      </w:r>
      <w:r w:rsidR="00E1257C" w:rsidRPr="00E1257C">
        <w:rPr>
          <w:rFonts w:ascii="Century" w:hAnsi="Century"/>
        </w:rPr>
        <w:t xml:space="preserve">. </w:t>
      </w:r>
    </w:p>
    <w:p w14:paraId="46185F4E" w14:textId="77777777" w:rsidR="005C3FCA" w:rsidRDefault="005C3FCA" w:rsidP="00E1257C">
      <w:pPr>
        <w:spacing w:line="360" w:lineRule="auto"/>
        <w:ind w:firstLine="709"/>
        <w:jc w:val="both"/>
        <w:rPr>
          <w:rFonts w:ascii="Century" w:hAnsi="Century"/>
        </w:rPr>
      </w:pPr>
    </w:p>
    <w:p w14:paraId="0BEC627F" w14:textId="250AC534"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473EA2" w:rsidRPr="00473EA2">
        <w:rPr>
          <w:rFonts w:ascii="Century" w:hAnsi="Century"/>
          <w:b/>
        </w:rPr>
        <w:t>1</w:t>
      </w:r>
      <w:r w:rsidR="002C451C">
        <w:rPr>
          <w:rFonts w:ascii="Century" w:hAnsi="Century"/>
          <w:b/>
        </w:rPr>
        <w:t>69</w:t>
      </w:r>
      <w:r w:rsidR="005A68A6">
        <w:rPr>
          <w:rFonts w:ascii="Century" w:hAnsi="Century"/>
          <w:b/>
        </w:rPr>
        <w:t>5</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F3430A">
        <w:t>(…)</w:t>
      </w:r>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r w:rsidR="00E704E8">
        <w:rPr>
          <w:rFonts w:ascii="Century" w:hAnsi="Century"/>
        </w:rPr>
        <w:t>--</w:t>
      </w:r>
      <w:r w:rsidR="005A68A6">
        <w:rPr>
          <w:rFonts w:ascii="Century" w:hAnsi="Century"/>
        </w:rPr>
        <w:t>----</w:t>
      </w:r>
      <w:r w:rsidR="00E563C0">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8B10D1C"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21D54E26"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985FD3">
        <w:rPr>
          <w:rFonts w:ascii="Century" w:hAnsi="Century"/>
        </w:rPr>
        <w:t>2</w:t>
      </w:r>
      <w:r w:rsidR="005A68A6">
        <w:rPr>
          <w:rFonts w:ascii="Century" w:hAnsi="Century"/>
        </w:rPr>
        <w:t>7 veintisiete de no</w:t>
      </w:r>
      <w:r w:rsidR="00985FD3">
        <w:rPr>
          <w:rFonts w:ascii="Century" w:hAnsi="Century"/>
        </w:rPr>
        <w:t>viembre</w:t>
      </w:r>
      <w:r w:rsidR="00473EA2">
        <w:rPr>
          <w:rFonts w:ascii="Century" w:hAnsi="Century"/>
        </w:rPr>
        <w:t xml:space="preserve"> </w:t>
      </w:r>
      <w:r w:rsidR="00F63170">
        <w:rPr>
          <w:rFonts w:ascii="Century" w:hAnsi="Century"/>
        </w:rPr>
        <w:t>del año 2018 dos mil dieciocho,</w:t>
      </w:r>
      <w:r w:rsidRPr="00E1257C">
        <w:rPr>
          <w:rFonts w:ascii="Century" w:hAnsi="Century"/>
        </w:rPr>
        <w:t xml:space="preserve"> la parte actora presentó demanda de nulidad, señalando como acto impugnado el acta de infracción con número de folio </w:t>
      </w:r>
      <w:r w:rsidR="00985FD3">
        <w:rPr>
          <w:rFonts w:ascii="Century" w:hAnsi="Century"/>
          <w:b/>
        </w:rPr>
        <w:t>T 5</w:t>
      </w:r>
      <w:r w:rsidR="005A68A6">
        <w:rPr>
          <w:rFonts w:ascii="Century" w:hAnsi="Century"/>
          <w:b/>
        </w:rPr>
        <w:t>830417</w:t>
      </w:r>
      <w:r w:rsidR="00985FD3">
        <w:rPr>
          <w:rFonts w:ascii="Century" w:hAnsi="Century"/>
          <w:b/>
        </w:rPr>
        <w:t xml:space="preserve"> (Letra T cinco </w:t>
      </w:r>
      <w:r w:rsidR="005A68A6">
        <w:rPr>
          <w:rFonts w:ascii="Century" w:hAnsi="Century"/>
          <w:b/>
        </w:rPr>
        <w:t>ocho tres cero cuatro uno siete</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E01F97">
        <w:rPr>
          <w:rFonts w:ascii="Century" w:hAnsi="Century"/>
        </w:rPr>
        <w:t xml:space="preserve">21 veintiuno </w:t>
      </w:r>
      <w:r w:rsidR="00985FD3">
        <w:rPr>
          <w:rFonts w:ascii="Century" w:hAnsi="Century"/>
        </w:rPr>
        <w:t>de octubre</w:t>
      </w:r>
      <w:r w:rsidR="00F63170">
        <w:rPr>
          <w:rFonts w:ascii="Century" w:hAnsi="Century"/>
        </w:rPr>
        <w:t xml:space="preserve"> </w:t>
      </w:r>
      <w:r w:rsidR="00D61759">
        <w:rPr>
          <w:rFonts w:ascii="Century" w:hAnsi="Century"/>
        </w:rPr>
        <w:t xml:space="preserve">del año </w:t>
      </w:r>
      <w:r w:rsidRPr="00E1257C">
        <w:rPr>
          <w:rFonts w:ascii="Century" w:hAnsi="Century"/>
        </w:rPr>
        <w:t>del año 201</w:t>
      </w:r>
      <w:r w:rsidR="00F63170">
        <w:rPr>
          <w:rFonts w:ascii="Century" w:hAnsi="Century"/>
        </w:rPr>
        <w:t>8 dos mil dieciocho</w:t>
      </w:r>
      <w:r w:rsidRPr="00E1257C">
        <w:rPr>
          <w:rFonts w:ascii="Century" w:hAnsi="Century"/>
        </w:rPr>
        <w:t>, y como autoridades demandadas señala a</w:t>
      </w:r>
      <w:r w:rsidR="00D565EB">
        <w:rPr>
          <w:rFonts w:ascii="Century" w:hAnsi="Century"/>
        </w:rPr>
        <w:t xml:space="preserve"> </w:t>
      </w:r>
      <w:r w:rsidRPr="00E1257C">
        <w:rPr>
          <w:rFonts w:ascii="Century" w:hAnsi="Century"/>
        </w:rPr>
        <w:t>l</w:t>
      </w:r>
      <w:r w:rsidR="00D565EB">
        <w:rPr>
          <w:rFonts w:ascii="Century" w:hAnsi="Century"/>
        </w:rPr>
        <w:t>a</w:t>
      </w:r>
      <w:r w:rsidRPr="00E1257C">
        <w:rPr>
          <w:rFonts w:ascii="Century" w:hAnsi="Century"/>
        </w:rPr>
        <w:t xml:space="preserve"> </w:t>
      </w:r>
      <w:bookmarkStart w:id="0" w:name="_GoBack"/>
      <w:r w:rsidRPr="00E1257C">
        <w:rPr>
          <w:rFonts w:ascii="Century" w:hAnsi="Century"/>
        </w:rPr>
        <w:t>agente</w:t>
      </w:r>
      <w:bookmarkEnd w:id="0"/>
      <w:r w:rsidRPr="00E1257C">
        <w:rPr>
          <w:rFonts w:ascii="Century" w:hAnsi="Century"/>
        </w:rPr>
        <w:t xml:space="preserve"> de tránsito, que elaboró el acta de infracción. -----</w:t>
      </w:r>
      <w:r w:rsidR="00473EA2">
        <w:rPr>
          <w:rFonts w:ascii="Century" w:hAnsi="Century"/>
        </w:rPr>
        <w:t>--------</w:t>
      </w:r>
      <w:r w:rsidR="00E01F97">
        <w:rPr>
          <w:rFonts w:ascii="Century" w:hAnsi="Century"/>
        </w:rPr>
        <w:t>-------------</w:t>
      </w:r>
      <w:r w:rsidR="00473EA2">
        <w:rPr>
          <w:rFonts w:ascii="Century" w:hAnsi="Century"/>
        </w:rPr>
        <w:t>-------------</w:t>
      </w:r>
      <w:r w:rsidRPr="00E1257C">
        <w:rPr>
          <w:rFonts w:ascii="Century" w:hAnsi="Century"/>
        </w:rPr>
        <w:t>----------</w:t>
      </w:r>
      <w:r w:rsidR="00E01F97">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69613794" w14:textId="49EDE2C4" w:rsidR="00E01F97"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E01F97">
        <w:rPr>
          <w:rFonts w:ascii="Century" w:hAnsi="Century"/>
        </w:rPr>
        <w:t>30 treinta</w:t>
      </w:r>
      <w:r w:rsidR="00985FD3">
        <w:rPr>
          <w:rFonts w:ascii="Century" w:hAnsi="Century"/>
        </w:rPr>
        <w:t xml:space="preserve"> de noviemb</w:t>
      </w:r>
      <w:r w:rsidR="001E6BF8">
        <w:rPr>
          <w:rFonts w:ascii="Century" w:hAnsi="Century"/>
        </w:rPr>
        <w:t>re</w:t>
      </w:r>
      <w:r w:rsidR="0070483D">
        <w:rPr>
          <w:rFonts w:ascii="Century" w:hAnsi="Century"/>
        </w:rPr>
        <w:t xml:space="preserve"> del año 2018 dos mil dieciocho, </w:t>
      </w:r>
      <w:r w:rsidRPr="00E1257C">
        <w:rPr>
          <w:rFonts w:ascii="Century" w:hAnsi="Century"/>
        </w:rPr>
        <w:t>se admite a trámite la demanda</w:t>
      </w:r>
      <w:r w:rsidR="00E01F97">
        <w:rPr>
          <w:rFonts w:ascii="Century" w:hAnsi="Century"/>
        </w:rPr>
        <w:t xml:space="preserve">, se requiere al actor a efecto de que anexe el original o copia certificada del documento legal idóneo con el que acredite su personalidad jurídica, esto es, como apoderado legal del ciudadano </w:t>
      </w:r>
      <w:r w:rsidR="00F3430A">
        <w:t>(…)</w:t>
      </w:r>
      <w:r w:rsidR="00E01F97">
        <w:rPr>
          <w:rFonts w:ascii="Century" w:hAnsi="Century"/>
        </w:rPr>
        <w:t xml:space="preserve">, toda vez que por un lado en su promoción inicial se conduce y la suscribe como </w:t>
      </w:r>
      <w:r w:rsidR="00F3430A">
        <w:t>(…)</w:t>
      </w:r>
      <w:r w:rsidR="00E01F97">
        <w:rPr>
          <w:rFonts w:ascii="Century" w:hAnsi="Century"/>
        </w:rPr>
        <w:t>. Asimismo deberá de hacerse acompañar del original o copia certificada, del documento legal idóneo mediante el cual acredite ser poseedor o propietario de la unidad de motor infraccionada; señalando además las pretensiones intentadas con las copias necesarias del escrito de cumplimiento y sus anexos, lo anterior, bajo apercibimiento de que en caso de no dar cumplimiento se le tendrá por demandando bajo las condiciones y términos con los que se ostenta en su libelo inicial de la demanda de nulidad. -------------------</w:t>
      </w:r>
    </w:p>
    <w:p w14:paraId="7C632B15" w14:textId="6E58FCB9" w:rsidR="00E01F97" w:rsidRDefault="00E01F97" w:rsidP="00E1257C">
      <w:pPr>
        <w:spacing w:line="360" w:lineRule="auto"/>
        <w:ind w:firstLine="709"/>
        <w:jc w:val="both"/>
        <w:rPr>
          <w:rFonts w:ascii="Century" w:hAnsi="Century"/>
        </w:rPr>
      </w:pPr>
    </w:p>
    <w:p w14:paraId="5308C1F0" w14:textId="2DE66F94" w:rsidR="008A4089" w:rsidRDefault="00E01F97" w:rsidP="00E1257C">
      <w:pPr>
        <w:spacing w:line="360" w:lineRule="auto"/>
        <w:ind w:firstLine="709"/>
        <w:jc w:val="both"/>
        <w:rPr>
          <w:rFonts w:ascii="Century" w:hAnsi="Century"/>
        </w:rPr>
      </w:pPr>
      <w:r w:rsidRPr="004C67B4">
        <w:rPr>
          <w:rFonts w:ascii="Century" w:hAnsi="Century"/>
          <w:b/>
        </w:rPr>
        <w:lastRenderedPageBreak/>
        <w:t>TERCERO.</w:t>
      </w:r>
      <w:r>
        <w:rPr>
          <w:rFonts w:ascii="Century" w:hAnsi="Century"/>
        </w:rPr>
        <w:t xml:space="preserve"> </w:t>
      </w:r>
      <w:r w:rsidR="008A4089">
        <w:rPr>
          <w:rFonts w:ascii="Century" w:hAnsi="Century"/>
        </w:rPr>
        <w:t xml:space="preserve">Por acuerdo de fecha 17 diecisiete de diciembre del año 2018 dos mil dieciocho, se tiene al promovente por haciendo manifestaciones, así como por atendiendo el requerimiento, por lo que se admite a trámite la demanda y se ordena correr traslado de la mismas y sus anexos a la demanda. </w:t>
      </w:r>
    </w:p>
    <w:p w14:paraId="7C533AFB" w14:textId="375B4E2C" w:rsidR="008A4089" w:rsidRDefault="008A4089" w:rsidP="00E1257C">
      <w:pPr>
        <w:spacing w:line="360" w:lineRule="auto"/>
        <w:ind w:firstLine="709"/>
        <w:jc w:val="both"/>
        <w:rPr>
          <w:rFonts w:ascii="Century" w:hAnsi="Century"/>
        </w:rPr>
      </w:pPr>
    </w:p>
    <w:p w14:paraId="44D2BF6E" w14:textId="339E45CB" w:rsidR="008A4089" w:rsidRDefault="008A4089" w:rsidP="00E1257C">
      <w:pPr>
        <w:spacing w:line="360" w:lineRule="auto"/>
        <w:ind w:firstLine="709"/>
        <w:jc w:val="both"/>
        <w:rPr>
          <w:rFonts w:ascii="Century" w:hAnsi="Century"/>
        </w:rPr>
      </w:pPr>
      <w:r>
        <w:rPr>
          <w:rFonts w:ascii="Century" w:hAnsi="Century"/>
        </w:rPr>
        <w:t xml:space="preserve">Respecto a la suspensión, se concede para el efecto de que se mantengan las cosas en el estado en que se encuentran, por lo que la autoridad demandada deberá solicitar a la Tesorería Municipal se abstenga de iniciar el Procedimiento Administrativo de Ejecución, hasta que se dicte la resolución definitiva, o si ya se hubiera iniciado, se abstenga de continuar con el mismo. </w:t>
      </w:r>
    </w:p>
    <w:p w14:paraId="098EE28B" w14:textId="77777777" w:rsidR="008A4089" w:rsidRDefault="008A4089" w:rsidP="00E1257C">
      <w:pPr>
        <w:spacing w:line="360" w:lineRule="auto"/>
        <w:ind w:firstLine="709"/>
        <w:jc w:val="both"/>
        <w:rPr>
          <w:rFonts w:ascii="Century" w:hAnsi="Century"/>
        </w:rPr>
      </w:pPr>
    </w:p>
    <w:p w14:paraId="572A10EB" w14:textId="0AD0A451" w:rsidR="004C67B4" w:rsidRDefault="00617A72" w:rsidP="00E1257C">
      <w:pPr>
        <w:spacing w:line="360" w:lineRule="auto"/>
        <w:ind w:firstLine="709"/>
        <w:jc w:val="both"/>
        <w:rPr>
          <w:rFonts w:ascii="Century" w:hAnsi="Century"/>
        </w:rPr>
      </w:pPr>
      <w:r w:rsidRPr="004C67B4">
        <w:rPr>
          <w:rFonts w:ascii="Century" w:hAnsi="Century"/>
          <w:b/>
        </w:rPr>
        <w:t>CUARTO.</w:t>
      </w:r>
      <w:r>
        <w:rPr>
          <w:rFonts w:ascii="Century" w:hAnsi="Century"/>
        </w:rPr>
        <w:t xml:space="preserve"> Por acuerdo de fecha 23 veintitrés de enero del año 2019 </w:t>
      </w:r>
      <w:r w:rsidR="004C67B4">
        <w:rPr>
          <w:rFonts w:ascii="Century" w:hAnsi="Century"/>
        </w:rPr>
        <w:t>dos mil diecinueve, se tiene por contestando en tiempo y forma legal la demanda, se tiene por ofrecidas y admitidas la documental admitida a l</w:t>
      </w:r>
      <w:r w:rsidR="000053B6">
        <w:rPr>
          <w:rFonts w:ascii="Century" w:hAnsi="Century"/>
        </w:rPr>
        <w:t xml:space="preserve">a parte actora por hacerla suya, </w:t>
      </w:r>
      <w:proofErr w:type="spellStart"/>
      <w:r w:rsidR="004C67B4">
        <w:rPr>
          <w:rFonts w:ascii="Century" w:hAnsi="Century"/>
        </w:rPr>
        <w:t>asi</w:t>
      </w:r>
      <w:proofErr w:type="spellEnd"/>
      <w:r w:rsidR="004C67B4">
        <w:rPr>
          <w:rFonts w:ascii="Century" w:hAnsi="Century"/>
        </w:rPr>
        <w:t xml:space="preserve"> como la copia certificada del gafete de empleado, con la cual acredita la personalidad jurídica con la que comparece; se le admite además la presuncional legal en su doble aspecto en todo lo que le favorezca; se señala fecha y hora para la celebración de la audiencia de alegatos. ------------------------</w:t>
      </w:r>
    </w:p>
    <w:p w14:paraId="31EC2923" w14:textId="77777777" w:rsidR="004C67B4" w:rsidRDefault="004C67B4" w:rsidP="00E1257C">
      <w:pPr>
        <w:spacing w:line="360" w:lineRule="auto"/>
        <w:ind w:firstLine="709"/>
        <w:jc w:val="both"/>
        <w:rPr>
          <w:rFonts w:ascii="Century" w:hAnsi="Century"/>
        </w:rPr>
      </w:pPr>
    </w:p>
    <w:p w14:paraId="037E278C" w14:textId="1D35187F" w:rsidR="00E1257C" w:rsidRPr="00772DD1" w:rsidRDefault="004C67B4" w:rsidP="00E1257C">
      <w:pPr>
        <w:spacing w:line="360" w:lineRule="auto"/>
        <w:ind w:firstLine="709"/>
        <w:jc w:val="both"/>
        <w:rPr>
          <w:rFonts w:ascii="Century" w:hAnsi="Century"/>
          <w:bCs/>
          <w:iCs/>
        </w:rPr>
      </w:pPr>
      <w:r>
        <w:rPr>
          <w:rFonts w:ascii="Century" w:hAnsi="Century"/>
          <w:b/>
          <w:bCs/>
          <w:iCs/>
        </w:rPr>
        <w:t>QUINTO</w:t>
      </w:r>
      <w:r w:rsidR="00772DD1" w:rsidRPr="00985FD3">
        <w:rPr>
          <w:rFonts w:ascii="Century" w:hAnsi="Century"/>
          <w:b/>
          <w:bCs/>
          <w:iCs/>
        </w:rPr>
        <w:t xml:space="preserve">. </w:t>
      </w:r>
      <w:r w:rsidR="00772DD1" w:rsidRPr="00985FD3">
        <w:rPr>
          <w:rFonts w:ascii="Century" w:hAnsi="Century"/>
          <w:bCs/>
          <w:iCs/>
        </w:rPr>
        <w:t xml:space="preserve">El día </w:t>
      </w:r>
      <w:r>
        <w:rPr>
          <w:rFonts w:ascii="Century" w:hAnsi="Century"/>
          <w:bCs/>
          <w:iCs/>
        </w:rPr>
        <w:t xml:space="preserve">05 cinco de febrero del </w:t>
      </w:r>
      <w:r w:rsidR="00985FD3" w:rsidRPr="00985FD3">
        <w:rPr>
          <w:rFonts w:ascii="Century" w:hAnsi="Century"/>
          <w:bCs/>
          <w:iCs/>
        </w:rPr>
        <w:t>año 2019</w:t>
      </w:r>
      <w:r w:rsidR="00772DD1" w:rsidRPr="00985FD3">
        <w:rPr>
          <w:rFonts w:ascii="Century" w:hAnsi="Century"/>
          <w:bCs/>
          <w:iCs/>
        </w:rPr>
        <w:t xml:space="preserve"> dos mil dieci</w:t>
      </w:r>
      <w:r w:rsidR="00985FD3" w:rsidRPr="00985FD3">
        <w:rPr>
          <w:rFonts w:ascii="Century" w:hAnsi="Century"/>
          <w:bCs/>
          <w:iCs/>
        </w:rPr>
        <w:t>nueve</w:t>
      </w:r>
      <w:r w:rsidR="00772DD1" w:rsidRPr="00985FD3">
        <w:rPr>
          <w:rFonts w:ascii="Century" w:hAnsi="Century"/>
          <w:bCs/>
          <w:iCs/>
        </w:rPr>
        <w:t>, a las 1</w:t>
      </w:r>
      <w:r>
        <w:rPr>
          <w:rFonts w:ascii="Century" w:hAnsi="Century"/>
          <w:bCs/>
          <w:iCs/>
        </w:rPr>
        <w:t>1</w:t>
      </w:r>
      <w:r w:rsidR="00772DD1" w:rsidRPr="00985FD3">
        <w:rPr>
          <w:rFonts w:ascii="Century" w:hAnsi="Century"/>
          <w:bCs/>
          <w:iCs/>
        </w:rPr>
        <w:t>:</w:t>
      </w:r>
      <w:r w:rsidR="00985FD3" w:rsidRPr="00985FD3">
        <w:rPr>
          <w:rFonts w:ascii="Century" w:hAnsi="Century"/>
          <w:bCs/>
          <w:iCs/>
        </w:rPr>
        <w:t>3</w:t>
      </w:r>
      <w:r w:rsidR="00772DD1" w:rsidRPr="00985FD3">
        <w:rPr>
          <w:rFonts w:ascii="Century" w:hAnsi="Century"/>
          <w:bCs/>
          <w:iCs/>
        </w:rPr>
        <w:t xml:space="preserve">0 </w:t>
      </w:r>
      <w:r>
        <w:rPr>
          <w:rFonts w:ascii="Century" w:hAnsi="Century"/>
          <w:bCs/>
          <w:iCs/>
        </w:rPr>
        <w:t>once</w:t>
      </w:r>
      <w:r w:rsidR="00772DD1" w:rsidRPr="00985FD3">
        <w:rPr>
          <w:rFonts w:ascii="Century" w:hAnsi="Century"/>
          <w:bCs/>
          <w:iCs/>
        </w:rPr>
        <w:t xml:space="preserve"> horas con </w:t>
      </w:r>
      <w:r w:rsidR="00985FD3" w:rsidRPr="00985FD3">
        <w:rPr>
          <w:rFonts w:ascii="Century" w:hAnsi="Century"/>
          <w:bCs/>
          <w:iCs/>
        </w:rPr>
        <w:t>treinta</w:t>
      </w:r>
      <w:r w:rsidR="00772DD1" w:rsidRPr="00985FD3">
        <w:rPr>
          <w:rFonts w:ascii="Century" w:hAnsi="Century"/>
          <w:bCs/>
          <w:iCs/>
        </w:rPr>
        <w:t xml:space="preserve"> minutos, se llevó a cabo la celebración de la audiencia de alegatos, sin la asistencia de las partes. ----------------------------------</w:t>
      </w:r>
    </w:p>
    <w:p w14:paraId="4DC175F5" w14:textId="77777777" w:rsidR="00772DD1" w:rsidRPr="00772DD1" w:rsidRDefault="00772DD1" w:rsidP="00E1257C">
      <w:pPr>
        <w:spacing w:line="360" w:lineRule="auto"/>
        <w:ind w:firstLine="709"/>
        <w:jc w:val="both"/>
        <w:rPr>
          <w:rFonts w:ascii="Century" w:hAnsi="Century"/>
          <w:bCs/>
          <w:iCs/>
        </w:rPr>
      </w:pPr>
    </w:p>
    <w:p w14:paraId="19BFE70D"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C1EB87A" w14:textId="19F00D29" w:rsidR="006C767E" w:rsidRDefault="00E1257C" w:rsidP="00E1257C">
      <w:pPr>
        <w:spacing w:line="360" w:lineRule="auto"/>
        <w:ind w:firstLine="709"/>
        <w:jc w:val="both"/>
        <w:rPr>
          <w:rFonts w:ascii="Century" w:hAnsi="Century"/>
          <w:lang w:val="es-MX"/>
        </w:rPr>
      </w:pPr>
      <w:r w:rsidRPr="00E1257C">
        <w:rPr>
          <w:rFonts w:ascii="Century" w:hAnsi="Century"/>
          <w:b/>
          <w:lang w:val="es-MX"/>
        </w:rPr>
        <w:lastRenderedPageBreak/>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4C67B4">
        <w:rPr>
          <w:rFonts w:ascii="Century" w:hAnsi="Century"/>
          <w:lang w:val="es-MX"/>
        </w:rPr>
        <w:t xml:space="preserve">21 veintiuno de </w:t>
      </w:r>
      <w:r w:rsidR="00985FD3">
        <w:rPr>
          <w:rFonts w:ascii="Century" w:hAnsi="Century"/>
          <w:lang w:val="es-MX"/>
        </w:rPr>
        <w:t>octubre</w:t>
      </w:r>
      <w:r w:rsidR="005856C8">
        <w:rPr>
          <w:rFonts w:ascii="Century" w:hAnsi="Century"/>
          <w:lang w:val="es-MX"/>
        </w:rPr>
        <w:t xml:space="preserve"> </w:t>
      </w:r>
      <w:r w:rsidR="00C52A15">
        <w:rPr>
          <w:rFonts w:ascii="Century" w:hAnsi="Century"/>
          <w:lang w:val="es-MX"/>
        </w:rPr>
        <w:t xml:space="preserve">del año 2018 dos mil dieciocho </w:t>
      </w:r>
      <w:r w:rsidRPr="00E1257C">
        <w:rPr>
          <w:rFonts w:ascii="Century" w:hAnsi="Century"/>
          <w:lang w:val="es-MX"/>
        </w:rPr>
        <w:t xml:space="preserve">y la demanda fue presentada el </w:t>
      </w:r>
      <w:r w:rsidR="001765BC">
        <w:rPr>
          <w:rFonts w:ascii="Century" w:hAnsi="Century"/>
          <w:lang w:val="es-MX"/>
        </w:rPr>
        <w:t>2</w:t>
      </w:r>
      <w:r w:rsidR="004C67B4">
        <w:rPr>
          <w:rFonts w:ascii="Century" w:hAnsi="Century"/>
          <w:lang w:val="es-MX"/>
        </w:rPr>
        <w:t xml:space="preserve">7 </w:t>
      </w:r>
      <w:r w:rsidR="00E563C0">
        <w:rPr>
          <w:rFonts w:ascii="Century" w:hAnsi="Century"/>
          <w:lang w:val="es-MX"/>
        </w:rPr>
        <w:t>veintisiete</w:t>
      </w:r>
      <w:r w:rsidR="001765BC">
        <w:rPr>
          <w:rFonts w:ascii="Century" w:hAnsi="Century"/>
          <w:lang w:val="es-MX"/>
        </w:rPr>
        <w:t xml:space="preserve"> de </w:t>
      </w:r>
      <w:r w:rsidR="00402CDD">
        <w:rPr>
          <w:rFonts w:ascii="Century" w:hAnsi="Century"/>
          <w:lang w:val="es-MX"/>
        </w:rPr>
        <w:t>noviembre</w:t>
      </w:r>
      <w:r w:rsidR="00C52A15">
        <w:rPr>
          <w:rFonts w:ascii="Century" w:hAnsi="Century"/>
          <w:lang w:val="es-MX"/>
        </w:rPr>
        <w:t xml:space="preserve"> del mismo </w:t>
      </w:r>
      <w:r w:rsidRPr="00E1257C">
        <w:rPr>
          <w:rFonts w:ascii="Century" w:hAnsi="Century"/>
          <w:lang w:val="es-MX"/>
        </w:rPr>
        <w:t xml:space="preserve">año. </w:t>
      </w:r>
      <w:r w:rsidR="00674A67">
        <w:rPr>
          <w:rFonts w:ascii="Century" w:hAnsi="Century"/>
          <w:lang w:val="es-MX"/>
        </w:rPr>
        <w:t>--------</w:t>
      </w:r>
      <w:r w:rsidRPr="00E1257C">
        <w:rPr>
          <w:rFonts w:ascii="Century" w:hAnsi="Century"/>
          <w:lang w:val="es-MX"/>
        </w:rPr>
        <w:t>-------------</w:t>
      </w:r>
      <w:r w:rsidR="000E7B43">
        <w:rPr>
          <w:rFonts w:ascii="Century" w:hAnsi="Century"/>
          <w:lang w:val="es-MX"/>
        </w:rPr>
        <w:t>--------------</w:t>
      </w:r>
      <w:r w:rsidRPr="00E1257C">
        <w:rPr>
          <w:rFonts w:ascii="Century" w:hAnsi="Century"/>
          <w:lang w:val="es-MX"/>
        </w:rPr>
        <w:t>---------------------</w:t>
      </w:r>
      <w:r w:rsidR="00C52A15">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3DE07036"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sidR="00C52A15">
        <w:rPr>
          <w:rFonts w:ascii="Century" w:hAnsi="Century"/>
        </w:rPr>
        <w:t xml:space="preserve">el original </w:t>
      </w:r>
      <w:r w:rsidRPr="00E1257C">
        <w:rPr>
          <w:rFonts w:ascii="Century" w:hAnsi="Century"/>
        </w:rPr>
        <w:t xml:space="preserve">del acta de infracción con folio número </w:t>
      </w:r>
      <w:r w:rsidR="000769B5" w:rsidRPr="000769B5">
        <w:rPr>
          <w:rFonts w:ascii="Century" w:hAnsi="Century"/>
        </w:rPr>
        <w:t>T 5830417 (Letra T cinco ocho tres cero cuatro uno siete), levantada en fecha 21 veintiuno de octubre del año del año 2018 dos mil dieciocho,</w:t>
      </w:r>
      <w:r w:rsidRPr="00E1257C">
        <w:rPr>
          <w:rFonts w:ascii="Century" w:hAnsi="Century"/>
        </w:rPr>
        <w:t xml:space="preserve"> visible a foja 0</w:t>
      </w:r>
      <w:r w:rsidR="000769B5">
        <w:rPr>
          <w:rFonts w:ascii="Century" w:hAnsi="Century"/>
        </w:rPr>
        <w:t>6 seis</w:t>
      </w:r>
      <w:r w:rsidRPr="00E1257C">
        <w:rPr>
          <w:rFonts w:ascii="Century" w:hAnsi="Century"/>
        </w:rPr>
        <w:t>, la que merece pleno valor probatorio, conforme lo dispuesto en los artículos 78, 117, 118, 12</w:t>
      </w:r>
      <w:r w:rsidR="00C52A15">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sidR="005856C8">
        <w:rPr>
          <w:rFonts w:ascii="Century" w:hAnsi="Century"/>
        </w:rPr>
        <w:t>. ----</w:t>
      </w:r>
      <w:r w:rsidR="001765BC">
        <w:rPr>
          <w:rFonts w:ascii="Century" w:hAnsi="Century"/>
        </w:rPr>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6143A0C9" w14:textId="5D316A73" w:rsidR="003B6381"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0E7B43">
        <w:rPr>
          <w:rFonts w:ascii="Century" w:hAnsi="Century"/>
        </w:rPr>
        <w:t>solicita que</w:t>
      </w:r>
      <w:r w:rsidR="00F1697F">
        <w:rPr>
          <w:rFonts w:ascii="Century" w:hAnsi="Century"/>
        </w:rPr>
        <w:t xml:space="preserve"> con independencia, que</w:t>
      </w:r>
      <w:r w:rsidR="000E7B43">
        <w:rPr>
          <w:rFonts w:ascii="Century" w:hAnsi="Century"/>
        </w:rPr>
        <w:t xml:space="preserve"> de oficio se estudie la procedencia de alguna causal de improcedencia determinadas en el 261 del Código de Procedimiento y Justica Administrativa para el Estado y los Municipios de Guanajuato</w:t>
      </w:r>
      <w:r w:rsidR="00D76208">
        <w:rPr>
          <w:rFonts w:ascii="Century" w:hAnsi="Century"/>
        </w:rPr>
        <w:t xml:space="preserve">, argumenta que </w:t>
      </w:r>
      <w:r w:rsidR="00D76208">
        <w:rPr>
          <w:rFonts w:ascii="Century" w:hAnsi="Century"/>
        </w:rPr>
        <w:lastRenderedPageBreak/>
        <w:t xml:space="preserve">opera la causal de improcedencia establecida en el artículo 261 </w:t>
      </w:r>
      <w:r w:rsidR="007D786B">
        <w:rPr>
          <w:rFonts w:ascii="Century" w:hAnsi="Century"/>
        </w:rPr>
        <w:t>fracción</w:t>
      </w:r>
      <w:r w:rsidR="00D76208">
        <w:rPr>
          <w:rFonts w:ascii="Century" w:hAnsi="Century"/>
        </w:rPr>
        <w:t xml:space="preserve"> VI, en relación con el artículo 262 fracción II del citado código</w:t>
      </w:r>
      <w:r w:rsidR="003B6381">
        <w:rPr>
          <w:rFonts w:ascii="Century" w:hAnsi="Century"/>
        </w:rPr>
        <w:t>. ---------------------</w:t>
      </w:r>
      <w:r w:rsidR="007D786B">
        <w:rPr>
          <w:rFonts w:ascii="Century" w:hAnsi="Century"/>
        </w:rPr>
        <w:t>---------</w:t>
      </w:r>
    </w:p>
    <w:p w14:paraId="6EACCAE3" w14:textId="77777777" w:rsidR="003B6381" w:rsidRDefault="003B6381" w:rsidP="00BA3253">
      <w:pPr>
        <w:spacing w:line="360" w:lineRule="auto"/>
        <w:ind w:firstLine="709"/>
        <w:jc w:val="both"/>
        <w:rPr>
          <w:rFonts w:ascii="Century" w:hAnsi="Century"/>
        </w:rPr>
      </w:pPr>
    </w:p>
    <w:p w14:paraId="73EBBDC7" w14:textId="77777777" w:rsidR="003B6381" w:rsidRDefault="003B6381" w:rsidP="003B6381">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p>
    <w:p w14:paraId="35DC677E" w14:textId="77777777" w:rsidR="003B6381" w:rsidRDefault="003B6381" w:rsidP="003B6381">
      <w:pPr>
        <w:spacing w:line="360" w:lineRule="auto"/>
        <w:ind w:firstLine="709"/>
        <w:jc w:val="both"/>
        <w:rPr>
          <w:rFonts w:ascii="Century" w:hAnsi="Century"/>
        </w:rPr>
      </w:pPr>
    </w:p>
    <w:p w14:paraId="56C464E4" w14:textId="3B05F231" w:rsidR="00E563C0" w:rsidRDefault="003B6381" w:rsidP="003B6381">
      <w:pPr>
        <w:pStyle w:val="RESOLUCIONES"/>
      </w:pPr>
      <w:r>
        <w:t>R</w:t>
      </w:r>
      <w:r w:rsidRPr="00B352C4">
        <w:t xml:space="preserve">especto a la causal de improcedencia establecida en la fracción VI del referido artículo 261 del Código de la materia, que </w:t>
      </w:r>
      <w:r>
        <w:t>dispone</w:t>
      </w:r>
      <w:r w:rsidRPr="00B352C4">
        <w:t xml:space="preserve"> que el juicio de nulidad es improcedente en contra de actos </w:t>
      </w:r>
      <w:r w:rsidRPr="00B352C4">
        <w:rPr>
          <w:i/>
        </w:rPr>
        <w:t>“Que sean inexistentes, derivada claramente esta circunstancia de las constancias de autos</w:t>
      </w:r>
      <w:r>
        <w:t>”</w:t>
      </w:r>
      <w:r w:rsidRPr="00B352C4">
        <w:t xml:space="preserve">; </w:t>
      </w:r>
      <w:r>
        <w:t xml:space="preserve">causal esta que </w:t>
      </w:r>
      <w:r w:rsidRPr="00B352C4">
        <w:t>NO SE ACTUALIZA, ya que en autos y de acuerdo al considerando tercero de la presente resolución, queda acredita</w:t>
      </w:r>
      <w:r w:rsidR="00E563C0">
        <w:t>da</w:t>
      </w:r>
      <w:r w:rsidRPr="00B352C4">
        <w:t xml:space="preserve"> la existencia del acto impugnado</w:t>
      </w:r>
      <w:r>
        <w:t xml:space="preserve">, aunado a lo anterior, </w:t>
      </w:r>
      <w:r w:rsidR="00E563C0">
        <w:t>y respecto a lo señalado por la demandada de que no se afecta la esfera jurídica del inconforme, considerando que dicho argumento es dirigido a defender la legalidad y validez del acto impugnado, lo que, necesariamente llevaría a quien resuelve a entrar al fondo de la controversia planteada, es por ello que no se actualizan las causales de improcedencia hechas valer por la demandada. ---------------------------------------------------------------</w:t>
      </w:r>
    </w:p>
    <w:p w14:paraId="7752F8DB" w14:textId="77777777" w:rsidR="00E563C0" w:rsidRDefault="00E563C0" w:rsidP="003B6381">
      <w:pPr>
        <w:pStyle w:val="RESOLUCIONES"/>
      </w:pPr>
    </w:p>
    <w:p w14:paraId="18CF00D8" w14:textId="0EE9F43B" w:rsidR="003B6381" w:rsidRDefault="003B6381" w:rsidP="003B6381">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citado artículo 261 </w:t>
      </w:r>
      <w:r>
        <w:rPr>
          <w:rFonts w:ascii="Century" w:hAnsi="Century"/>
        </w:rPr>
        <w:t xml:space="preserve">del Código de Procedimiento y Justicia Administrativa para el Estado y los Municipios de Guanajuato, por lo </w:t>
      </w:r>
      <w:r w:rsidRPr="00E1257C">
        <w:rPr>
          <w:rFonts w:ascii="Century" w:hAnsi="Century"/>
        </w:rPr>
        <w:t>que</w:t>
      </w:r>
      <w:r>
        <w:rPr>
          <w:rFonts w:ascii="Century" w:hAnsi="Century"/>
        </w:rPr>
        <w:t xml:space="preserve">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r w:rsidRPr="00E1257C">
        <w:rPr>
          <w:rFonts w:ascii="Century" w:hAnsi="Century"/>
        </w:rPr>
        <w:t>---</w:t>
      </w:r>
      <w:r>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0EBFBEDC" w14:textId="77777777" w:rsidR="00E1257C" w:rsidRPr="00E1257C" w:rsidRDefault="00E1257C" w:rsidP="00E1257C">
      <w:pPr>
        <w:spacing w:line="360" w:lineRule="auto"/>
        <w:ind w:firstLine="709"/>
        <w:jc w:val="both"/>
        <w:rPr>
          <w:rFonts w:ascii="Century" w:hAnsi="Century"/>
        </w:rPr>
      </w:pPr>
    </w:p>
    <w:p w14:paraId="12841795" w14:textId="3CF28FA8" w:rsidR="00681A81" w:rsidRDefault="00E1257C" w:rsidP="00E1257C">
      <w:pPr>
        <w:spacing w:line="360" w:lineRule="auto"/>
        <w:ind w:firstLine="709"/>
        <w:jc w:val="both"/>
        <w:rPr>
          <w:rFonts w:ascii="Century" w:hAnsi="Century"/>
        </w:rPr>
      </w:pPr>
      <w:r w:rsidRPr="00E1257C">
        <w:rPr>
          <w:rFonts w:ascii="Century" w:hAnsi="Century"/>
        </w:rPr>
        <w:lastRenderedPageBreak/>
        <w:t>De lo expuesto por el actor</w:t>
      </w:r>
      <w:r w:rsidR="00D76208">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8D125E">
        <w:rPr>
          <w:rFonts w:ascii="Century" w:hAnsi="Century"/>
        </w:rPr>
        <w:t xml:space="preserve">en fecha </w:t>
      </w:r>
      <w:r w:rsidR="00985FD3">
        <w:rPr>
          <w:rFonts w:ascii="Century" w:hAnsi="Century"/>
        </w:rPr>
        <w:t>2</w:t>
      </w:r>
      <w:r w:rsidR="00E563C0">
        <w:rPr>
          <w:rFonts w:ascii="Century" w:hAnsi="Century"/>
        </w:rPr>
        <w:t xml:space="preserve">1 veintiuno </w:t>
      </w:r>
      <w:r w:rsidR="00985FD3">
        <w:rPr>
          <w:rFonts w:ascii="Century" w:hAnsi="Century"/>
        </w:rPr>
        <w:t>de octubre</w:t>
      </w:r>
      <w:r w:rsidR="001A0437" w:rsidRPr="001A0437">
        <w:rPr>
          <w:rFonts w:ascii="Century" w:hAnsi="Century"/>
        </w:rPr>
        <w:t xml:space="preserve"> del año</w:t>
      </w:r>
      <w:r w:rsidR="001A0437">
        <w:rPr>
          <w:rFonts w:ascii="Century" w:hAnsi="Century"/>
        </w:rPr>
        <w:t xml:space="preserve"> del año 2018 dos mil dieciocho, fue levantada el acta de infracción número </w:t>
      </w:r>
      <w:r w:rsidR="00E563C0">
        <w:rPr>
          <w:rFonts w:ascii="Century" w:hAnsi="Century"/>
          <w:b/>
        </w:rPr>
        <w:t>T 5830417 (Letra T cinco ocho tres cero cuatro uno siete)</w:t>
      </w:r>
      <w:r w:rsidR="001A0437" w:rsidRPr="001A0437">
        <w:rPr>
          <w:rFonts w:ascii="Century" w:hAnsi="Century"/>
        </w:rPr>
        <w:t xml:space="preserve">, </w:t>
      </w:r>
      <w:r w:rsidR="00E563C0">
        <w:rPr>
          <w:rFonts w:ascii="Century" w:hAnsi="Century"/>
        </w:rPr>
        <w:t xml:space="preserve">de la referida acta se desprende que es dirigida al ciudadano </w:t>
      </w:r>
      <w:r w:rsidR="00F3430A">
        <w:t>(…)</w:t>
      </w:r>
      <w:r w:rsidR="00E563C0">
        <w:rPr>
          <w:rFonts w:ascii="Century" w:hAnsi="Century"/>
        </w:rPr>
        <w:t xml:space="preserve">, señalando el actor que su nombre correcto es </w:t>
      </w:r>
      <w:r w:rsidR="00F3430A">
        <w:t>(…)</w:t>
      </w:r>
      <w:r w:rsidR="00E563C0">
        <w:rPr>
          <w:rFonts w:ascii="Century" w:hAnsi="Century"/>
        </w:rPr>
        <w:t xml:space="preserve">, </w:t>
      </w:r>
      <w:r w:rsidR="008D125E">
        <w:rPr>
          <w:rFonts w:ascii="Century" w:hAnsi="Century"/>
        </w:rPr>
        <w:t>misma que el actor considera ilegal</w:t>
      </w:r>
      <w:r w:rsidR="00745E89">
        <w:rPr>
          <w:rFonts w:ascii="Century" w:hAnsi="Century"/>
        </w:rPr>
        <w:t>,</w:t>
      </w:r>
      <w:r w:rsidR="008D125E">
        <w:rPr>
          <w:rFonts w:ascii="Century" w:hAnsi="Century"/>
        </w:rPr>
        <w:t xml:space="preserve"> por lo que acude a demanda</w:t>
      </w:r>
      <w:r w:rsidR="00745E89">
        <w:rPr>
          <w:rFonts w:ascii="Century" w:hAnsi="Century"/>
        </w:rPr>
        <w:t>r</w:t>
      </w:r>
      <w:r w:rsidR="008D125E">
        <w:rPr>
          <w:rFonts w:ascii="Century" w:hAnsi="Century"/>
        </w:rPr>
        <w:t xml:space="preserve"> su nulidad. </w:t>
      </w:r>
      <w:r w:rsidR="007C2CCE">
        <w:rPr>
          <w:rFonts w:ascii="Century" w:hAnsi="Century"/>
        </w:rPr>
        <w:t>----</w:t>
      </w:r>
      <w:r w:rsidR="00D76208">
        <w:rPr>
          <w:rFonts w:ascii="Century" w:hAnsi="Century"/>
        </w:rPr>
        <w:t>------------</w:t>
      </w:r>
    </w:p>
    <w:p w14:paraId="056175DE" w14:textId="77777777" w:rsidR="00681A81" w:rsidRDefault="00681A81" w:rsidP="00E1257C">
      <w:pPr>
        <w:spacing w:line="360" w:lineRule="auto"/>
        <w:ind w:firstLine="709"/>
        <w:jc w:val="both"/>
        <w:rPr>
          <w:rFonts w:ascii="Century" w:hAnsi="Century"/>
        </w:rPr>
      </w:pPr>
    </w:p>
    <w:p w14:paraId="24C3010E" w14:textId="046895DB" w:rsidR="00E1257C" w:rsidRPr="00E1257C" w:rsidRDefault="00E1257C" w:rsidP="00E563C0">
      <w:pPr>
        <w:pStyle w:val="RESOLUCIONES"/>
      </w:pPr>
      <w:r w:rsidRPr="00E1257C">
        <w:t>Así las cosas, la “</w:t>
      </w:r>
      <w:proofErr w:type="spellStart"/>
      <w:r w:rsidRPr="00E1257C">
        <w:t>litis</w:t>
      </w:r>
      <w:proofErr w:type="spellEnd"/>
      <w:r w:rsidRPr="00E1257C">
        <w:t xml:space="preserve">” planteada se hace consistir en determinar la legalidad o ilegalidad del acta de infracción con número </w:t>
      </w:r>
      <w:r w:rsidR="00E563C0">
        <w:rPr>
          <w:b/>
        </w:rPr>
        <w:t>T 5830417 (Letra T cinco ocho tres cero cuatro uno siete),</w:t>
      </w:r>
      <w:r w:rsidR="00E563C0" w:rsidRPr="00E1257C">
        <w:rPr>
          <w:b/>
        </w:rPr>
        <w:t xml:space="preserve"> </w:t>
      </w:r>
      <w:r w:rsidR="00E563C0">
        <w:t xml:space="preserve">levantada en fecha 21 veintiuno de octubre del año </w:t>
      </w:r>
      <w:r w:rsidR="00E563C0" w:rsidRPr="00E1257C">
        <w:t>del año 201</w:t>
      </w:r>
      <w:r w:rsidR="00E563C0">
        <w:t>8 dos mil dieciocho</w:t>
      </w:r>
      <w:r w:rsidR="001A0437">
        <w:t>. --------------</w:t>
      </w:r>
      <w:r w:rsidR="00681A81">
        <w:t>----</w:t>
      </w:r>
      <w:r w:rsidR="00206C95">
        <w:t>-----</w:t>
      </w:r>
      <w:r w:rsidR="002D238F">
        <w:t>------</w:t>
      </w:r>
      <w:r w:rsidR="00206C95">
        <w:t>-</w:t>
      </w:r>
      <w:r w:rsidR="00681A81">
        <w:t>-----</w:t>
      </w:r>
      <w:r w:rsidR="00372D8B">
        <w:t>-------</w:t>
      </w:r>
    </w:p>
    <w:p w14:paraId="2E91AD70" w14:textId="77777777" w:rsidR="00E563C0" w:rsidRDefault="00E563C0" w:rsidP="00E1257C">
      <w:pPr>
        <w:spacing w:line="360" w:lineRule="auto"/>
        <w:ind w:firstLine="709"/>
        <w:jc w:val="both"/>
        <w:rPr>
          <w:rFonts w:ascii="Century" w:hAnsi="Century"/>
          <w:b/>
        </w:rPr>
      </w:pPr>
    </w:p>
    <w:p w14:paraId="3915C348" w14:textId="20105B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sidR="00402CDD">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E1257C">
        <w:t>Abril</w:t>
      </w:r>
      <w:proofErr w:type="gramEnd"/>
      <w:r w:rsidRPr="00E1257C">
        <w:t xml:space="preserve">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5F94BFE2" w14:textId="4A6AEE1B" w:rsidR="002310A5" w:rsidRDefault="00BA229A" w:rsidP="00BA229A">
      <w:pPr>
        <w:spacing w:line="360" w:lineRule="auto"/>
        <w:ind w:firstLine="709"/>
        <w:jc w:val="both"/>
        <w:rPr>
          <w:rFonts w:ascii="Century" w:hAnsi="Century"/>
        </w:rPr>
      </w:pPr>
      <w:r w:rsidRPr="00E1257C">
        <w:rPr>
          <w:rFonts w:ascii="Century" w:hAnsi="Century"/>
        </w:rPr>
        <w:t>En tal sentido,</w:t>
      </w:r>
      <w:r w:rsidR="002310A5">
        <w:rPr>
          <w:rFonts w:ascii="Century" w:hAnsi="Century"/>
        </w:rPr>
        <w:t xml:space="preserve"> se aprecia</w:t>
      </w:r>
      <w:r w:rsidRPr="00E1257C">
        <w:rPr>
          <w:rFonts w:ascii="Century" w:hAnsi="Century"/>
        </w:rPr>
        <w:t xml:space="preserve"> </w:t>
      </w:r>
      <w:r w:rsidR="002310A5">
        <w:rPr>
          <w:rFonts w:ascii="Century" w:hAnsi="Century"/>
        </w:rPr>
        <w:t xml:space="preserve">que el actor señala como concepto de </w:t>
      </w:r>
      <w:r w:rsidR="00700AD2">
        <w:rPr>
          <w:rFonts w:ascii="Century" w:hAnsi="Century"/>
        </w:rPr>
        <w:t>impugnación</w:t>
      </w:r>
      <w:r w:rsidR="002310A5">
        <w:rPr>
          <w:rFonts w:ascii="Century" w:hAnsi="Century"/>
        </w:rPr>
        <w:t xml:space="preserve"> lo siguiente:</w:t>
      </w:r>
      <w:r w:rsidR="000053B6">
        <w:rPr>
          <w:rFonts w:ascii="Century" w:hAnsi="Century"/>
        </w:rPr>
        <w:t xml:space="preserve"> -----------------------------------------------------------------------</w:t>
      </w:r>
    </w:p>
    <w:p w14:paraId="05465F6F" w14:textId="77777777" w:rsidR="002310A5" w:rsidRDefault="002310A5" w:rsidP="00BA229A">
      <w:pPr>
        <w:spacing w:line="360" w:lineRule="auto"/>
        <w:ind w:firstLine="709"/>
        <w:jc w:val="both"/>
        <w:rPr>
          <w:rFonts w:ascii="Century" w:hAnsi="Century"/>
        </w:rPr>
      </w:pPr>
    </w:p>
    <w:p w14:paraId="628FCC90" w14:textId="686710A6" w:rsidR="002310A5" w:rsidRPr="00700AD2" w:rsidRDefault="002310A5" w:rsidP="00BA229A">
      <w:pPr>
        <w:spacing w:line="360" w:lineRule="auto"/>
        <w:ind w:firstLine="709"/>
        <w:jc w:val="both"/>
        <w:rPr>
          <w:rFonts w:ascii="Century" w:hAnsi="Century"/>
          <w:i/>
        </w:rPr>
      </w:pPr>
      <w:r w:rsidRPr="00700AD2">
        <w:rPr>
          <w:rFonts w:ascii="Century" w:hAnsi="Century"/>
          <w:i/>
        </w:rPr>
        <w:lastRenderedPageBreak/>
        <w:t>PRIMERO. Se hace valer la infracción al artículo 137. Fracción VI del Código de Procedimiento y Justicia Administrativa para el Estado y Municipios de Guanajuato que a la letra dice, […]</w:t>
      </w:r>
    </w:p>
    <w:p w14:paraId="4E375606" w14:textId="11553182" w:rsidR="002310A5" w:rsidRPr="00700AD2" w:rsidRDefault="002310A5" w:rsidP="00BA229A">
      <w:pPr>
        <w:spacing w:line="360" w:lineRule="auto"/>
        <w:ind w:firstLine="709"/>
        <w:jc w:val="both"/>
        <w:rPr>
          <w:rFonts w:ascii="Century" w:hAnsi="Century"/>
          <w:i/>
        </w:rPr>
      </w:pPr>
      <w:r w:rsidRPr="00700AD2">
        <w:rPr>
          <w:rFonts w:ascii="Century" w:hAnsi="Century"/>
          <w:i/>
        </w:rPr>
        <w:t xml:space="preserve">Así como el </w:t>
      </w:r>
      <w:r w:rsidR="0067750E" w:rsidRPr="00700AD2">
        <w:rPr>
          <w:rFonts w:ascii="Century" w:hAnsi="Century"/>
          <w:i/>
        </w:rPr>
        <w:t>artículo</w:t>
      </w:r>
      <w:r w:rsidRPr="00700AD2">
        <w:rPr>
          <w:rFonts w:ascii="Century" w:hAnsi="Century"/>
          <w:i/>
        </w:rPr>
        <w:t xml:space="preserve"> 42 </w:t>
      </w:r>
      <w:r w:rsidR="00700AD2" w:rsidRPr="00700AD2">
        <w:rPr>
          <w:rFonts w:ascii="Century" w:hAnsi="Century"/>
          <w:i/>
        </w:rPr>
        <w:t>Fracción</w:t>
      </w:r>
      <w:r w:rsidRPr="00700AD2">
        <w:rPr>
          <w:rFonts w:ascii="Century" w:hAnsi="Century"/>
          <w:i/>
        </w:rPr>
        <w:t xml:space="preserve"> II, inciso B), DEL REGLAMENTO DE TRANSITO MUNCIPAL DE LEON, GUANAJUATO, que a la letra dice,</w:t>
      </w:r>
      <w:r w:rsidR="00700AD2" w:rsidRPr="00700AD2">
        <w:rPr>
          <w:rFonts w:ascii="Century" w:hAnsi="Century"/>
          <w:i/>
        </w:rPr>
        <w:t xml:space="preserve"> […]</w:t>
      </w:r>
    </w:p>
    <w:p w14:paraId="67784B1D" w14:textId="29AE6A60" w:rsidR="00700AD2" w:rsidRPr="00700AD2" w:rsidRDefault="00700AD2" w:rsidP="00BA229A">
      <w:pPr>
        <w:spacing w:line="360" w:lineRule="auto"/>
        <w:ind w:firstLine="709"/>
        <w:jc w:val="both"/>
        <w:rPr>
          <w:rFonts w:ascii="Century" w:hAnsi="Century"/>
          <w:i/>
        </w:rPr>
      </w:pPr>
      <w:r w:rsidRPr="00700AD2">
        <w:rPr>
          <w:rFonts w:ascii="Century" w:hAnsi="Century"/>
          <w:i/>
        </w:rPr>
        <w:t>II. Motivación: b) Nombre y domicilio del infractor […] toda vez que la emisión que realizo la autoridad antes mencionada carece de la adecuada fundamentación y motivación.</w:t>
      </w:r>
    </w:p>
    <w:p w14:paraId="609440DB" w14:textId="16C78C03" w:rsidR="00700AD2" w:rsidRPr="00700AD2" w:rsidRDefault="00700AD2" w:rsidP="00BA229A">
      <w:pPr>
        <w:spacing w:line="360" w:lineRule="auto"/>
        <w:ind w:firstLine="709"/>
        <w:jc w:val="both"/>
        <w:rPr>
          <w:rFonts w:ascii="Century" w:hAnsi="Century"/>
          <w:i/>
        </w:rPr>
      </w:pPr>
      <w:r w:rsidRPr="00700AD2">
        <w:rPr>
          <w:rFonts w:ascii="Century" w:hAnsi="Century"/>
          <w:i/>
        </w:rPr>
        <w:t xml:space="preserve">“No se toma ninguna consideración advertida por el artículo en mención […] no se encuentra debidamente fundada ni motivada, entendiendo por esta que dicha multa debe de contener las razones y motivos que justifiquen el acto de autoridad […] </w:t>
      </w:r>
      <w:proofErr w:type="spellStart"/>
      <w:r w:rsidRPr="00700AD2">
        <w:rPr>
          <w:rFonts w:ascii="Century" w:hAnsi="Century"/>
          <w:i/>
        </w:rPr>
        <w:t>asi</w:t>
      </w:r>
      <w:proofErr w:type="spellEnd"/>
      <w:r w:rsidRPr="00700AD2">
        <w:rPr>
          <w:rFonts w:ascii="Century" w:hAnsi="Century"/>
          <w:i/>
        </w:rPr>
        <w:t xml:space="preserve"> también cabe men</w:t>
      </w:r>
      <w:r w:rsidR="000053B6">
        <w:rPr>
          <w:rFonts w:ascii="Century" w:hAnsi="Century"/>
          <w:i/>
        </w:rPr>
        <w:t>cionar que se debe hacer mención</w:t>
      </w:r>
      <w:r w:rsidRPr="00700AD2">
        <w:rPr>
          <w:rFonts w:ascii="Century" w:hAnsi="Century"/>
          <w:i/>
        </w:rPr>
        <w:t xml:space="preserve"> de los preceptos legales aplicable […].</w:t>
      </w:r>
    </w:p>
    <w:p w14:paraId="443A0935" w14:textId="626AC478" w:rsidR="00700AD2" w:rsidRPr="00700AD2" w:rsidRDefault="00700AD2" w:rsidP="00BA229A">
      <w:pPr>
        <w:spacing w:line="360" w:lineRule="auto"/>
        <w:ind w:firstLine="709"/>
        <w:jc w:val="both"/>
        <w:rPr>
          <w:rFonts w:ascii="Century" w:hAnsi="Century"/>
          <w:i/>
        </w:rPr>
      </w:pPr>
      <w:r w:rsidRPr="00700AD2">
        <w:rPr>
          <w:rFonts w:ascii="Century" w:hAnsi="Century"/>
          <w:i/>
        </w:rPr>
        <w:t>También se violenta el artículo 16 de la Constitución Política de los Estados Unidos Mexicanos que a la letra dice […]</w:t>
      </w:r>
    </w:p>
    <w:p w14:paraId="3F2828B6" w14:textId="2C442F66" w:rsidR="00700AD2" w:rsidRPr="00700AD2" w:rsidRDefault="000053B6" w:rsidP="00BA229A">
      <w:pPr>
        <w:spacing w:line="360" w:lineRule="auto"/>
        <w:ind w:firstLine="709"/>
        <w:jc w:val="both"/>
        <w:rPr>
          <w:rFonts w:ascii="Century" w:hAnsi="Century"/>
          <w:i/>
        </w:rPr>
      </w:pPr>
      <w:r>
        <w:rPr>
          <w:rFonts w:ascii="Century" w:hAnsi="Century"/>
          <w:i/>
        </w:rPr>
        <w:t>En la especie</w:t>
      </w:r>
      <w:r w:rsidR="00700AD2" w:rsidRPr="00700AD2">
        <w:rPr>
          <w:rFonts w:ascii="Century" w:hAnsi="Century"/>
          <w:i/>
        </w:rPr>
        <w:t xml:space="preserve"> se advierte que la autoridad demandada pasó de largo las consideraciones anteriores y pretende acreditar la correcta fundamentación y motivación de la infracción con la simple </w:t>
      </w:r>
      <w:r w:rsidR="00FB72D2" w:rsidRPr="00700AD2">
        <w:rPr>
          <w:rFonts w:ascii="Century" w:hAnsi="Century"/>
          <w:i/>
        </w:rPr>
        <w:t>mención</w:t>
      </w:r>
      <w:r w:rsidR="00700AD2" w:rsidRPr="00700AD2">
        <w:rPr>
          <w:rFonts w:ascii="Century" w:hAnsi="Century"/>
          <w:i/>
        </w:rPr>
        <w:t xml:space="preserve"> de una serie de datos inherentes a la emisión de la infracción de </w:t>
      </w:r>
      <w:r w:rsidR="00FB72D2" w:rsidRPr="00700AD2">
        <w:rPr>
          <w:rFonts w:ascii="Century" w:hAnsi="Century"/>
          <w:i/>
        </w:rPr>
        <w:t>tránsito</w:t>
      </w:r>
      <w:r w:rsidR="00700AD2" w:rsidRPr="00700AD2">
        <w:rPr>
          <w:rFonts w:ascii="Century" w:hAnsi="Century"/>
          <w:i/>
        </w:rPr>
        <w:t xml:space="preserve"> del particular […]</w:t>
      </w:r>
    </w:p>
    <w:p w14:paraId="7C358489" w14:textId="227B92B3" w:rsidR="00700AD2" w:rsidRPr="00700AD2" w:rsidRDefault="00700AD2" w:rsidP="00BA229A">
      <w:pPr>
        <w:spacing w:line="360" w:lineRule="auto"/>
        <w:ind w:firstLine="709"/>
        <w:jc w:val="both"/>
        <w:rPr>
          <w:rFonts w:ascii="Century" w:hAnsi="Century"/>
          <w:i/>
        </w:rPr>
      </w:pPr>
      <w:r w:rsidRPr="00700AD2">
        <w:rPr>
          <w:rFonts w:ascii="Century" w:hAnsi="Century"/>
          <w:i/>
        </w:rPr>
        <w:t>De lo anterior también se desprende diversas tesis aplicables que se ponen en seguida.</w:t>
      </w:r>
    </w:p>
    <w:p w14:paraId="79B798BE" w14:textId="6DD43AFF" w:rsidR="00700AD2" w:rsidRPr="00700AD2" w:rsidRDefault="00700AD2" w:rsidP="00BA229A">
      <w:pPr>
        <w:spacing w:line="360" w:lineRule="auto"/>
        <w:ind w:firstLine="709"/>
        <w:jc w:val="both"/>
        <w:rPr>
          <w:rFonts w:ascii="Century" w:hAnsi="Century"/>
          <w:i/>
        </w:rPr>
      </w:pPr>
      <w:r w:rsidRPr="00700AD2">
        <w:rPr>
          <w:rFonts w:ascii="Century" w:hAnsi="Century"/>
          <w:i/>
        </w:rPr>
        <w:t>[…]</w:t>
      </w:r>
    </w:p>
    <w:p w14:paraId="01E83177" w14:textId="19AD201C" w:rsidR="00700AD2" w:rsidRDefault="00700AD2" w:rsidP="00BA229A">
      <w:pPr>
        <w:spacing w:line="360" w:lineRule="auto"/>
        <w:ind w:firstLine="709"/>
        <w:jc w:val="both"/>
        <w:rPr>
          <w:rFonts w:ascii="Century" w:hAnsi="Century"/>
        </w:rPr>
      </w:pPr>
    </w:p>
    <w:p w14:paraId="21B59922" w14:textId="0836FFFF" w:rsidR="00700AD2" w:rsidRDefault="00700AD2" w:rsidP="00BA229A">
      <w:pPr>
        <w:spacing w:line="360" w:lineRule="auto"/>
        <w:ind w:firstLine="709"/>
        <w:jc w:val="both"/>
        <w:rPr>
          <w:rFonts w:ascii="Century" w:hAnsi="Century"/>
        </w:rPr>
      </w:pPr>
      <w:r>
        <w:rPr>
          <w:rFonts w:ascii="Century" w:hAnsi="Century"/>
        </w:rPr>
        <w:t xml:space="preserve">Por su parte la demandada sostiene que los conceptos de impugnación deben ser considerados infundados inoperante e insuficientes en virtud de que contrario a lo manifestado por el actor, el acta de infracción </w:t>
      </w:r>
      <w:r w:rsidR="00F0321D">
        <w:rPr>
          <w:rFonts w:ascii="Century" w:hAnsi="Century"/>
        </w:rPr>
        <w:t>impugnada</w:t>
      </w:r>
      <w:r>
        <w:rPr>
          <w:rFonts w:ascii="Century" w:hAnsi="Century"/>
        </w:rPr>
        <w:t xml:space="preserve"> sí contiene los fundamentos </w:t>
      </w:r>
      <w:r w:rsidR="00F0321D">
        <w:rPr>
          <w:rFonts w:ascii="Century" w:hAnsi="Century"/>
        </w:rPr>
        <w:t>legales,</w:t>
      </w:r>
      <w:r>
        <w:rPr>
          <w:rFonts w:ascii="Century" w:hAnsi="Century"/>
        </w:rPr>
        <w:t xml:space="preserve"> así como las circunstancias de tiempo, modo y lugar por lo que se encuentra correctamente </w:t>
      </w:r>
      <w:r w:rsidR="00F0321D">
        <w:rPr>
          <w:rFonts w:ascii="Century" w:hAnsi="Century"/>
        </w:rPr>
        <w:t>fundado</w:t>
      </w:r>
      <w:r>
        <w:rPr>
          <w:rFonts w:ascii="Century" w:hAnsi="Century"/>
        </w:rPr>
        <w:t xml:space="preserve"> y motivado. --------------</w:t>
      </w:r>
    </w:p>
    <w:p w14:paraId="3D6A58D5" w14:textId="69B028B1" w:rsidR="002310A5" w:rsidRDefault="002310A5" w:rsidP="00BA229A">
      <w:pPr>
        <w:spacing w:line="360" w:lineRule="auto"/>
        <w:ind w:firstLine="709"/>
        <w:jc w:val="both"/>
        <w:rPr>
          <w:rFonts w:ascii="Century" w:hAnsi="Century"/>
        </w:rPr>
      </w:pPr>
    </w:p>
    <w:p w14:paraId="2615EBAA" w14:textId="4EC68ED2" w:rsidR="00F0321D" w:rsidRDefault="00F0321D" w:rsidP="00BA229A">
      <w:pPr>
        <w:spacing w:line="360" w:lineRule="auto"/>
        <w:ind w:firstLine="709"/>
        <w:jc w:val="both"/>
        <w:rPr>
          <w:rFonts w:ascii="Century" w:hAnsi="Century"/>
        </w:rPr>
      </w:pPr>
      <w:r>
        <w:rPr>
          <w:rFonts w:ascii="Century" w:hAnsi="Century"/>
        </w:rPr>
        <w:t>Una vez analizado lo expuesto por las partes se considera que lo vertido por el actor resulta INOPERANTE, de acuerdo a lo siguiente:</w:t>
      </w:r>
      <w:r w:rsidR="000053B6">
        <w:rPr>
          <w:rFonts w:ascii="Century" w:hAnsi="Century"/>
        </w:rPr>
        <w:t xml:space="preserve"> ----------------------</w:t>
      </w:r>
    </w:p>
    <w:p w14:paraId="1CDB5969" w14:textId="63C0379F" w:rsidR="00F0321D" w:rsidRDefault="00F0321D" w:rsidP="00BA229A">
      <w:pPr>
        <w:spacing w:line="360" w:lineRule="auto"/>
        <w:ind w:firstLine="709"/>
        <w:jc w:val="both"/>
        <w:rPr>
          <w:rFonts w:ascii="Century" w:hAnsi="Century"/>
        </w:rPr>
      </w:pPr>
    </w:p>
    <w:p w14:paraId="6022CA64" w14:textId="6E39BDF9" w:rsidR="00F0321D" w:rsidRDefault="00F0321D" w:rsidP="00BA229A">
      <w:pPr>
        <w:spacing w:line="360" w:lineRule="auto"/>
        <w:ind w:firstLine="709"/>
        <w:jc w:val="both"/>
        <w:rPr>
          <w:rFonts w:ascii="Century" w:hAnsi="Century"/>
        </w:rPr>
      </w:pPr>
      <w:r>
        <w:rPr>
          <w:rFonts w:ascii="Century" w:hAnsi="Century"/>
        </w:rPr>
        <w:lastRenderedPageBreak/>
        <w:t>De conformidad a lo establecido 47 del Código de Procedimiento y Justicia Administrativa</w:t>
      </w:r>
      <w:r w:rsidR="000053B6">
        <w:rPr>
          <w:rFonts w:ascii="Century" w:hAnsi="Century"/>
        </w:rPr>
        <w:t xml:space="preserve"> para el Estado y los Municipios de Guanajuato</w:t>
      </w:r>
      <w:r>
        <w:rPr>
          <w:rFonts w:ascii="Century" w:hAnsi="Century"/>
        </w:rPr>
        <w:t xml:space="preserve">, los actos administrativos gozan de presunción de legalidad, por ende, corresponde al actor hacer valer a través de los conceptos de impugnación </w:t>
      </w:r>
      <w:r w:rsidR="000053B6">
        <w:rPr>
          <w:rFonts w:ascii="Century" w:hAnsi="Century"/>
        </w:rPr>
        <w:t>l</w:t>
      </w:r>
      <w:r>
        <w:rPr>
          <w:rFonts w:ascii="Century" w:hAnsi="Century"/>
        </w:rPr>
        <w:t>a ilegalidad del mismo. -----------------------------------------</w:t>
      </w:r>
      <w:r w:rsidR="000053B6">
        <w:rPr>
          <w:rFonts w:ascii="Century" w:hAnsi="Century"/>
        </w:rPr>
        <w:t>--------------------------------------------</w:t>
      </w:r>
      <w:r>
        <w:rPr>
          <w:rFonts w:ascii="Century" w:hAnsi="Century"/>
        </w:rPr>
        <w:t>-----------</w:t>
      </w:r>
    </w:p>
    <w:p w14:paraId="27C97520" w14:textId="6713FBD2" w:rsidR="00F0321D" w:rsidRDefault="00F0321D" w:rsidP="00BA229A">
      <w:pPr>
        <w:spacing w:line="360" w:lineRule="auto"/>
        <w:ind w:firstLine="709"/>
        <w:jc w:val="both"/>
        <w:rPr>
          <w:rFonts w:ascii="Century" w:hAnsi="Century"/>
        </w:rPr>
      </w:pPr>
    </w:p>
    <w:p w14:paraId="0EDEAEBF" w14:textId="338933AF" w:rsidR="005112E9" w:rsidRDefault="000053B6" w:rsidP="005112E9">
      <w:pPr>
        <w:spacing w:line="360" w:lineRule="auto"/>
        <w:ind w:firstLine="709"/>
        <w:jc w:val="both"/>
        <w:rPr>
          <w:rFonts w:ascii="Century" w:hAnsi="Century"/>
        </w:rPr>
      </w:pPr>
      <w:r>
        <w:rPr>
          <w:rFonts w:ascii="Century" w:hAnsi="Century"/>
        </w:rPr>
        <w:t>Bajo tal contexto y</w:t>
      </w:r>
      <w:r w:rsidR="00F0321D">
        <w:rPr>
          <w:rFonts w:ascii="Century" w:hAnsi="Century"/>
        </w:rPr>
        <w:t xml:space="preserve"> </w:t>
      </w:r>
      <w:r w:rsidR="005112E9">
        <w:rPr>
          <w:rFonts w:ascii="Century" w:hAnsi="Century"/>
        </w:rPr>
        <w:t xml:space="preserve">una vez analizados lo expuesto por el actor en sus conceptos de impugnación, se aprecia que sus consideraciones son generales, sin precisar, ni correlacionar lo expuesto con el acta de infracción impugnada, ya que hace referencia a varios preceptos legales, así como al artículo 16 de nuestra carta magna, y señala que los actos administrativos deben estar fundados y motivados, y respecto al acta infraccionada refiere que no se encuentra fundada y motivada debidamente, </w:t>
      </w:r>
      <w:r w:rsidR="002A59F0">
        <w:rPr>
          <w:rFonts w:ascii="Century" w:hAnsi="Century"/>
        </w:rPr>
        <w:t xml:space="preserve">sin embargo </w:t>
      </w:r>
      <w:r w:rsidR="005112E9">
        <w:rPr>
          <w:rFonts w:ascii="Century" w:hAnsi="Century"/>
        </w:rPr>
        <w:t>omite señalar el precepto legal aplicado de manera indebida o bien, no aplicado, así como las razones por las que a su juicio el acta de infracción impugnada no se encuentra debidamente motivada. ---------------------------------------------------------------------</w:t>
      </w:r>
      <w:r w:rsidR="002A59F0">
        <w:rPr>
          <w:rFonts w:ascii="Century" w:hAnsi="Century"/>
        </w:rPr>
        <w:t>-----</w:t>
      </w:r>
    </w:p>
    <w:p w14:paraId="621328DF" w14:textId="07864D80" w:rsidR="005112E9" w:rsidRDefault="005112E9" w:rsidP="005112E9">
      <w:pPr>
        <w:spacing w:line="360" w:lineRule="auto"/>
        <w:ind w:firstLine="709"/>
        <w:jc w:val="both"/>
        <w:rPr>
          <w:rFonts w:ascii="Century" w:hAnsi="Century"/>
        </w:rPr>
      </w:pPr>
    </w:p>
    <w:p w14:paraId="4657D68E" w14:textId="7DD2DE18" w:rsidR="005112E9" w:rsidRDefault="005112E9" w:rsidP="005112E9">
      <w:pPr>
        <w:spacing w:line="360" w:lineRule="auto"/>
        <w:ind w:firstLine="709"/>
        <w:jc w:val="both"/>
        <w:rPr>
          <w:rFonts w:ascii="Century" w:hAnsi="Century"/>
        </w:rPr>
      </w:pPr>
      <w:r>
        <w:rPr>
          <w:rFonts w:ascii="Century" w:hAnsi="Century"/>
        </w:rPr>
        <w:t xml:space="preserve">Lo anterior, resultaba necesario, ya que una vez que nos remitimos </w:t>
      </w:r>
      <w:r w:rsidR="00F53867">
        <w:rPr>
          <w:rFonts w:ascii="Century" w:hAnsi="Century"/>
        </w:rPr>
        <w:t>al acta de mérito, se aprecia que</w:t>
      </w:r>
      <w:r w:rsidR="002A59F0">
        <w:rPr>
          <w:rFonts w:ascii="Century" w:hAnsi="Century"/>
        </w:rPr>
        <w:t xml:space="preserve"> la demandada sí</w:t>
      </w:r>
      <w:r w:rsidR="00F53867">
        <w:rPr>
          <w:rFonts w:ascii="Century" w:hAnsi="Century"/>
        </w:rPr>
        <w:t xml:space="preserve"> se establece el precepto legal, que considera aplicable al caso concreto, así como los motivos </w:t>
      </w:r>
      <w:r w:rsidR="002A59F0">
        <w:rPr>
          <w:rFonts w:ascii="Century" w:hAnsi="Century"/>
        </w:rPr>
        <w:t xml:space="preserve">que tuvo </w:t>
      </w:r>
      <w:r w:rsidR="00FB4AB2">
        <w:rPr>
          <w:rFonts w:ascii="Century" w:hAnsi="Century"/>
        </w:rPr>
        <w:t xml:space="preserve">para </w:t>
      </w:r>
      <w:r w:rsidR="002A59F0">
        <w:rPr>
          <w:rFonts w:ascii="Century" w:hAnsi="Century"/>
        </w:rPr>
        <w:t>su emisión</w:t>
      </w:r>
      <w:r w:rsidR="00FB4AB2">
        <w:rPr>
          <w:rFonts w:ascii="Century" w:hAnsi="Century"/>
        </w:rPr>
        <w:t xml:space="preserve"> al </w:t>
      </w:r>
      <w:r w:rsidR="000053B6">
        <w:rPr>
          <w:rFonts w:ascii="Century" w:hAnsi="Century"/>
        </w:rPr>
        <w:t xml:space="preserve">asentar en la misma como fundamento </w:t>
      </w:r>
      <w:r w:rsidR="00FB4AB2">
        <w:rPr>
          <w:rFonts w:ascii="Century" w:hAnsi="Century"/>
        </w:rPr>
        <w:t xml:space="preserve">el artículo 12 </w:t>
      </w:r>
      <w:r w:rsidR="002A59F0">
        <w:rPr>
          <w:rFonts w:ascii="Century" w:hAnsi="Century"/>
        </w:rPr>
        <w:t>fracción</w:t>
      </w:r>
      <w:r w:rsidR="00FB4AB2">
        <w:rPr>
          <w:rFonts w:ascii="Century" w:hAnsi="Century"/>
        </w:rPr>
        <w:t xml:space="preserve"> II del </w:t>
      </w:r>
      <w:r w:rsidR="002A59F0">
        <w:rPr>
          <w:rFonts w:ascii="Century" w:hAnsi="Century"/>
        </w:rPr>
        <w:t>Reglamento</w:t>
      </w:r>
      <w:r w:rsidR="00FB4AB2">
        <w:rPr>
          <w:rFonts w:ascii="Century" w:hAnsi="Century"/>
        </w:rPr>
        <w:t xml:space="preserve"> de Tránsito Municipal de León, Guanajuato y como motivos de la </w:t>
      </w:r>
      <w:r w:rsidR="002A59F0">
        <w:rPr>
          <w:rFonts w:ascii="Century" w:hAnsi="Century"/>
        </w:rPr>
        <w:t>infracción</w:t>
      </w:r>
      <w:r w:rsidR="00FB4AB2">
        <w:rPr>
          <w:rFonts w:ascii="Century" w:hAnsi="Century"/>
        </w:rPr>
        <w:t xml:space="preserve"> </w:t>
      </w:r>
      <w:r w:rsidR="002A59F0" w:rsidRPr="00B615BB">
        <w:rPr>
          <w:rFonts w:ascii="Century" w:hAnsi="Century"/>
          <w:i/>
        </w:rPr>
        <w:t>“</w:t>
      </w:r>
      <w:r w:rsidR="00FB4AB2" w:rsidRPr="00B615BB">
        <w:rPr>
          <w:rFonts w:ascii="Century" w:hAnsi="Century"/>
          <w:i/>
        </w:rPr>
        <w:t>Por no respetar la luz roja del semáforo debiendo hacer alto to</w:t>
      </w:r>
      <w:r w:rsidR="002A59F0" w:rsidRPr="00B615BB">
        <w:rPr>
          <w:rFonts w:ascii="Century" w:hAnsi="Century"/>
          <w:i/>
        </w:rPr>
        <w:t>t</w:t>
      </w:r>
      <w:r w:rsidR="00FB4AB2" w:rsidRPr="00B615BB">
        <w:rPr>
          <w:rFonts w:ascii="Century" w:hAnsi="Century"/>
          <w:i/>
        </w:rPr>
        <w:t>al</w:t>
      </w:r>
      <w:r w:rsidR="002A59F0">
        <w:rPr>
          <w:rFonts w:ascii="Century" w:hAnsi="Century"/>
        </w:rPr>
        <w:t>”</w:t>
      </w:r>
      <w:r w:rsidR="00FB4AB2">
        <w:rPr>
          <w:rFonts w:ascii="Century" w:hAnsi="Century"/>
        </w:rPr>
        <w:t xml:space="preserve">, </w:t>
      </w:r>
      <w:r w:rsidR="002A59F0">
        <w:rPr>
          <w:rFonts w:ascii="Century" w:hAnsi="Century"/>
        </w:rPr>
        <w:t>h</w:t>
      </w:r>
      <w:r w:rsidR="00FB4AB2">
        <w:rPr>
          <w:rFonts w:ascii="Century" w:hAnsi="Century"/>
        </w:rPr>
        <w:t>echo que ocurri</w:t>
      </w:r>
      <w:r w:rsidR="00B615BB">
        <w:rPr>
          <w:rFonts w:ascii="Century" w:hAnsi="Century"/>
        </w:rPr>
        <w:t>ó</w:t>
      </w:r>
      <w:r w:rsidR="00FB4AB2">
        <w:rPr>
          <w:rFonts w:ascii="Century" w:hAnsi="Century"/>
        </w:rPr>
        <w:t xml:space="preserve"> en </w:t>
      </w:r>
      <w:proofErr w:type="spellStart"/>
      <w:r w:rsidR="00FB4AB2">
        <w:rPr>
          <w:rFonts w:ascii="Century" w:hAnsi="Century"/>
        </w:rPr>
        <w:t>Blvd</w:t>
      </w:r>
      <w:proofErr w:type="spellEnd"/>
      <w:r w:rsidR="00FB4AB2">
        <w:rPr>
          <w:rFonts w:ascii="Century" w:hAnsi="Century"/>
        </w:rPr>
        <w:t>. Antonio Madrazo, con circulación norte a sur de la Santa Rosa de Lima, esquina con calle San José. ----------------------------------------</w:t>
      </w:r>
    </w:p>
    <w:p w14:paraId="7D852A91" w14:textId="1B79406F" w:rsidR="00FB4AB2" w:rsidRDefault="00FB4AB2" w:rsidP="005112E9">
      <w:pPr>
        <w:spacing w:line="360" w:lineRule="auto"/>
        <w:ind w:firstLine="709"/>
        <w:jc w:val="both"/>
        <w:rPr>
          <w:rFonts w:ascii="Century" w:hAnsi="Century"/>
        </w:rPr>
      </w:pPr>
    </w:p>
    <w:p w14:paraId="447136FE" w14:textId="7FEC74FF" w:rsidR="002A59F0" w:rsidRDefault="00FB4AB2" w:rsidP="00FB4AB2">
      <w:pPr>
        <w:pStyle w:val="RESOLUCIONES"/>
      </w:pPr>
      <w:r>
        <w:t xml:space="preserve">En efecto, resultaba necesario que el actor </w:t>
      </w:r>
      <w:r w:rsidR="002A59F0">
        <w:t>evidenciara a través de los conceptos de impugnación</w:t>
      </w:r>
      <w:r>
        <w:t xml:space="preserve"> la </w:t>
      </w:r>
      <w:r w:rsidR="005112E9">
        <w:t>ilegalidad de</w:t>
      </w:r>
      <w:r>
        <w:t xml:space="preserve">l </w:t>
      </w:r>
      <w:r w:rsidR="002A59F0">
        <w:t>fundamento</w:t>
      </w:r>
      <w:r>
        <w:t xml:space="preserve"> y motivo que la demandada considero para emitir el acto, </w:t>
      </w:r>
      <w:r w:rsidR="002A59F0">
        <w:t>y desvirtuar así la presunción de legalidad de que gozan los actos administrativos, por lo anterior, y al no combatir el fundamento y motivo expuestos por la demandada en el acta de infracción impugnada, es que resultan INOPERANES sus conceptos de impugnación al ser generales y superficiales. ---------------------------------------------</w:t>
      </w:r>
    </w:p>
    <w:p w14:paraId="135E8033" w14:textId="783CB23E" w:rsidR="002A59F0" w:rsidRDefault="002A59F0" w:rsidP="00FB4AB2">
      <w:pPr>
        <w:pStyle w:val="RESOLUCIONES"/>
      </w:pPr>
    </w:p>
    <w:p w14:paraId="4B8EE045" w14:textId="53F6CC4B" w:rsidR="002A59F0" w:rsidRDefault="002A59F0" w:rsidP="00FB4AB2">
      <w:pPr>
        <w:pStyle w:val="RESOLUCIONES"/>
      </w:pPr>
      <w:r>
        <w:t>Lo anterior se apoya en el criterio número 1003712. 1833. Emitido por los Tribunales Colegiados de Circuito. Novena Época. Apéndice 1917-Septiembre 2011. Tomo II. Procesal Constitucional 1. Común Segunda Parte - TCC Segunda Sección - Improcedencia y sobreseimiento, Pág. 2080</w:t>
      </w:r>
      <w:r w:rsidR="00B615BB">
        <w:t>: ------------</w:t>
      </w:r>
    </w:p>
    <w:p w14:paraId="124FACF9" w14:textId="1BE3B160" w:rsidR="002A59F0" w:rsidRDefault="002A59F0" w:rsidP="00FB4AB2">
      <w:pPr>
        <w:pStyle w:val="RESOLUCIONES"/>
      </w:pPr>
    </w:p>
    <w:p w14:paraId="091867B3" w14:textId="1D1ABF7E" w:rsidR="002A59F0" w:rsidRDefault="002A59F0" w:rsidP="002A59F0">
      <w:pPr>
        <w:pStyle w:val="TESISYJURIS"/>
      </w:pPr>
      <w:r>
        <w:t xml:space="preserve">CONCEPTOS DE VIOLACIÓN O AGRAVIOS. SON INOPERANTES CUANDO LOS ARGUMENTOS EXPUESTOS POR EL QUEJOSO O EL RECURRENTE SON AMBIGUOS Y SUPERFICIALES. Los actos de autoridad y las sentencias están investidos de una presunción de validez que debe ser destruida. Por tanto, 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t>sequitur</w:t>
      </w:r>
      <w:proofErr w:type="spellEnd"/>
      <w:r>
        <w:t xml:space="preserve"> para obtener una declaratoria de invalidez. CUARTO TRIBUNAL COLEGIADO EN MATERIA ADMINISTRATIVA DEL PRIMER CIRCUITO. Amparo en revisión 43/2006</w:t>
      </w:r>
      <w:proofErr w:type="gramStart"/>
      <w:r>
        <w:t>.—</w:t>
      </w:r>
      <w:proofErr w:type="gramEnd"/>
      <w:r>
        <w:t xml:space="preserve">Juan Silva Rodríguez y otros.—22 de febrero de 2006.—Unanimidad de votos.—Ponente: Jean Claude </w:t>
      </w:r>
      <w:proofErr w:type="spellStart"/>
      <w:r>
        <w:t>Tron</w:t>
      </w:r>
      <w:proofErr w:type="spellEnd"/>
      <w:r>
        <w:t xml:space="preserve"> </w:t>
      </w:r>
      <w:proofErr w:type="spellStart"/>
      <w:r>
        <w:t>Petit</w:t>
      </w:r>
      <w:proofErr w:type="spellEnd"/>
      <w:r>
        <w:t>.—Secretaria: Claudia Patricia Peraza Espinoza. Amparo directo 443/2005</w:t>
      </w:r>
      <w:proofErr w:type="gramStart"/>
      <w:r>
        <w:t>.—</w:t>
      </w:r>
      <w:proofErr w:type="gramEnd"/>
      <w:r>
        <w:t xml:space="preserve">Servicios Corporativos Cosmos, S.A. de C.V.—1o. de marzo de 2006.—Unanimidad de votos.—Ponente: Jean Claude </w:t>
      </w:r>
      <w:proofErr w:type="spellStart"/>
      <w:r>
        <w:t>Tron</w:t>
      </w:r>
      <w:proofErr w:type="spellEnd"/>
      <w:r>
        <w:t xml:space="preserve"> </w:t>
      </w:r>
      <w:proofErr w:type="spellStart"/>
      <w:r>
        <w:t>Petit</w:t>
      </w:r>
      <w:proofErr w:type="spellEnd"/>
      <w:r>
        <w:t>.—Secretario: Alfredo A. Martínez Jiménez. Amparo directo 125/2006</w:t>
      </w:r>
      <w:proofErr w:type="gramStart"/>
      <w:r>
        <w:t>.—</w:t>
      </w:r>
      <w:proofErr w:type="gramEnd"/>
      <w:r>
        <w:t xml:space="preserve">Víctor Hugo Reyes </w:t>
      </w:r>
      <w:proofErr w:type="spellStart"/>
      <w:r>
        <w:t>Monterrubio</w:t>
      </w:r>
      <w:proofErr w:type="spellEnd"/>
      <w:r>
        <w:t xml:space="preserve">.—31 de mayo de 2006.—Unanimidad de votos.—Ponente: Jean Claude </w:t>
      </w:r>
      <w:proofErr w:type="spellStart"/>
      <w:r>
        <w:t>Tron</w:t>
      </w:r>
      <w:proofErr w:type="spellEnd"/>
      <w:r>
        <w:t xml:space="preserve"> </w:t>
      </w:r>
      <w:proofErr w:type="spellStart"/>
      <w:r>
        <w:t>Petit</w:t>
      </w:r>
      <w:proofErr w:type="spellEnd"/>
      <w:r>
        <w:t>.—Secretario: Alfredo A. Martínez Jiménez. Incidente de suspensión (revisión) 247/2006</w:t>
      </w:r>
      <w:proofErr w:type="gramStart"/>
      <w:r>
        <w:t>.—</w:t>
      </w:r>
      <w:proofErr w:type="gramEnd"/>
      <w:r>
        <w:t>María del Rosario Ortiz Becerra.—29 de junio de 2006.—Unanimidad de votos.—Ponente: Alfredo A. Martínez Jiménez, secretario de tribunal autorizado por la Comisión de Carrera Judicial del Consejo de la Judicatura Federal para desempeñar las funciones de Magistrado.—Secretaria: Alma Flores Rodríguez. Incidente de suspensión (revisión) 380/2006</w:t>
      </w:r>
      <w:proofErr w:type="gramStart"/>
      <w:r>
        <w:t>.—</w:t>
      </w:r>
      <w:proofErr w:type="gramEnd"/>
      <w:r>
        <w:t xml:space="preserve">Director General Jurídico y de Gobierno en la Delegación Tlalpan.—11 de octubre de 2006.—Unanimidad de votos.—Ponente: Jesús Antonio </w:t>
      </w:r>
      <w:proofErr w:type="spellStart"/>
      <w:r>
        <w:t>Nazar</w:t>
      </w:r>
      <w:proofErr w:type="spellEnd"/>
      <w:r>
        <w:t xml:space="preserve"> Sevilla.—Secretaria: Indira Martínez Fernández. Semanario Judicial de la Federación y su Gaceta, Novena Época, Tomo XXV, enero de 2007, página 2121, Tribunales Colegiados de Circuito, tesis I.4o.A. J/48; véase ejecutoria en el Semanario Judicial de la Federación y su Gaceta, Novena Época, Tomo XXV, enero de 2007, página 2122.</w:t>
      </w:r>
    </w:p>
    <w:p w14:paraId="119C1F5E" w14:textId="77777777" w:rsidR="002A59F0" w:rsidRDefault="002A59F0" w:rsidP="00FB4AB2">
      <w:pPr>
        <w:pStyle w:val="RESOLUCIONES"/>
      </w:pPr>
    </w:p>
    <w:p w14:paraId="2EA8E508" w14:textId="6C6987FC" w:rsidR="002A59F0" w:rsidRDefault="002A59F0" w:rsidP="00FB4AB2">
      <w:pPr>
        <w:pStyle w:val="RESOLUCIONES"/>
      </w:pPr>
      <w:r>
        <w:t>Así como en los siguientes criterios emitidos por el entonces Tribunal Contencioso Administrativo para el Estado de Guanajuato</w:t>
      </w:r>
      <w:r w:rsidR="00B615BB">
        <w:t>: -------------------------</w:t>
      </w:r>
    </w:p>
    <w:p w14:paraId="421E3F1A" w14:textId="77777777" w:rsidR="002A59F0" w:rsidRDefault="002A59F0" w:rsidP="00FB4AB2">
      <w:pPr>
        <w:pStyle w:val="RESOLUCIONES"/>
      </w:pPr>
    </w:p>
    <w:p w14:paraId="7F60161A" w14:textId="323CB620" w:rsidR="002310A5" w:rsidRDefault="00FB4AB2" w:rsidP="002A59F0">
      <w:pPr>
        <w:pStyle w:val="TESISYJURIS"/>
      </w:pPr>
      <w:r>
        <w:t>RECURSO DE RECLAMACIÓN. AGRAVIOS INOPERANTES EN EL.- El principio de estricto derecho consignado en el artículo primero, segundo párrafo, de la Ley de Justicia Administrativa del Estado de Guanajuato que impera en tratándose del juicio contencioso administrativo, obliga a que la parte disconforme con una determinada resolución demuestre la ilegalidad de ésta; consecuentemente, si el recurrente formula sus agravios sin controvertir las consideraciones expresadas por la Sala de origen, sino que únicamente se limita a hacer simples aseveraciones o manifestaciones particulares, pero sin aducir nada en relación con los fundamentos esgrimidos en el acuerdo o resolución recurridos, los mismos devienen inoperantes y, por lo tanto, no pueden tomarse en cuenta. (Toca 168/06. Recurso de Reclamación interpuesto por Régulo Rogeli</w:t>
      </w:r>
      <w:r w:rsidR="002A59F0">
        <w:t xml:space="preserve">o </w:t>
      </w:r>
      <w:r>
        <w:t>Gaytán Ruelas, en su carácter de parte actora. Resolución de fecha 16 de febrero de 2007.)</w:t>
      </w:r>
    </w:p>
    <w:p w14:paraId="14D88C64" w14:textId="089D30B7" w:rsidR="00FB4AB2" w:rsidRDefault="00FB4AB2" w:rsidP="00BA229A">
      <w:pPr>
        <w:spacing w:line="360" w:lineRule="auto"/>
        <w:ind w:firstLine="709"/>
        <w:jc w:val="both"/>
      </w:pPr>
    </w:p>
    <w:p w14:paraId="11629F3F" w14:textId="05B31B8E" w:rsidR="00FB4AB2" w:rsidRDefault="00FB4AB2" w:rsidP="00BA229A">
      <w:pPr>
        <w:spacing w:line="360" w:lineRule="auto"/>
        <w:ind w:firstLine="709"/>
        <w:jc w:val="both"/>
        <w:rPr>
          <w:rFonts w:ascii="Century" w:hAnsi="Century"/>
        </w:rPr>
      </w:pPr>
    </w:p>
    <w:p w14:paraId="4334CF75" w14:textId="49194102" w:rsidR="00FB4AB2" w:rsidRDefault="00FB4AB2" w:rsidP="002A59F0">
      <w:pPr>
        <w:pStyle w:val="TESISYJURIS"/>
      </w:pPr>
      <w:r>
        <w:t>AGRAVIOS. CASOS EN QUE RESULTAN INOPERANTES LOS.- Si el recurrente formula sus agravios sin controvertir las consideraciones expresadas por la Sala de origen; sino que únicamente se limita a hacer simples aseveraciones y manifestaciones particulares, sin demostrar que la sentencia se haya apartado de la legalidad, o no ataca los motivos y fundamentos en los que se apoya la Sala A quo para decretar la nulidad del acto impugnado, devienen inoperantes y, por lo tanto, no pueden tomarse en cuenta, pues el principio de estricto derecho que impera en tratándose del juicio contencioso administrativo obliga a que la parte disconforme con una determinada resolución demuestre su ilegalidad, como se desprende del artículo 105 de la Ley de Justicia Administrativa del Estado de Guanajuato. (Toca 6/07. Recurso de Revisión interpuesto por Francisco Arreola Sánchez. Resolución de fecha 31 de mayo de 2007.)</w:t>
      </w:r>
    </w:p>
    <w:p w14:paraId="68DFD6AC" w14:textId="07868FF6" w:rsidR="00FB4AB2" w:rsidRDefault="00FB4AB2" w:rsidP="00BA229A">
      <w:pPr>
        <w:spacing w:line="360" w:lineRule="auto"/>
        <w:ind w:firstLine="709"/>
        <w:jc w:val="both"/>
      </w:pPr>
    </w:p>
    <w:p w14:paraId="504D8544" w14:textId="77777777" w:rsidR="00FB4AB2" w:rsidRDefault="00FB4AB2" w:rsidP="00BA229A">
      <w:pPr>
        <w:spacing w:line="360" w:lineRule="auto"/>
        <w:ind w:firstLine="709"/>
        <w:jc w:val="both"/>
        <w:rPr>
          <w:rFonts w:ascii="Century" w:hAnsi="Century"/>
        </w:rPr>
      </w:pPr>
    </w:p>
    <w:p w14:paraId="1EC5686E" w14:textId="26D7CE63" w:rsidR="00FE76EB" w:rsidRDefault="00FE76EB" w:rsidP="005E3827">
      <w:pPr>
        <w:pStyle w:val="SENTENCIAS"/>
      </w:pPr>
      <w:r>
        <w:t xml:space="preserve">Por tanto, ante la </w:t>
      </w:r>
      <w:r w:rsidR="002A59F0">
        <w:t xml:space="preserve">inoperancia de los agravios vertidos por el actor, </w:t>
      </w:r>
      <w:r>
        <w:t>lo procedente es decretar l</w:t>
      </w:r>
      <w:r w:rsidR="002A59F0">
        <w:t xml:space="preserve">a VALIDEZ </w:t>
      </w:r>
      <w:r>
        <w:t xml:space="preserve">del acto contenido en el acta de infracción </w:t>
      </w:r>
      <w:r w:rsidRPr="00E73FB5">
        <w:t xml:space="preserve">número </w:t>
      </w:r>
      <w:r w:rsidR="002A59F0">
        <w:rPr>
          <w:b/>
        </w:rPr>
        <w:t>T 5830417 (Letra T cinco ocho tres cero cuatro uno siete),</w:t>
      </w:r>
      <w:r w:rsidR="002A59F0" w:rsidRPr="00E1257C">
        <w:rPr>
          <w:b/>
        </w:rPr>
        <w:t xml:space="preserve"> </w:t>
      </w:r>
      <w:r w:rsidR="002A59F0">
        <w:t xml:space="preserve">levantada en fecha 21 veintiuno de octubre del año </w:t>
      </w:r>
      <w:r w:rsidR="002A59F0" w:rsidRPr="00E1257C">
        <w:t>del año 201</w:t>
      </w:r>
      <w:r w:rsidR="002A59F0">
        <w:t>8 dos mil dieciocho</w:t>
      </w:r>
      <w:r w:rsidR="002A59F0" w:rsidRPr="00E1257C">
        <w:t>,</w:t>
      </w:r>
      <w:r w:rsidR="005E3827">
        <w:t xml:space="preserve"> </w:t>
      </w:r>
      <w:r w:rsidR="00A01625">
        <w:t xml:space="preserve">emitida por </w:t>
      </w:r>
      <w:r w:rsidR="0008711C">
        <w:t>e</w:t>
      </w:r>
      <w:r>
        <w:t xml:space="preserve">l </w:t>
      </w:r>
      <w:r w:rsidR="00E96B06">
        <w:t>agente de tránsito municipal</w:t>
      </w:r>
      <w:r>
        <w:t>. ----------------</w:t>
      </w:r>
      <w:r w:rsidR="006E6821">
        <w:t>---</w:t>
      </w:r>
      <w:r w:rsidR="00DE5632">
        <w:t>-----------</w:t>
      </w:r>
      <w:r w:rsidR="007E01A4">
        <w:t>-------------</w:t>
      </w:r>
      <w:r w:rsidR="00DE5632">
        <w:t>--</w:t>
      </w:r>
      <w:r w:rsidR="006E6821">
        <w:t>-</w:t>
      </w:r>
    </w:p>
    <w:p w14:paraId="02777C92" w14:textId="77777777" w:rsidR="00FE76EB" w:rsidRDefault="00FE76EB" w:rsidP="00FE76EB">
      <w:pPr>
        <w:pStyle w:val="SENTENCIAS"/>
        <w:rPr>
          <w:rStyle w:val="RESOLUCIONESCar"/>
        </w:rPr>
      </w:pPr>
    </w:p>
    <w:p w14:paraId="7C6A7453" w14:textId="60DBD1C6"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287, 298, 299, 300, fracción I, del Código de Procedimiento y </w:t>
      </w:r>
      <w:r w:rsidRPr="00E1257C">
        <w:rPr>
          <w:rFonts w:ascii="Century" w:hAnsi="Century"/>
          <w:lang w:val="es-MX"/>
        </w:rPr>
        <w:lastRenderedPageBreak/>
        <w:t>Justicia Administrativa para el Estado y los Municipios de Guanajuato, es de resolverse y se: -------------------------------------------</w:t>
      </w:r>
      <w:r w:rsidR="00C2362E">
        <w:rPr>
          <w:rFonts w:ascii="Century" w:hAnsi="Century"/>
          <w:lang w:val="es-MX"/>
        </w:rPr>
        <w:t>-------------------------</w:t>
      </w:r>
      <w:r w:rsidRPr="00E1257C">
        <w:rPr>
          <w:rFonts w:ascii="Century" w:hAnsi="Century"/>
          <w:lang w:val="es-MX"/>
        </w:rPr>
        <w:t>-----------------</w:t>
      </w:r>
    </w:p>
    <w:p w14:paraId="0F6C8E4D" w14:textId="77777777" w:rsidR="004F1536" w:rsidRDefault="004F1536" w:rsidP="00E1257C">
      <w:pPr>
        <w:spacing w:line="360" w:lineRule="auto"/>
        <w:ind w:firstLine="709"/>
        <w:jc w:val="both"/>
        <w:rPr>
          <w:rFonts w:ascii="Century" w:hAnsi="Century"/>
          <w:lang w:val="es-MX"/>
        </w:rPr>
      </w:pPr>
    </w:p>
    <w:p w14:paraId="0B023FFE" w14:textId="77777777" w:rsidR="00E25723" w:rsidRDefault="00E25723" w:rsidP="00FE76EB">
      <w:pPr>
        <w:spacing w:line="360" w:lineRule="auto"/>
        <w:ind w:firstLine="709"/>
        <w:jc w:val="center"/>
        <w:rPr>
          <w:rFonts w:ascii="Century" w:hAnsi="Century"/>
          <w:b/>
          <w:iCs/>
          <w:lang w:val="es-MX"/>
        </w:rPr>
      </w:pPr>
    </w:p>
    <w:p w14:paraId="34FB889A" w14:textId="7F2008E5"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0C921479" w:rsidR="00E1257C" w:rsidRPr="00E1257C" w:rsidRDefault="00E1257C" w:rsidP="00C2362E">
      <w:pPr>
        <w:pStyle w:val="SENTENCIAS"/>
      </w:pPr>
      <w:r w:rsidRPr="00E1257C">
        <w:rPr>
          <w:b/>
          <w:bCs/>
          <w:iCs/>
        </w:rPr>
        <w:t xml:space="preserve">TERCERO. </w:t>
      </w:r>
      <w:r w:rsidRPr="00E1257C">
        <w:t xml:space="preserve">Se decreta </w:t>
      </w:r>
      <w:r w:rsidRPr="00E1257C">
        <w:rPr>
          <w:bCs/>
        </w:rPr>
        <w:t>la</w:t>
      </w:r>
      <w:r w:rsidR="00C2362E">
        <w:rPr>
          <w:b/>
          <w:bCs/>
        </w:rPr>
        <w:t xml:space="preserve"> VALIDEZ</w:t>
      </w:r>
      <w:r w:rsidRPr="00E1257C">
        <w:rPr>
          <w:b/>
          <w:bCs/>
        </w:rPr>
        <w:t xml:space="preserve"> </w:t>
      </w:r>
      <w:r w:rsidRPr="00E1257C">
        <w:t xml:space="preserve">del acta de infracción número de folio </w:t>
      </w:r>
      <w:r w:rsidR="00C2362E">
        <w:rPr>
          <w:b/>
        </w:rPr>
        <w:t>T 5830417 (Letra T cinco ocho tres cero cuatro uno siete),</w:t>
      </w:r>
      <w:r w:rsidR="00C2362E" w:rsidRPr="00E1257C">
        <w:rPr>
          <w:b/>
        </w:rPr>
        <w:t xml:space="preserve"> </w:t>
      </w:r>
      <w:r w:rsidR="00C2362E">
        <w:t xml:space="preserve">levantada en fecha 21 veintiuno de octubre del año </w:t>
      </w:r>
      <w:r w:rsidR="00C2362E" w:rsidRPr="00E1257C">
        <w:t>del año 201</w:t>
      </w:r>
      <w:r w:rsidR="00C2362E">
        <w:t>8 dos mil dieciocho</w:t>
      </w:r>
      <w:r w:rsidR="00C2362E" w:rsidRPr="00E1257C">
        <w:t>,</w:t>
      </w:r>
      <w:r w:rsidR="00C2362E">
        <w:t xml:space="preserve"> </w:t>
      </w:r>
      <w:r w:rsidRPr="00E1257C">
        <w:t>ello conforme a las consideraciones lógicas y jurídicas expresadas en el Considerando Sexto de esta sentencia. -</w:t>
      </w:r>
      <w:r w:rsidR="00FE76EB">
        <w:t>-</w:t>
      </w:r>
      <w:r w:rsidR="00A01625">
        <w:t>--</w:t>
      </w:r>
      <w:r w:rsidR="00794FD9">
        <w:t>--------------------------------------------------</w:t>
      </w:r>
    </w:p>
    <w:p w14:paraId="49071F1E" w14:textId="77777777" w:rsidR="00E1257C" w:rsidRPr="00E1257C" w:rsidRDefault="00E1257C" w:rsidP="00FE76EB">
      <w:pPr>
        <w:pStyle w:val="SENTENCIAS"/>
        <w:rPr>
          <w:b/>
          <w:bCs/>
          <w:iCs/>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Default="00CD2838" w:rsidP="00E1257C">
      <w:pPr>
        <w:spacing w:line="360" w:lineRule="auto"/>
        <w:ind w:firstLine="709"/>
        <w:jc w:val="both"/>
        <w:rPr>
          <w:rFonts w:ascii="Century" w:hAnsi="Century"/>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5C3FCA">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F8CAC" w14:textId="77777777" w:rsidR="00CA1C0A" w:rsidRDefault="00CA1C0A">
      <w:r>
        <w:separator/>
      </w:r>
    </w:p>
  </w:endnote>
  <w:endnote w:type="continuationSeparator" w:id="0">
    <w:p w14:paraId="5BC64DB6" w14:textId="77777777" w:rsidR="00CA1C0A" w:rsidRDefault="00CA1C0A">
      <w:r>
        <w:continuationSeparator/>
      </w:r>
    </w:p>
  </w:endnote>
  <w:endnote w:type="continuationNotice" w:id="1">
    <w:p w14:paraId="563ABD0E" w14:textId="77777777" w:rsidR="00CA1C0A" w:rsidRDefault="00CA1C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28C05A1"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3430A">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3430A">
              <w:rPr>
                <w:rFonts w:ascii="Century" w:hAnsi="Century"/>
                <w:b/>
                <w:bCs/>
                <w:noProof/>
                <w:sz w:val="14"/>
                <w:szCs w:val="14"/>
              </w:rPr>
              <w:t>10</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762E2" w14:textId="77777777" w:rsidR="00CA1C0A" w:rsidRDefault="00CA1C0A">
      <w:r>
        <w:separator/>
      </w:r>
    </w:p>
  </w:footnote>
  <w:footnote w:type="continuationSeparator" w:id="0">
    <w:p w14:paraId="08B2829F" w14:textId="77777777" w:rsidR="00CA1C0A" w:rsidRDefault="00CA1C0A">
      <w:r>
        <w:continuationSeparator/>
      </w:r>
    </w:p>
  </w:footnote>
  <w:footnote w:type="continuationNotice" w:id="1">
    <w:p w14:paraId="7DE92574" w14:textId="77777777" w:rsidR="00CA1C0A" w:rsidRDefault="00CA1C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01B37FCA" w:rsidR="002B2F1A" w:rsidRPr="00AF4070" w:rsidRDefault="00473EA2" w:rsidP="007F7AC8">
    <w:pPr>
      <w:pStyle w:val="Encabezado"/>
      <w:jc w:val="right"/>
      <w:rPr>
        <w:rFonts w:ascii="Century" w:hAnsi="Century"/>
      </w:rPr>
    </w:pPr>
    <w:r w:rsidRPr="00AF4070">
      <w:rPr>
        <w:rFonts w:ascii="Century" w:hAnsi="Century"/>
        <w:color w:val="7F7F7F" w:themeColor="text1" w:themeTint="80"/>
      </w:rPr>
      <w:t>Expediente Número 1</w:t>
    </w:r>
    <w:r w:rsidR="005A68A6">
      <w:rPr>
        <w:rFonts w:ascii="Century" w:hAnsi="Century"/>
        <w:color w:val="7F7F7F" w:themeColor="text1" w:themeTint="80"/>
      </w:rPr>
      <w:t>695</w:t>
    </w:r>
    <w:r w:rsidR="002B2F1A" w:rsidRPr="00AF4070">
      <w:rPr>
        <w:rFonts w:ascii="Century" w:hAnsi="Century"/>
        <w:color w:val="7F7F7F" w:themeColor="text1" w:themeTint="80"/>
      </w:rPr>
      <w:t>/3erJAM/201</w:t>
    </w:r>
    <w:r w:rsidR="00FE41CE" w:rsidRPr="00AF4070">
      <w:rPr>
        <w:rFonts w:ascii="Century" w:hAnsi="Century"/>
        <w:color w:val="7F7F7F" w:themeColor="text1" w:themeTint="80"/>
      </w:rPr>
      <w:t>8</w:t>
    </w:r>
    <w:r w:rsidR="002B2F1A" w:rsidRPr="00AF4070">
      <w:rPr>
        <w:rFonts w:ascii="Century" w:hAnsi="Century"/>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4E3C01"/>
    <w:multiLevelType w:val="multilevel"/>
    <w:tmpl w:val="E2929B38"/>
    <w:numStyleLink w:val="Estilo4"/>
  </w:abstractNum>
  <w:abstractNum w:abstractNumId="19"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3E0C228A"/>
    <w:multiLevelType w:val="multilevel"/>
    <w:tmpl w:val="7BEC9978"/>
    <w:numStyleLink w:val="Estilo3"/>
  </w:abstractNum>
  <w:abstractNum w:abstractNumId="26"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9"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2"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3"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7"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1"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5"/>
  </w:num>
  <w:num w:numId="3">
    <w:abstractNumId w:val="21"/>
  </w:num>
  <w:num w:numId="4">
    <w:abstractNumId w:val="8"/>
  </w:num>
  <w:num w:numId="5">
    <w:abstractNumId w:val="0"/>
  </w:num>
  <w:num w:numId="6">
    <w:abstractNumId w:val="2"/>
  </w:num>
  <w:num w:numId="7">
    <w:abstractNumId w:val="16"/>
  </w:num>
  <w:num w:numId="8">
    <w:abstractNumId w:val="36"/>
  </w:num>
  <w:num w:numId="9">
    <w:abstractNumId w:val="39"/>
  </w:num>
  <w:num w:numId="10">
    <w:abstractNumId w:val="20"/>
  </w:num>
  <w:num w:numId="11">
    <w:abstractNumId w:val="5"/>
  </w:num>
  <w:num w:numId="12">
    <w:abstractNumId w:val="30"/>
  </w:num>
  <w:num w:numId="13">
    <w:abstractNumId w:val="6"/>
  </w:num>
  <w:num w:numId="14">
    <w:abstractNumId w:val="27"/>
  </w:num>
  <w:num w:numId="15">
    <w:abstractNumId w:val="26"/>
  </w:num>
  <w:num w:numId="16">
    <w:abstractNumId w:val="17"/>
  </w:num>
  <w:num w:numId="17">
    <w:abstractNumId w:val="13"/>
  </w:num>
  <w:num w:numId="18">
    <w:abstractNumId w:val="12"/>
  </w:num>
  <w:num w:numId="19">
    <w:abstractNumId w:val="15"/>
  </w:num>
  <w:num w:numId="20">
    <w:abstractNumId w:val="23"/>
  </w:num>
  <w:num w:numId="21">
    <w:abstractNumId w:val="29"/>
  </w:num>
  <w:num w:numId="22">
    <w:abstractNumId w:val="24"/>
  </w:num>
  <w:num w:numId="23">
    <w:abstractNumId w:val="37"/>
  </w:num>
  <w:num w:numId="24">
    <w:abstractNumId w:val="1"/>
  </w:num>
  <w:num w:numId="25">
    <w:abstractNumId w:val="22"/>
  </w:num>
  <w:num w:numId="26">
    <w:abstractNumId w:val="34"/>
  </w:num>
  <w:num w:numId="27">
    <w:abstractNumId w:val="38"/>
  </w:num>
  <w:num w:numId="28">
    <w:abstractNumId w:val="40"/>
  </w:num>
  <w:num w:numId="29">
    <w:abstractNumId w:val="25"/>
    <w:lvlOverride w:ilvl="0">
      <w:lvl w:ilvl="0">
        <w:start w:val="1"/>
        <w:numFmt w:val="lowerLetter"/>
        <w:lvlText w:val="%1)"/>
        <w:lvlJc w:val="left"/>
        <w:pPr>
          <w:ind w:left="1068" w:hanging="360"/>
        </w:pPr>
        <w:rPr>
          <w:b/>
        </w:rPr>
      </w:lvl>
    </w:lvlOverride>
  </w:num>
  <w:num w:numId="30">
    <w:abstractNumId w:val="18"/>
    <w:lvlOverride w:ilvl="0">
      <w:lvl w:ilvl="0">
        <w:start w:val="1"/>
        <w:numFmt w:val="upperRoman"/>
        <w:lvlText w:val="%1."/>
        <w:lvlJc w:val="left"/>
        <w:pPr>
          <w:ind w:left="1068" w:hanging="360"/>
        </w:pPr>
        <w:rPr>
          <w:b/>
          <w:bCs/>
        </w:rPr>
      </w:lvl>
    </w:lvlOverride>
  </w:num>
  <w:num w:numId="31">
    <w:abstractNumId w:val="4"/>
  </w:num>
  <w:num w:numId="32">
    <w:abstractNumId w:val="41"/>
  </w:num>
  <w:num w:numId="33">
    <w:abstractNumId w:val="11"/>
  </w:num>
  <w:num w:numId="34">
    <w:abstractNumId w:val="19"/>
  </w:num>
  <w:num w:numId="35">
    <w:abstractNumId w:val="9"/>
  </w:num>
  <w:num w:numId="36">
    <w:abstractNumId w:val="3"/>
  </w:num>
  <w:num w:numId="37">
    <w:abstractNumId w:val="31"/>
  </w:num>
  <w:num w:numId="38">
    <w:abstractNumId w:val="28"/>
  </w:num>
  <w:num w:numId="39">
    <w:abstractNumId w:val="7"/>
  </w:num>
  <w:num w:numId="40">
    <w:abstractNumId w:val="14"/>
  </w:num>
  <w:num w:numId="41">
    <w:abstractNumId w:val="32"/>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053B6"/>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5050"/>
    <w:rsid w:val="00075E2B"/>
    <w:rsid w:val="000769B5"/>
    <w:rsid w:val="000774D1"/>
    <w:rsid w:val="00081D25"/>
    <w:rsid w:val="000825C4"/>
    <w:rsid w:val="00083AAB"/>
    <w:rsid w:val="000853EE"/>
    <w:rsid w:val="0008711C"/>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6226"/>
    <w:rsid w:val="000F6283"/>
    <w:rsid w:val="000F758B"/>
    <w:rsid w:val="00104D04"/>
    <w:rsid w:val="00106C23"/>
    <w:rsid w:val="00107D89"/>
    <w:rsid w:val="00110BF8"/>
    <w:rsid w:val="00111268"/>
    <w:rsid w:val="001124AC"/>
    <w:rsid w:val="00112D4E"/>
    <w:rsid w:val="00115847"/>
    <w:rsid w:val="0011662F"/>
    <w:rsid w:val="00120609"/>
    <w:rsid w:val="00124A1C"/>
    <w:rsid w:val="001251EE"/>
    <w:rsid w:val="001266D5"/>
    <w:rsid w:val="00126746"/>
    <w:rsid w:val="00130106"/>
    <w:rsid w:val="001349D3"/>
    <w:rsid w:val="001349D9"/>
    <w:rsid w:val="001350F2"/>
    <w:rsid w:val="001429A7"/>
    <w:rsid w:val="00146807"/>
    <w:rsid w:val="00151576"/>
    <w:rsid w:val="00151CED"/>
    <w:rsid w:val="001539CA"/>
    <w:rsid w:val="0015595F"/>
    <w:rsid w:val="00155F67"/>
    <w:rsid w:val="0016162A"/>
    <w:rsid w:val="0016343E"/>
    <w:rsid w:val="00163DAA"/>
    <w:rsid w:val="00164CFF"/>
    <w:rsid w:val="001660B6"/>
    <w:rsid w:val="00167954"/>
    <w:rsid w:val="00170107"/>
    <w:rsid w:val="00173993"/>
    <w:rsid w:val="001765BC"/>
    <w:rsid w:val="0018012D"/>
    <w:rsid w:val="00180C8D"/>
    <w:rsid w:val="00190D0F"/>
    <w:rsid w:val="00191F48"/>
    <w:rsid w:val="001A0437"/>
    <w:rsid w:val="001A0B66"/>
    <w:rsid w:val="001A0E0F"/>
    <w:rsid w:val="001A4DFA"/>
    <w:rsid w:val="001A4EE8"/>
    <w:rsid w:val="001A7300"/>
    <w:rsid w:val="001B0A47"/>
    <w:rsid w:val="001B2937"/>
    <w:rsid w:val="001B5CE5"/>
    <w:rsid w:val="001B6AC3"/>
    <w:rsid w:val="001C0547"/>
    <w:rsid w:val="001C117B"/>
    <w:rsid w:val="001C137F"/>
    <w:rsid w:val="001C5414"/>
    <w:rsid w:val="001C6955"/>
    <w:rsid w:val="001D0AFA"/>
    <w:rsid w:val="001D1AD8"/>
    <w:rsid w:val="001E2462"/>
    <w:rsid w:val="001E394F"/>
    <w:rsid w:val="001E446F"/>
    <w:rsid w:val="001E4E34"/>
    <w:rsid w:val="001E6BF8"/>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10A5"/>
    <w:rsid w:val="00231BEA"/>
    <w:rsid w:val="00231DB7"/>
    <w:rsid w:val="002405CE"/>
    <w:rsid w:val="00240D3C"/>
    <w:rsid w:val="002411A0"/>
    <w:rsid w:val="002428D3"/>
    <w:rsid w:val="00246949"/>
    <w:rsid w:val="00247E84"/>
    <w:rsid w:val="0025224F"/>
    <w:rsid w:val="00255BEC"/>
    <w:rsid w:val="00266B1D"/>
    <w:rsid w:val="002757A1"/>
    <w:rsid w:val="002759E9"/>
    <w:rsid w:val="00280ED2"/>
    <w:rsid w:val="00282624"/>
    <w:rsid w:val="00285905"/>
    <w:rsid w:val="00291CC5"/>
    <w:rsid w:val="00293193"/>
    <w:rsid w:val="00297106"/>
    <w:rsid w:val="002A1F9E"/>
    <w:rsid w:val="002A2D85"/>
    <w:rsid w:val="002A30B6"/>
    <w:rsid w:val="002A3DE2"/>
    <w:rsid w:val="002A47C0"/>
    <w:rsid w:val="002A59F0"/>
    <w:rsid w:val="002A5E85"/>
    <w:rsid w:val="002A7464"/>
    <w:rsid w:val="002B06E3"/>
    <w:rsid w:val="002B2F1A"/>
    <w:rsid w:val="002B3DD6"/>
    <w:rsid w:val="002B579F"/>
    <w:rsid w:val="002B6378"/>
    <w:rsid w:val="002B6B16"/>
    <w:rsid w:val="002B7887"/>
    <w:rsid w:val="002C1116"/>
    <w:rsid w:val="002C1DCC"/>
    <w:rsid w:val="002C451C"/>
    <w:rsid w:val="002C5CBF"/>
    <w:rsid w:val="002D1758"/>
    <w:rsid w:val="002D238F"/>
    <w:rsid w:val="002D4B48"/>
    <w:rsid w:val="002D598B"/>
    <w:rsid w:val="002D5FFE"/>
    <w:rsid w:val="002E105E"/>
    <w:rsid w:val="002E14D4"/>
    <w:rsid w:val="002E4C45"/>
    <w:rsid w:val="002F2BF4"/>
    <w:rsid w:val="002F4D5A"/>
    <w:rsid w:val="002F5B78"/>
    <w:rsid w:val="00302E27"/>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6B61"/>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6B2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DB7"/>
    <w:rsid w:val="003F0547"/>
    <w:rsid w:val="003F0A96"/>
    <w:rsid w:val="00400711"/>
    <w:rsid w:val="004021E7"/>
    <w:rsid w:val="00402CDD"/>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3A8B"/>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67B4"/>
    <w:rsid w:val="004C7223"/>
    <w:rsid w:val="004C73FF"/>
    <w:rsid w:val="004D005A"/>
    <w:rsid w:val="004D01C0"/>
    <w:rsid w:val="004D2B79"/>
    <w:rsid w:val="004D365E"/>
    <w:rsid w:val="004E2E47"/>
    <w:rsid w:val="004E46EE"/>
    <w:rsid w:val="004E5D93"/>
    <w:rsid w:val="004E6F5C"/>
    <w:rsid w:val="004F04FE"/>
    <w:rsid w:val="004F1536"/>
    <w:rsid w:val="004F2B88"/>
    <w:rsid w:val="004F4618"/>
    <w:rsid w:val="004F7152"/>
    <w:rsid w:val="00501C31"/>
    <w:rsid w:val="00502F80"/>
    <w:rsid w:val="00506102"/>
    <w:rsid w:val="00507503"/>
    <w:rsid w:val="005112E9"/>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78C1"/>
    <w:rsid w:val="00560B11"/>
    <w:rsid w:val="00562F35"/>
    <w:rsid w:val="00564B63"/>
    <w:rsid w:val="00571DC9"/>
    <w:rsid w:val="00572A86"/>
    <w:rsid w:val="00574976"/>
    <w:rsid w:val="00576A9D"/>
    <w:rsid w:val="00581DCE"/>
    <w:rsid w:val="005831EC"/>
    <w:rsid w:val="00583370"/>
    <w:rsid w:val="005856C8"/>
    <w:rsid w:val="00586965"/>
    <w:rsid w:val="0059075C"/>
    <w:rsid w:val="00593667"/>
    <w:rsid w:val="005A0ABA"/>
    <w:rsid w:val="005A5A08"/>
    <w:rsid w:val="005A60A9"/>
    <w:rsid w:val="005A68A6"/>
    <w:rsid w:val="005B08FF"/>
    <w:rsid w:val="005B1001"/>
    <w:rsid w:val="005B2E74"/>
    <w:rsid w:val="005B3ADB"/>
    <w:rsid w:val="005B3D28"/>
    <w:rsid w:val="005B6CC1"/>
    <w:rsid w:val="005B7512"/>
    <w:rsid w:val="005B76F1"/>
    <w:rsid w:val="005C0E4C"/>
    <w:rsid w:val="005C3FCA"/>
    <w:rsid w:val="005C478D"/>
    <w:rsid w:val="005C5A39"/>
    <w:rsid w:val="005C6597"/>
    <w:rsid w:val="005C7F15"/>
    <w:rsid w:val="005D48BA"/>
    <w:rsid w:val="005D4DE5"/>
    <w:rsid w:val="005D53EB"/>
    <w:rsid w:val="005E327B"/>
    <w:rsid w:val="005E3827"/>
    <w:rsid w:val="005F443F"/>
    <w:rsid w:val="005F5A9B"/>
    <w:rsid w:val="00604B07"/>
    <w:rsid w:val="00605B32"/>
    <w:rsid w:val="0060678A"/>
    <w:rsid w:val="0061011B"/>
    <w:rsid w:val="006134B7"/>
    <w:rsid w:val="0061529A"/>
    <w:rsid w:val="00617A72"/>
    <w:rsid w:val="006221F3"/>
    <w:rsid w:val="00623568"/>
    <w:rsid w:val="00626F09"/>
    <w:rsid w:val="00631FC3"/>
    <w:rsid w:val="006340EE"/>
    <w:rsid w:val="0064111B"/>
    <w:rsid w:val="00647B09"/>
    <w:rsid w:val="0065097B"/>
    <w:rsid w:val="00650E5B"/>
    <w:rsid w:val="006545EF"/>
    <w:rsid w:val="006551F6"/>
    <w:rsid w:val="00662618"/>
    <w:rsid w:val="0066472B"/>
    <w:rsid w:val="00666A10"/>
    <w:rsid w:val="00667086"/>
    <w:rsid w:val="0067088A"/>
    <w:rsid w:val="00673308"/>
    <w:rsid w:val="00673713"/>
    <w:rsid w:val="00674A67"/>
    <w:rsid w:val="006768C3"/>
    <w:rsid w:val="0067750E"/>
    <w:rsid w:val="00677E64"/>
    <w:rsid w:val="00680F53"/>
    <w:rsid w:val="00681573"/>
    <w:rsid w:val="00681A81"/>
    <w:rsid w:val="00683B64"/>
    <w:rsid w:val="0068436C"/>
    <w:rsid w:val="00684D8E"/>
    <w:rsid w:val="00693689"/>
    <w:rsid w:val="00695066"/>
    <w:rsid w:val="006A09B0"/>
    <w:rsid w:val="006A1F2F"/>
    <w:rsid w:val="006A6D8D"/>
    <w:rsid w:val="006A7EB4"/>
    <w:rsid w:val="006B235F"/>
    <w:rsid w:val="006B67F7"/>
    <w:rsid w:val="006C5C3F"/>
    <w:rsid w:val="006C5FF4"/>
    <w:rsid w:val="006C767E"/>
    <w:rsid w:val="006D0F66"/>
    <w:rsid w:val="006D26AD"/>
    <w:rsid w:val="006D60BF"/>
    <w:rsid w:val="006E17C1"/>
    <w:rsid w:val="006E1F51"/>
    <w:rsid w:val="006E6821"/>
    <w:rsid w:val="006F185D"/>
    <w:rsid w:val="006F411B"/>
    <w:rsid w:val="006F45AA"/>
    <w:rsid w:val="006F68CB"/>
    <w:rsid w:val="00700AD2"/>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4E22"/>
    <w:rsid w:val="00771A6F"/>
    <w:rsid w:val="00772DD1"/>
    <w:rsid w:val="0077302A"/>
    <w:rsid w:val="00780FC2"/>
    <w:rsid w:val="00781505"/>
    <w:rsid w:val="007836E7"/>
    <w:rsid w:val="00784EE2"/>
    <w:rsid w:val="0078749A"/>
    <w:rsid w:val="00794A43"/>
    <w:rsid w:val="00794FD9"/>
    <w:rsid w:val="007A092E"/>
    <w:rsid w:val="007A25CA"/>
    <w:rsid w:val="007A26DE"/>
    <w:rsid w:val="007A7AC7"/>
    <w:rsid w:val="007A7E98"/>
    <w:rsid w:val="007B1855"/>
    <w:rsid w:val="007B6973"/>
    <w:rsid w:val="007B6977"/>
    <w:rsid w:val="007B6A95"/>
    <w:rsid w:val="007B791F"/>
    <w:rsid w:val="007C06D3"/>
    <w:rsid w:val="007C2CCE"/>
    <w:rsid w:val="007C46F2"/>
    <w:rsid w:val="007C5B60"/>
    <w:rsid w:val="007D0C4C"/>
    <w:rsid w:val="007D23FE"/>
    <w:rsid w:val="007D318B"/>
    <w:rsid w:val="007D3DD3"/>
    <w:rsid w:val="007D4BB1"/>
    <w:rsid w:val="007D64C6"/>
    <w:rsid w:val="007D68F6"/>
    <w:rsid w:val="007D6EC5"/>
    <w:rsid w:val="007D72B9"/>
    <w:rsid w:val="007D786B"/>
    <w:rsid w:val="007E01A4"/>
    <w:rsid w:val="007E079D"/>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96C"/>
    <w:rsid w:val="0083096B"/>
    <w:rsid w:val="0083637A"/>
    <w:rsid w:val="00837F9A"/>
    <w:rsid w:val="0084512A"/>
    <w:rsid w:val="00855E8C"/>
    <w:rsid w:val="008601AC"/>
    <w:rsid w:val="00861A49"/>
    <w:rsid w:val="0086341E"/>
    <w:rsid w:val="00867B0C"/>
    <w:rsid w:val="00870788"/>
    <w:rsid w:val="00870F95"/>
    <w:rsid w:val="00877553"/>
    <w:rsid w:val="00881A7B"/>
    <w:rsid w:val="0088331C"/>
    <w:rsid w:val="008835F9"/>
    <w:rsid w:val="00885C4B"/>
    <w:rsid w:val="00885E12"/>
    <w:rsid w:val="00886789"/>
    <w:rsid w:val="0089140D"/>
    <w:rsid w:val="00892D68"/>
    <w:rsid w:val="00893BF8"/>
    <w:rsid w:val="008A4089"/>
    <w:rsid w:val="008A48EE"/>
    <w:rsid w:val="008A79DC"/>
    <w:rsid w:val="008B1A83"/>
    <w:rsid w:val="008B2AE9"/>
    <w:rsid w:val="008B3734"/>
    <w:rsid w:val="008B39CE"/>
    <w:rsid w:val="008B40CC"/>
    <w:rsid w:val="008B50E7"/>
    <w:rsid w:val="008B711C"/>
    <w:rsid w:val="008D0FC4"/>
    <w:rsid w:val="008D125E"/>
    <w:rsid w:val="008D515E"/>
    <w:rsid w:val="008E6BF6"/>
    <w:rsid w:val="008F0A44"/>
    <w:rsid w:val="008F2631"/>
    <w:rsid w:val="008F3219"/>
    <w:rsid w:val="008F7038"/>
    <w:rsid w:val="0090042C"/>
    <w:rsid w:val="0090080B"/>
    <w:rsid w:val="00902B39"/>
    <w:rsid w:val="00902EE0"/>
    <w:rsid w:val="009217D6"/>
    <w:rsid w:val="0092407D"/>
    <w:rsid w:val="009338C9"/>
    <w:rsid w:val="0093634E"/>
    <w:rsid w:val="00944547"/>
    <w:rsid w:val="00946409"/>
    <w:rsid w:val="0095030A"/>
    <w:rsid w:val="0095072D"/>
    <w:rsid w:val="009514E0"/>
    <w:rsid w:val="00960D83"/>
    <w:rsid w:val="00964764"/>
    <w:rsid w:val="00964A62"/>
    <w:rsid w:val="00967A5D"/>
    <w:rsid w:val="0097312E"/>
    <w:rsid w:val="009739AF"/>
    <w:rsid w:val="00977BCA"/>
    <w:rsid w:val="009802BC"/>
    <w:rsid w:val="0098302F"/>
    <w:rsid w:val="0098343B"/>
    <w:rsid w:val="0098537C"/>
    <w:rsid w:val="00985FD3"/>
    <w:rsid w:val="00986C89"/>
    <w:rsid w:val="009918DC"/>
    <w:rsid w:val="00997F08"/>
    <w:rsid w:val="009A189C"/>
    <w:rsid w:val="009A1E38"/>
    <w:rsid w:val="009A6D5C"/>
    <w:rsid w:val="009B782D"/>
    <w:rsid w:val="009C06A3"/>
    <w:rsid w:val="009C1284"/>
    <w:rsid w:val="009C30E1"/>
    <w:rsid w:val="009C677C"/>
    <w:rsid w:val="009C7181"/>
    <w:rsid w:val="009C749A"/>
    <w:rsid w:val="009C7631"/>
    <w:rsid w:val="009D3DAB"/>
    <w:rsid w:val="009D3EA9"/>
    <w:rsid w:val="009D461F"/>
    <w:rsid w:val="009D4848"/>
    <w:rsid w:val="009D71B3"/>
    <w:rsid w:val="009E16CA"/>
    <w:rsid w:val="009E596D"/>
    <w:rsid w:val="009E6EA0"/>
    <w:rsid w:val="009F14DB"/>
    <w:rsid w:val="00A00666"/>
    <w:rsid w:val="00A00A67"/>
    <w:rsid w:val="00A01625"/>
    <w:rsid w:val="00A02538"/>
    <w:rsid w:val="00A032A2"/>
    <w:rsid w:val="00A03896"/>
    <w:rsid w:val="00A07764"/>
    <w:rsid w:val="00A1301E"/>
    <w:rsid w:val="00A138A8"/>
    <w:rsid w:val="00A15255"/>
    <w:rsid w:val="00A16C7A"/>
    <w:rsid w:val="00A21F6D"/>
    <w:rsid w:val="00A273B8"/>
    <w:rsid w:val="00A31281"/>
    <w:rsid w:val="00A32516"/>
    <w:rsid w:val="00A33720"/>
    <w:rsid w:val="00A3497A"/>
    <w:rsid w:val="00A361BF"/>
    <w:rsid w:val="00A36F62"/>
    <w:rsid w:val="00A43ACF"/>
    <w:rsid w:val="00A462F5"/>
    <w:rsid w:val="00A47462"/>
    <w:rsid w:val="00A540F2"/>
    <w:rsid w:val="00A57416"/>
    <w:rsid w:val="00A62815"/>
    <w:rsid w:val="00A62D48"/>
    <w:rsid w:val="00A63D71"/>
    <w:rsid w:val="00A672F6"/>
    <w:rsid w:val="00A6749D"/>
    <w:rsid w:val="00A679A9"/>
    <w:rsid w:val="00A709F5"/>
    <w:rsid w:val="00A70E0C"/>
    <w:rsid w:val="00A73CC0"/>
    <w:rsid w:val="00A75262"/>
    <w:rsid w:val="00A76292"/>
    <w:rsid w:val="00A77BBD"/>
    <w:rsid w:val="00A82DA9"/>
    <w:rsid w:val="00A90FFF"/>
    <w:rsid w:val="00A927B1"/>
    <w:rsid w:val="00A92D08"/>
    <w:rsid w:val="00A9352D"/>
    <w:rsid w:val="00A936D2"/>
    <w:rsid w:val="00A95969"/>
    <w:rsid w:val="00A96FB0"/>
    <w:rsid w:val="00A97525"/>
    <w:rsid w:val="00AA0B73"/>
    <w:rsid w:val="00AA4C79"/>
    <w:rsid w:val="00AA72AC"/>
    <w:rsid w:val="00AB53E6"/>
    <w:rsid w:val="00AC0BB0"/>
    <w:rsid w:val="00AC2581"/>
    <w:rsid w:val="00AC3934"/>
    <w:rsid w:val="00AC532A"/>
    <w:rsid w:val="00AC5AB5"/>
    <w:rsid w:val="00AD0700"/>
    <w:rsid w:val="00AD5793"/>
    <w:rsid w:val="00AD6931"/>
    <w:rsid w:val="00AE5576"/>
    <w:rsid w:val="00AE575F"/>
    <w:rsid w:val="00AF057A"/>
    <w:rsid w:val="00AF1C92"/>
    <w:rsid w:val="00AF2D5F"/>
    <w:rsid w:val="00AF30A9"/>
    <w:rsid w:val="00AF4070"/>
    <w:rsid w:val="00AF46F6"/>
    <w:rsid w:val="00AF63F9"/>
    <w:rsid w:val="00B006C3"/>
    <w:rsid w:val="00B03F1B"/>
    <w:rsid w:val="00B05FFB"/>
    <w:rsid w:val="00B07098"/>
    <w:rsid w:val="00B07D0A"/>
    <w:rsid w:val="00B13569"/>
    <w:rsid w:val="00B137BF"/>
    <w:rsid w:val="00B16C2C"/>
    <w:rsid w:val="00B2001A"/>
    <w:rsid w:val="00B21CF2"/>
    <w:rsid w:val="00B262E3"/>
    <w:rsid w:val="00B333F9"/>
    <w:rsid w:val="00B408D3"/>
    <w:rsid w:val="00B46F92"/>
    <w:rsid w:val="00B51958"/>
    <w:rsid w:val="00B532CC"/>
    <w:rsid w:val="00B55CD5"/>
    <w:rsid w:val="00B57B94"/>
    <w:rsid w:val="00B60167"/>
    <w:rsid w:val="00B614D0"/>
    <w:rsid w:val="00B615BB"/>
    <w:rsid w:val="00B62E18"/>
    <w:rsid w:val="00B655E5"/>
    <w:rsid w:val="00B65723"/>
    <w:rsid w:val="00B706A0"/>
    <w:rsid w:val="00B7298B"/>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D5126"/>
    <w:rsid w:val="00BD75C0"/>
    <w:rsid w:val="00BD7F03"/>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4FD8"/>
    <w:rsid w:val="00C16795"/>
    <w:rsid w:val="00C1793E"/>
    <w:rsid w:val="00C21CF1"/>
    <w:rsid w:val="00C2362E"/>
    <w:rsid w:val="00C270B0"/>
    <w:rsid w:val="00C27107"/>
    <w:rsid w:val="00C31506"/>
    <w:rsid w:val="00C31907"/>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7218"/>
    <w:rsid w:val="00C97884"/>
    <w:rsid w:val="00CA1C0A"/>
    <w:rsid w:val="00CC041E"/>
    <w:rsid w:val="00CC2C7C"/>
    <w:rsid w:val="00CD1CAD"/>
    <w:rsid w:val="00CD2838"/>
    <w:rsid w:val="00CD590F"/>
    <w:rsid w:val="00CE0738"/>
    <w:rsid w:val="00CE12FA"/>
    <w:rsid w:val="00CE1881"/>
    <w:rsid w:val="00CE46D7"/>
    <w:rsid w:val="00CE5679"/>
    <w:rsid w:val="00CF0563"/>
    <w:rsid w:val="00CF5245"/>
    <w:rsid w:val="00D004AD"/>
    <w:rsid w:val="00D01EED"/>
    <w:rsid w:val="00D04C8D"/>
    <w:rsid w:val="00D05F90"/>
    <w:rsid w:val="00D14E3C"/>
    <w:rsid w:val="00D15512"/>
    <w:rsid w:val="00D16537"/>
    <w:rsid w:val="00D17898"/>
    <w:rsid w:val="00D200ED"/>
    <w:rsid w:val="00D220C6"/>
    <w:rsid w:val="00D2462D"/>
    <w:rsid w:val="00D3317F"/>
    <w:rsid w:val="00D34B2E"/>
    <w:rsid w:val="00D378A5"/>
    <w:rsid w:val="00D41A74"/>
    <w:rsid w:val="00D46AE7"/>
    <w:rsid w:val="00D519A6"/>
    <w:rsid w:val="00D52000"/>
    <w:rsid w:val="00D54C71"/>
    <w:rsid w:val="00D565EB"/>
    <w:rsid w:val="00D60688"/>
    <w:rsid w:val="00D61759"/>
    <w:rsid w:val="00D63B6A"/>
    <w:rsid w:val="00D67159"/>
    <w:rsid w:val="00D674A0"/>
    <w:rsid w:val="00D6760D"/>
    <w:rsid w:val="00D73C7F"/>
    <w:rsid w:val="00D76208"/>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D53DE"/>
    <w:rsid w:val="00DE38AF"/>
    <w:rsid w:val="00DE3ECD"/>
    <w:rsid w:val="00DE5632"/>
    <w:rsid w:val="00DE5A62"/>
    <w:rsid w:val="00DE7365"/>
    <w:rsid w:val="00DF133F"/>
    <w:rsid w:val="00E01F97"/>
    <w:rsid w:val="00E05719"/>
    <w:rsid w:val="00E07749"/>
    <w:rsid w:val="00E1223E"/>
    <w:rsid w:val="00E1257C"/>
    <w:rsid w:val="00E24E49"/>
    <w:rsid w:val="00E25723"/>
    <w:rsid w:val="00E41080"/>
    <w:rsid w:val="00E41C6B"/>
    <w:rsid w:val="00E41D58"/>
    <w:rsid w:val="00E438C0"/>
    <w:rsid w:val="00E43902"/>
    <w:rsid w:val="00E43A91"/>
    <w:rsid w:val="00E55E07"/>
    <w:rsid w:val="00E563C0"/>
    <w:rsid w:val="00E57ED5"/>
    <w:rsid w:val="00E63A33"/>
    <w:rsid w:val="00E646A2"/>
    <w:rsid w:val="00E65687"/>
    <w:rsid w:val="00E65DEE"/>
    <w:rsid w:val="00E65E34"/>
    <w:rsid w:val="00E6685B"/>
    <w:rsid w:val="00E702C2"/>
    <w:rsid w:val="00E704E8"/>
    <w:rsid w:val="00E708B8"/>
    <w:rsid w:val="00E70ACB"/>
    <w:rsid w:val="00E71921"/>
    <w:rsid w:val="00E763A3"/>
    <w:rsid w:val="00E77B13"/>
    <w:rsid w:val="00E77D64"/>
    <w:rsid w:val="00E8051F"/>
    <w:rsid w:val="00E844EB"/>
    <w:rsid w:val="00E8555E"/>
    <w:rsid w:val="00E863AD"/>
    <w:rsid w:val="00E9068F"/>
    <w:rsid w:val="00E91153"/>
    <w:rsid w:val="00E957FE"/>
    <w:rsid w:val="00E96B06"/>
    <w:rsid w:val="00E9742B"/>
    <w:rsid w:val="00EA0F06"/>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7860"/>
    <w:rsid w:val="00EF1F5F"/>
    <w:rsid w:val="00EF6FC1"/>
    <w:rsid w:val="00F00466"/>
    <w:rsid w:val="00F01707"/>
    <w:rsid w:val="00F0262B"/>
    <w:rsid w:val="00F0321D"/>
    <w:rsid w:val="00F07B0D"/>
    <w:rsid w:val="00F12BB5"/>
    <w:rsid w:val="00F1697F"/>
    <w:rsid w:val="00F21236"/>
    <w:rsid w:val="00F24EB3"/>
    <w:rsid w:val="00F264D2"/>
    <w:rsid w:val="00F323AD"/>
    <w:rsid w:val="00F34032"/>
    <w:rsid w:val="00F3430A"/>
    <w:rsid w:val="00F35666"/>
    <w:rsid w:val="00F378D7"/>
    <w:rsid w:val="00F41F16"/>
    <w:rsid w:val="00F460A5"/>
    <w:rsid w:val="00F46B8B"/>
    <w:rsid w:val="00F5011E"/>
    <w:rsid w:val="00F5312C"/>
    <w:rsid w:val="00F53867"/>
    <w:rsid w:val="00F5466B"/>
    <w:rsid w:val="00F5622C"/>
    <w:rsid w:val="00F63170"/>
    <w:rsid w:val="00F65DD4"/>
    <w:rsid w:val="00F65FB7"/>
    <w:rsid w:val="00F7301D"/>
    <w:rsid w:val="00F76180"/>
    <w:rsid w:val="00F80C72"/>
    <w:rsid w:val="00F84318"/>
    <w:rsid w:val="00F87A64"/>
    <w:rsid w:val="00F91B42"/>
    <w:rsid w:val="00F92C67"/>
    <w:rsid w:val="00F95620"/>
    <w:rsid w:val="00F9623C"/>
    <w:rsid w:val="00F97379"/>
    <w:rsid w:val="00FA3F5D"/>
    <w:rsid w:val="00FA4287"/>
    <w:rsid w:val="00FB121A"/>
    <w:rsid w:val="00FB12AF"/>
    <w:rsid w:val="00FB1E7D"/>
    <w:rsid w:val="00FB3CFB"/>
    <w:rsid w:val="00FB4AB2"/>
    <w:rsid w:val="00FB57B1"/>
    <w:rsid w:val="00FB72D2"/>
    <w:rsid w:val="00FB78B2"/>
    <w:rsid w:val="00FB7CCC"/>
    <w:rsid w:val="00FC0388"/>
    <w:rsid w:val="00FC1AE0"/>
    <w:rsid w:val="00FC21C0"/>
    <w:rsid w:val="00FD290C"/>
    <w:rsid w:val="00FD4DE4"/>
    <w:rsid w:val="00FE0A81"/>
    <w:rsid w:val="00FE2412"/>
    <w:rsid w:val="00FE41CE"/>
    <w:rsid w:val="00FE5617"/>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ABCBA-C179-4A06-B266-B08B4FFF1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3330</Words>
  <Characters>18321</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4</cp:revision>
  <cp:lastPrinted>2018-10-25T18:48:00Z</cp:lastPrinted>
  <dcterms:created xsi:type="dcterms:W3CDTF">2019-03-27T21:38:00Z</dcterms:created>
  <dcterms:modified xsi:type="dcterms:W3CDTF">2019-04-30T01:00:00Z</dcterms:modified>
</cp:coreProperties>
</file>